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filed with the Securities and Exchange Commission on December 11, 2013.</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Act Registration No. 333-</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Investment Company Act of 1940 File No.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58420</wp:posOffset>
            </wp:positionV>
            <wp:extent cx="69551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84455</wp:posOffset>
            </wp:positionV>
            <wp:extent cx="69551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19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8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N-2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255270</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1" w:lineRule="exact"/>
        <w:rPr>
          <w:sz w:val="24"/>
          <w:szCs w:val="24"/>
          <w:color w:val="auto"/>
        </w:rPr>
      </w:pPr>
    </w:p>
    <w:p>
      <w:pPr>
        <w:ind w:left="4840"/>
        <w:spacing w:after="0" w:line="207" w:lineRule="exact"/>
        <w:tabs>
          <w:tab w:leader="none" w:pos="7040" w:val="left"/>
        </w:tabs>
        <w:rPr>
          <w:sz w:val="20"/>
          <w:szCs w:val="20"/>
          <w:color w:val="auto"/>
        </w:rPr>
      </w:pPr>
      <w:r>
        <w:rPr>
          <w:rFonts w:ascii="Arial" w:cs="Arial" w:eastAsia="Arial" w:hAnsi="Arial"/>
          <w:sz w:val="18"/>
          <w:szCs w:val="18"/>
          <w:b w:val="1"/>
          <w:bCs w:val="1"/>
          <w:color w:val="auto"/>
        </w:rPr>
        <w:t>Post-Effective Amendment</w:t>
      </w:r>
      <w:r>
        <w:rPr>
          <w:sz w:val="20"/>
          <w:szCs w:val="20"/>
          <w:color w:val="auto"/>
        </w:rPr>
        <w:tab/>
      </w:r>
      <w:r>
        <w:rPr>
          <w:rFonts w:ascii="MS PGothic" w:cs="MS PGothic" w:eastAsia="MS PGothic" w:hAnsi="MS PGothic"/>
          <w:sz w:val="16"/>
          <w:szCs w:val="16"/>
          <w:color w:val="auto"/>
        </w:rPr>
        <w:t>☐</w:t>
      </w:r>
    </w:p>
    <w:p>
      <w:pPr>
        <w:spacing w:after="0" w:line="17" w:lineRule="exact"/>
        <w:rPr>
          <w:sz w:val="24"/>
          <w:szCs w:val="24"/>
          <w:color w:val="auto"/>
        </w:rPr>
      </w:pPr>
    </w:p>
    <w:p>
      <w:pPr>
        <w:ind w:left="4900"/>
        <w:spacing w:after="0" w:line="207" w:lineRule="exact"/>
        <w:tabs>
          <w:tab w:leader="none" w:pos="7040" w:val="left"/>
        </w:tabs>
        <w:rPr>
          <w:sz w:val="20"/>
          <w:szCs w:val="20"/>
          <w:color w:val="auto"/>
        </w:rPr>
      </w:pPr>
      <w:r>
        <w:rPr>
          <w:rFonts w:ascii="Arial" w:cs="Arial" w:eastAsia="Arial" w:hAnsi="Arial"/>
          <w:sz w:val="18"/>
          <w:szCs w:val="18"/>
          <w:b w:val="1"/>
          <w:bCs w:val="1"/>
          <w:color w:val="auto"/>
        </w:rPr>
        <w:t>Pre-Effective Amendment</w:t>
      </w:r>
      <w:r>
        <w:rPr>
          <w:sz w:val="20"/>
          <w:szCs w:val="20"/>
          <w:color w:val="auto"/>
        </w:rPr>
        <w:tab/>
      </w:r>
      <w:r>
        <w:rPr>
          <w:rFonts w:ascii="MS PGothic" w:cs="MS PGothic" w:eastAsia="MS PGothic" w:hAnsi="MS PGothic"/>
          <w:sz w:val="16"/>
          <w:szCs w:val="16"/>
          <w:color w:val="auto"/>
        </w:rPr>
        <w:t>☐</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PennantPark Investment Corporation</w:t>
      </w:r>
    </w:p>
    <w:p>
      <w:pPr>
        <w:spacing w:after="0" w:line="43"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139700</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8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Arthur H. Penn</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 PennantPark Investment Corporation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590 Madison Avenue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15th Floor</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153035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30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i w:val="1"/>
          <w:iCs w:val="1"/>
          <w:color w:val="auto"/>
        </w:rPr>
        <w:t>Copies to:</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Thomas Friedmann</w:t>
      </w:r>
    </w:p>
    <w:p>
      <w:pPr>
        <w:spacing w:after="0" w:line="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David Harris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William Tuttle</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Dechert LLP</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1900 K Street, N.W.</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20006-1110</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APPROXIMATE DATE OF PROPOSED PUBLIC OFFERING:</w:t>
      </w:r>
    </w:p>
    <w:p>
      <w:pPr>
        <w:spacing w:after="0" w:line="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As may be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152400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79" w:lineRule="exact"/>
        <w:rPr>
          <w:sz w:val="24"/>
          <w:szCs w:val="24"/>
          <w:color w:val="auto"/>
        </w:rPr>
      </w:pPr>
    </w:p>
    <w:p>
      <w:pPr>
        <w:ind w:firstLine="571"/>
        <w:spacing w:after="0" w:line="229"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It is proposed that this filing will become effective (check appropriate box):</w:t>
      </w:r>
    </w:p>
    <w:p>
      <w:pPr>
        <w:spacing w:after="0" w:line="63" w:lineRule="exact"/>
        <w:rPr>
          <w:sz w:val="24"/>
          <w:szCs w:val="24"/>
          <w:color w:val="auto"/>
        </w:rPr>
      </w:pPr>
    </w:p>
    <w:p>
      <w:pPr>
        <w:ind w:left="780" w:hanging="201"/>
        <w:spacing w:after="0"/>
        <w:tabs>
          <w:tab w:leader="none" w:pos="7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when declared effective pursuant to section 8(c).</w:t>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CALCULATION OF REGISTRATION FEE UNDER THE SECURITIES ACT OF 1933</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4400" w:type="dxa"/>
            <w:vAlign w:val="bottom"/>
            <w:tcBorders>
              <w:top w:val="single" w:sz="8" w:color="auto"/>
              <w:left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146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Proposed Maximum</w:t>
            </w: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right w:val="single" w:sz="8" w:color="auto"/>
            </w:tcBorders>
          </w:tcPr>
          <w:p>
            <w:pPr>
              <w:jc w:val="center"/>
              <w:ind w:right="437"/>
              <w:spacing w:after="0" w:line="149" w:lineRule="exact"/>
              <w:rPr>
                <w:sz w:val="20"/>
                <w:szCs w:val="20"/>
                <w:color w:val="auto"/>
              </w:rPr>
            </w:pPr>
            <w:r>
              <w:rPr>
                <w:rFonts w:ascii="Arial" w:cs="Arial" w:eastAsia="Arial" w:hAnsi="Arial"/>
                <w:sz w:val="14"/>
                <w:szCs w:val="14"/>
                <w:b w:val="1"/>
                <w:bCs w:val="1"/>
                <w:color w:val="auto"/>
                <w:w w:val="88"/>
              </w:rPr>
              <w:t>Proposed Maximum</w:t>
            </w: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right w:val="single" w:sz="8" w:color="auto"/>
            </w:tcBorders>
          </w:tcPr>
          <w:p>
            <w:pPr>
              <w:spacing w:after="0"/>
              <w:rPr>
                <w:sz w:val="12"/>
                <w:szCs w:val="12"/>
                <w:color w:val="auto"/>
              </w:rPr>
            </w:pPr>
          </w:p>
        </w:tc>
      </w:tr>
      <w:tr>
        <w:trPr>
          <w:trHeight w:val="148"/>
        </w:trPr>
        <w:tc>
          <w:tcPr>
            <w:tcW w:w="4400" w:type="dxa"/>
            <w:vAlign w:val="bottom"/>
            <w:tcBorders>
              <w:left w:val="single" w:sz="8" w:color="auto"/>
              <w:right w:val="single" w:sz="8" w:color="auto"/>
            </w:tcBorders>
          </w:tcPr>
          <w:p>
            <w:pPr>
              <w:spacing w:after="0"/>
              <w:rPr>
                <w:sz w:val="12"/>
                <w:szCs w:val="12"/>
                <w:color w:val="auto"/>
              </w:rPr>
            </w:pPr>
          </w:p>
        </w:tc>
        <w:tc>
          <w:tcPr>
            <w:tcW w:w="1080" w:type="dxa"/>
            <w:vAlign w:val="bottom"/>
            <w:tcBorders>
              <w:right w:val="single" w:sz="8" w:color="auto"/>
            </w:tcBorders>
          </w:tcPr>
          <w:p>
            <w:pPr>
              <w:jc w:val="right"/>
              <w:ind w:right="32"/>
              <w:spacing w:after="0" w:line="148" w:lineRule="exact"/>
              <w:rPr>
                <w:sz w:val="20"/>
                <w:szCs w:val="20"/>
                <w:color w:val="auto"/>
              </w:rPr>
            </w:pPr>
            <w:r>
              <w:rPr>
                <w:rFonts w:ascii="Arial" w:cs="Arial" w:eastAsia="Arial" w:hAnsi="Arial"/>
                <w:sz w:val="14"/>
                <w:szCs w:val="14"/>
                <w:b w:val="1"/>
                <w:bCs w:val="1"/>
                <w:color w:val="auto"/>
              </w:rPr>
              <w:t>Amount Being</w:t>
            </w:r>
          </w:p>
        </w:tc>
        <w:tc>
          <w:tcPr>
            <w:tcW w:w="1460" w:type="dxa"/>
            <w:vAlign w:val="bottom"/>
            <w:tcBorders>
              <w:right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90"/>
              </w:rPr>
              <w:t>Offering Price</w:t>
            </w:r>
          </w:p>
        </w:tc>
        <w:tc>
          <w:tcPr>
            <w:tcW w:w="140" w:type="dxa"/>
            <w:vAlign w:val="bottom"/>
          </w:tcPr>
          <w:p>
            <w:pPr>
              <w:spacing w:after="0"/>
              <w:rPr>
                <w:sz w:val="12"/>
                <w:szCs w:val="12"/>
                <w:color w:val="auto"/>
              </w:rPr>
            </w:pPr>
          </w:p>
        </w:tc>
        <w:tc>
          <w:tcPr>
            <w:tcW w:w="1680" w:type="dxa"/>
            <w:vAlign w:val="bottom"/>
            <w:tcBorders>
              <w:right w:val="single" w:sz="8" w:color="auto"/>
            </w:tcBorders>
          </w:tcPr>
          <w:p>
            <w:pPr>
              <w:jc w:val="center"/>
              <w:ind w:right="437"/>
              <w:spacing w:after="0" w:line="148" w:lineRule="exact"/>
              <w:rPr>
                <w:sz w:val="20"/>
                <w:szCs w:val="20"/>
                <w:color w:val="auto"/>
              </w:rPr>
            </w:pPr>
            <w:r>
              <w:rPr>
                <w:rFonts w:ascii="Arial" w:cs="Arial" w:eastAsia="Arial" w:hAnsi="Arial"/>
                <w:sz w:val="14"/>
                <w:szCs w:val="14"/>
                <w:b w:val="1"/>
                <w:bCs w:val="1"/>
                <w:color w:val="auto"/>
                <w:w w:val="83"/>
              </w:rPr>
              <w:t>Aggregate</w:t>
            </w:r>
          </w:p>
        </w:tc>
        <w:tc>
          <w:tcPr>
            <w:tcW w:w="140" w:type="dxa"/>
            <w:vAlign w:val="bottom"/>
          </w:tcPr>
          <w:p>
            <w:pPr>
              <w:spacing w:after="0"/>
              <w:rPr>
                <w:sz w:val="12"/>
                <w:szCs w:val="12"/>
                <w:color w:val="auto"/>
              </w:rPr>
            </w:pPr>
          </w:p>
        </w:tc>
        <w:tc>
          <w:tcPr>
            <w:tcW w:w="1620" w:type="dxa"/>
            <w:vAlign w:val="bottom"/>
            <w:tcBorders>
              <w:right w:val="single" w:sz="8" w:color="auto"/>
            </w:tcBorders>
          </w:tcPr>
          <w:p>
            <w:pPr>
              <w:jc w:val="center"/>
              <w:ind w:right="499"/>
              <w:spacing w:after="0" w:line="148" w:lineRule="exact"/>
              <w:rPr>
                <w:sz w:val="20"/>
                <w:szCs w:val="20"/>
                <w:color w:val="auto"/>
              </w:rPr>
            </w:pPr>
            <w:r>
              <w:rPr>
                <w:rFonts w:ascii="Arial" w:cs="Arial" w:eastAsia="Arial" w:hAnsi="Arial"/>
                <w:sz w:val="14"/>
                <w:szCs w:val="14"/>
                <w:b w:val="1"/>
                <w:bCs w:val="1"/>
                <w:color w:val="auto"/>
                <w:w w:val="88"/>
              </w:rPr>
              <w:t>Amount of</w:t>
            </w:r>
          </w:p>
        </w:tc>
      </w:tr>
      <w:tr>
        <w:trPr>
          <w:trHeight w:val="176"/>
        </w:trPr>
        <w:tc>
          <w:tcPr>
            <w:tcW w:w="4400" w:type="dxa"/>
            <w:vAlign w:val="bottom"/>
            <w:tcBorders>
              <w:left w:val="single" w:sz="8" w:color="auto"/>
              <w:bottom w:val="single" w:sz="8" w:color="auto"/>
              <w:right w:val="single" w:sz="8" w:color="auto"/>
            </w:tcBorders>
          </w:tcPr>
          <w:p>
            <w:pPr>
              <w:ind w:left="1240"/>
              <w:spacing w:after="0"/>
              <w:rPr>
                <w:sz w:val="20"/>
                <w:szCs w:val="20"/>
                <w:color w:val="auto"/>
              </w:rPr>
            </w:pPr>
            <w:r>
              <w:rPr>
                <w:rFonts w:ascii="Arial" w:cs="Arial" w:eastAsia="Arial" w:hAnsi="Arial"/>
                <w:sz w:val="14"/>
                <w:szCs w:val="14"/>
                <w:b w:val="1"/>
                <w:bCs w:val="1"/>
                <w:color w:val="auto"/>
              </w:rPr>
              <w:t>Title of Securities Being Registered</w:t>
            </w:r>
          </w:p>
        </w:tc>
        <w:tc>
          <w:tcPr>
            <w:tcW w:w="1080" w:type="dxa"/>
            <w:vAlign w:val="bottom"/>
            <w:tcBorders>
              <w:bottom w:val="single" w:sz="8" w:color="auto"/>
              <w:right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Registered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 Unit</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jc w:val="center"/>
              <w:ind w:right="417"/>
              <w:spacing w:after="0" w:line="176" w:lineRule="exact"/>
              <w:rPr>
                <w:sz w:val="20"/>
                <w:szCs w:val="20"/>
                <w:color w:val="auto"/>
              </w:rPr>
            </w:pPr>
            <w:r>
              <w:rPr>
                <w:rFonts w:ascii="Arial" w:cs="Arial" w:eastAsia="Arial" w:hAnsi="Arial"/>
                <w:sz w:val="13"/>
                <w:szCs w:val="13"/>
                <w:b w:val="1"/>
                <w:bCs w:val="1"/>
                <w:color w:val="auto"/>
                <w:w w:val="93"/>
              </w:rPr>
              <w:t>Offering Price</w:t>
            </w:r>
            <w:r>
              <w:rPr>
                <w:rFonts w:ascii="Arial" w:cs="Arial" w:eastAsia="Arial" w:hAnsi="Arial"/>
                <w:sz w:val="20"/>
                <w:szCs w:val="20"/>
                <w:b w:val="1"/>
                <w:bCs w:val="1"/>
                <w:color w:val="auto"/>
                <w:w w:val="93"/>
                <w:vertAlign w:val="superscript"/>
              </w:rPr>
              <w:t>(1)</w:t>
            </w:r>
          </w:p>
        </w:tc>
        <w:tc>
          <w:tcPr>
            <w:tcW w:w="140" w:type="dxa"/>
            <w:vAlign w:val="bottom"/>
            <w:tcBorders>
              <w:bottom w:val="single" w:sz="8" w:color="auto"/>
            </w:tcBorders>
          </w:tcPr>
          <w:p>
            <w:pPr>
              <w:spacing w:after="0"/>
              <w:rPr>
                <w:sz w:val="15"/>
                <w:szCs w:val="15"/>
                <w:color w:val="auto"/>
              </w:rPr>
            </w:pPr>
          </w:p>
        </w:tc>
        <w:tc>
          <w:tcPr>
            <w:tcW w:w="1620" w:type="dxa"/>
            <w:vAlign w:val="bottom"/>
            <w:tcBorders>
              <w:bottom w:val="single" w:sz="8" w:color="auto"/>
              <w:right w:val="single" w:sz="8" w:color="auto"/>
            </w:tcBorders>
          </w:tcPr>
          <w:p>
            <w:pPr>
              <w:jc w:val="center"/>
              <w:ind w:right="479"/>
              <w:spacing w:after="0" w:line="176" w:lineRule="exact"/>
              <w:rPr>
                <w:sz w:val="20"/>
                <w:szCs w:val="20"/>
                <w:color w:val="auto"/>
              </w:rPr>
            </w:pPr>
            <w:r>
              <w:rPr>
                <w:rFonts w:ascii="Arial" w:cs="Arial" w:eastAsia="Arial" w:hAnsi="Arial"/>
                <w:sz w:val="13"/>
                <w:szCs w:val="13"/>
                <w:b w:val="1"/>
                <w:bCs w:val="1"/>
                <w:color w:val="auto"/>
                <w:w w:val="91"/>
              </w:rPr>
              <w:t>Registration Fee</w:t>
            </w:r>
            <w:r>
              <w:rPr>
                <w:rFonts w:ascii="Arial" w:cs="Arial" w:eastAsia="Arial" w:hAnsi="Arial"/>
                <w:sz w:val="20"/>
                <w:szCs w:val="20"/>
                <w:b w:val="1"/>
                <w:bCs w:val="1"/>
                <w:color w:val="auto"/>
                <w:w w:val="91"/>
                <w:vertAlign w:val="superscript"/>
              </w:rPr>
              <w:t>(1)</w:t>
            </w: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Common Stock, $0.001 par value</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jc w:val="right"/>
              <w:ind w:right="872"/>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1252"/>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Preferred Stock, $0.001 par value</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Warrants</w:t>
            </w:r>
            <w:r>
              <w:rPr>
                <w:rFonts w:ascii="Arial" w:cs="Arial" w:eastAsia="Arial" w:hAnsi="Arial"/>
                <w:sz w:val="22"/>
                <w:szCs w:val="22"/>
                <w:color w:val="auto"/>
                <w:vertAlign w:val="superscript"/>
              </w:rPr>
              <w:t>(2)</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Subscription Rights</w:t>
            </w:r>
            <w:r>
              <w:rPr>
                <w:rFonts w:ascii="Arial" w:cs="Arial" w:eastAsia="Arial" w:hAnsi="Arial"/>
                <w:sz w:val="22"/>
                <w:szCs w:val="22"/>
                <w:color w:val="auto"/>
                <w:vertAlign w:val="superscript"/>
              </w:rPr>
              <w:t>(3)</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Debt Securities</w:t>
            </w:r>
            <w:r>
              <w:rPr>
                <w:rFonts w:ascii="Arial" w:cs="Arial" w:eastAsia="Arial" w:hAnsi="Arial"/>
                <w:sz w:val="22"/>
                <w:szCs w:val="22"/>
                <w:color w:val="auto"/>
                <w:vertAlign w:val="superscript"/>
              </w:rPr>
              <w:t>(4)</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223"/>
        </w:trPr>
        <w:tc>
          <w:tcPr>
            <w:tcW w:w="44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Arial" w:cs="Arial" w:eastAsia="Arial" w:hAnsi="Arial"/>
                <w:sz w:val="14"/>
                <w:szCs w:val="14"/>
                <w:color w:val="auto"/>
              </w:rPr>
              <w:t>Units</w:t>
            </w:r>
            <w:r>
              <w:rPr>
                <w:rFonts w:ascii="Arial" w:cs="Arial" w:eastAsia="Arial" w:hAnsi="Arial"/>
                <w:sz w:val="22"/>
                <w:szCs w:val="22"/>
                <w:color w:val="auto"/>
                <w:vertAlign w:val="superscript"/>
              </w:rPr>
              <w:t>(5)</w:t>
            </w:r>
          </w:p>
        </w:tc>
        <w:tc>
          <w:tcPr>
            <w:tcW w:w="1080" w:type="dxa"/>
            <w:vAlign w:val="bottom"/>
            <w:tcBorders>
              <w:bottom w:val="single" w:sz="8" w:color="auto"/>
              <w:right w:val="single" w:sz="8" w:color="auto"/>
            </w:tcBorders>
          </w:tcPr>
          <w:p>
            <w:pPr>
              <w:spacing w:after="0"/>
              <w:rPr>
                <w:sz w:val="19"/>
                <w:szCs w:val="19"/>
                <w:color w:val="auto"/>
              </w:rPr>
            </w:pPr>
          </w:p>
        </w:tc>
        <w:tc>
          <w:tcPr>
            <w:tcW w:w="146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r>
      <w:tr>
        <w:trPr>
          <w:trHeight w:val="142"/>
        </w:trPr>
        <w:tc>
          <w:tcPr>
            <w:tcW w:w="440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Arial" w:cs="Arial" w:eastAsia="Arial" w:hAnsi="Arial"/>
                <w:sz w:val="14"/>
                <w:szCs w:val="14"/>
                <w:color w:val="auto"/>
              </w:rPr>
              <w:t>Total</w:t>
            </w:r>
          </w:p>
        </w:tc>
        <w:tc>
          <w:tcPr>
            <w:tcW w:w="1080" w:type="dxa"/>
            <w:vAlign w:val="bottom"/>
            <w:tcBorders>
              <w:bottom w:val="single" w:sz="8" w:color="auto"/>
              <w:right w:val="single" w:sz="8" w:color="auto"/>
            </w:tcBorders>
          </w:tcPr>
          <w:p>
            <w:pPr>
              <w:jc w:val="right"/>
              <w:ind w:right="872"/>
              <w:spacing w:after="0" w:line="142" w:lineRule="exact"/>
              <w:rPr>
                <w:sz w:val="20"/>
                <w:szCs w:val="20"/>
                <w:color w:val="auto"/>
              </w:rPr>
            </w:pPr>
            <w:r>
              <w:rPr>
                <w:rFonts w:ascii="Arial" w:cs="Arial" w:eastAsia="Arial" w:hAnsi="Arial"/>
                <w:sz w:val="14"/>
                <w:szCs w:val="14"/>
                <w:color w:val="auto"/>
              </w:rPr>
              <w:t>$</w:t>
            </w:r>
          </w:p>
        </w:tc>
        <w:tc>
          <w:tcPr>
            <w:tcW w:w="1460" w:type="dxa"/>
            <w:vAlign w:val="bottom"/>
            <w:tcBorders>
              <w:bottom w:val="single" w:sz="8" w:color="auto"/>
              <w:right w:val="single" w:sz="8" w:color="auto"/>
            </w:tcBorders>
          </w:tcPr>
          <w:p>
            <w:pPr>
              <w:jc w:val="right"/>
              <w:ind w:right="1252"/>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right w:val="single" w:sz="8" w:color="auto"/>
            </w:tcBorders>
          </w:tcPr>
          <w:p>
            <w:pPr>
              <w:jc w:val="right"/>
              <w:ind w:right="237"/>
              <w:spacing w:after="0" w:line="142" w:lineRule="exact"/>
              <w:rPr>
                <w:sz w:val="20"/>
                <w:szCs w:val="20"/>
                <w:color w:val="auto"/>
              </w:rPr>
            </w:pPr>
            <w:r>
              <w:rPr>
                <w:rFonts w:ascii="Arial" w:cs="Arial" w:eastAsia="Arial" w:hAnsi="Arial"/>
                <w:sz w:val="11"/>
                <w:szCs w:val="11"/>
                <w:color w:val="auto"/>
              </w:rPr>
              <w:t>1,000,000,000</w:t>
            </w:r>
            <w:r>
              <w:rPr>
                <w:rFonts w:ascii="Arial" w:cs="Arial" w:eastAsia="Arial" w:hAnsi="Arial"/>
                <w:sz w:val="16"/>
                <w:szCs w:val="16"/>
                <w:color w:val="auto"/>
                <w:vertAlign w:val="superscript"/>
              </w:rPr>
              <w:t>(6)</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20" w:type="dxa"/>
            <w:vAlign w:val="bottom"/>
            <w:tcBorders>
              <w:bottom w:val="single" w:sz="8" w:color="auto"/>
              <w:right w:val="single" w:sz="8" w:color="auto"/>
            </w:tcBorders>
          </w:tcPr>
          <w:p>
            <w:pPr>
              <w:jc w:val="right"/>
              <w:ind w:right="279"/>
              <w:spacing w:after="0" w:line="142" w:lineRule="exact"/>
              <w:rPr>
                <w:sz w:val="20"/>
                <w:szCs w:val="20"/>
                <w:color w:val="auto"/>
              </w:rPr>
            </w:pPr>
            <w:r>
              <w:rPr>
                <w:rFonts w:ascii="Arial" w:cs="Arial" w:eastAsia="Arial" w:hAnsi="Arial"/>
                <w:sz w:val="11"/>
                <w:szCs w:val="11"/>
                <w:color w:val="auto"/>
              </w:rPr>
              <w:t>128,800</w:t>
            </w:r>
            <w:r>
              <w:rPr>
                <w:rFonts w:ascii="Arial" w:cs="Arial" w:eastAsia="Arial" w:hAnsi="Arial"/>
                <w:sz w:val="16"/>
                <w:szCs w:val="16"/>
                <w:color w:val="auto"/>
                <w:vertAlign w:val="superscript"/>
              </w:rPr>
              <w:t>(7)</w:t>
            </w:r>
          </w:p>
        </w:tc>
      </w:tr>
    </w:tbl>
    <w:p>
      <w:pPr>
        <w:spacing w:after="0" w:line="70" w:lineRule="exact"/>
        <w:rPr>
          <w:sz w:val="20"/>
          <w:szCs w:val="20"/>
          <w:color w:val="auto"/>
        </w:rPr>
      </w:pPr>
    </w:p>
    <w:p>
      <w:pPr>
        <w:ind w:left="68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 solely for the purposes of determining the registration fee. The proposed maximum offering price per security will be determined, from time to time, by the Registrant in connection with the sale by the Registrant of the securities registered under this registration statement.</w:t>
      </w:r>
    </w:p>
    <w:p>
      <w:pPr>
        <w:spacing w:after="0" w:line="57" w:lineRule="exact"/>
        <w:rPr>
          <w:rFonts w:ascii="Arial" w:cs="Arial" w:eastAsia="Arial" w:hAnsi="Arial"/>
          <w:sz w:val="14"/>
          <w:szCs w:val="14"/>
          <w:color w:val="auto"/>
        </w:rPr>
      </w:pPr>
    </w:p>
    <w:p>
      <w:pPr>
        <w:ind w:left="680" w:right="12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number of shares of common stock, preferred stock, or warrants as may be sold, from time to time. Warrants represent rights to purchase common stock, preferred stock or debt securities.</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number of subscription rights as may be sold, from time to time, representing rights to purchase common stock.</w:t>
      </w:r>
    </w:p>
    <w:p>
      <w:pPr>
        <w:spacing w:after="0" w:line="91" w:lineRule="exact"/>
        <w:rPr>
          <w:rFonts w:ascii="Arial" w:cs="Arial" w:eastAsia="Arial" w:hAnsi="Arial"/>
          <w:sz w:val="12"/>
          <w:szCs w:val="12"/>
          <w:color w:val="auto"/>
        </w:rPr>
      </w:pPr>
    </w:p>
    <w:p>
      <w:pPr>
        <w:ind w:left="680" w:right="280" w:hanging="334"/>
        <w:spacing w:after="0" w:line="318"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6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$1,000,000,000.</w:t>
      </w:r>
    </w:p>
    <w:p>
      <w:pPr>
        <w:spacing w:after="0" w:line="12" w:lineRule="exact"/>
        <w:rPr>
          <w:rFonts w:ascii="Arial" w:cs="Arial" w:eastAsia="Arial" w:hAnsi="Arial"/>
          <w:sz w:val="12"/>
          <w:szCs w:val="12"/>
          <w:color w:val="auto"/>
        </w:rPr>
      </w:pPr>
    </w:p>
    <w:p>
      <w:pPr>
        <w:ind w:left="680" w:right="100" w:hanging="334"/>
        <w:spacing w:after="0" w:line="239" w:lineRule="auto"/>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6 below, there is being registered hereunder an indeterminate principal amount of units. Each unit may consist of a combination of any one or more of the securities being registered hereunder and may also include securities issued by the U.S. Treasury.</w:t>
      </w:r>
    </w:p>
    <w:p>
      <w:pPr>
        <w:spacing w:after="0" w:line="57" w:lineRule="exact"/>
        <w:rPr>
          <w:rFonts w:ascii="Arial" w:cs="Arial" w:eastAsia="Arial" w:hAnsi="Arial"/>
          <w:sz w:val="14"/>
          <w:szCs w:val="14"/>
          <w:color w:val="auto"/>
        </w:rPr>
      </w:pPr>
    </w:p>
    <w:p>
      <w:pPr>
        <w:ind w:left="680" w:hanging="334"/>
        <w:spacing w:after="0"/>
        <w:tabs>
          <w:tab w:leader="none" w:pos="68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exceed $1,000,000,000.</w:t>
      </w:r>
    </w:p>
    <w:p>
      <w:pPr>
        <w:spacing w:after="0" w:line="68" w:lineRule="exact"/>
        <w:rPr>
          <w:rFonts w:ascii="Arial" w:cs="Arial" w:eastAsia="Arial" w:hAnsi="Arial"/>
          <w:sz w:val="14"/>
          <w:szCs w:val="14"/>
          <w:color w:val="auto"/>
        </w:rPr>
      </w:pPr>
    </w:p>
    <w:p>
      <w:pPr>
        <w:ind w:left="680" w:right="40" w:hanging="334"/>
        <w:spacing w:after="0" w:line="273" w:lineRule="auto"/>
        <w:tabs>
          <w:tab w:leader="none" w:pos="680" w:val="left"/>
        </w:tabs>
        <w:numPr>
          <w:ilvl w:val="0"/>
          <w:numId w:val="2"/>
        </w:numPr>
        <w:rPr>
          <w:rFonts w:ascii="Arial" w:cs="Arial" w:eastAsia="Arial" w:hAnsi="Arial"/>
          <w:sz w:val="12"/>
          <w:szCs w:val="12"/>
          <w:color w:val="auto"/>
        </w:rPr>
      </w:pPr>
      <w:r>
        <w:rPr>
          <w:rFonts w:ascii="Arial" w:cs="Arial" w:eastAsia="Arial" w:hAnsi="Arial"/>
          <w:sz w:val="12"/>
          <w:szCs w:val="12"/>
          <w:color w:val="auto"/>
        </w:rPr>
        <w:t>Calculated pursuant to Rule 457(o) under the Securities Act of 1933, as amended. Pursuant to Rule 415(a)(6) under the Securities Act of 1933, as amended, this registration statement includes $823,796,000 of unsold securities of the registrant that have been previously registered on the Registration Statement on Form N-2 (File No. 333-172524) originally filed by the registrant on February 28, 2011 and most recently declared effective on April 24, 2013 (the “prior registration statement”). A filing fee of $95,643 was paid in connection with such unsold securities and is being offset against the total registration fee pursuant to Rule 457(p), resulting in a payment of $33,157 in connection with the filing of this Registration Statement. Pursuant to Rule 415(a)(6), the offering of the unsold securities registered under the prior registration statement will be deemed terminated as of the effective date of this Registration Statement.</w:t>
      </w:r>
    </w:p>
    <w:p>
      <w:pPr>
        <w:spacing w:after="0" w:line="37" w:lineRule="exact"/>
        <w:rPr>
          <w:sz w:val="20"/>
          <w:szCs w:val="20"/>
          <w:color w:val="auto"/>
        </w:rPr>
      </w:pPr>
    </w:p>
    <w:p>
      <w:pPr>
        <w:ind w:right="3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dates as the Securities and Exchange Commission, acting pursuant to said Section 8(a), may determine.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and sale is not permitted.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62865</wp:posOffset>
            </wp:positionV>
            <wp:extent cx="176657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6657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Units</w:t>
      </w:r>
    </w:p>
    <w:p>
      <w:pPr>
        <w:spacing w:after="0" w:line="42"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PennantPark Investment Corporation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Our investment objectives are to generate both current income and capital appreciation through debt and equity investments primarily in U.S. middle-market private companies in the form of senior secured loans, mezzanine debt and equity investments. We can offer no assurances that we will achieve our investment objectives.</w:t>
      </w:r>
    </w:p>
    <w:p>
      <w:pPr>
        <w:spacing w:after="0" w:line="59"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$1,000,000,000 of our common stock, preferred stock, warrants representing rights to purchase shares of our common stock, preferred stock or debt securities, subscription rights, debt securities, or units, which we refer to, collectively, as the “securities.”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37 of this prospectus for more information.</w:t>
      </w:r>
    </w:p>
    <w:p>
      <w:pPr>
        <w:spacing w:after="0" w:line="42"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“PNNT.” The last reported closing price for our common stock on December 6, 2013 was $11.93 per share, and our net asset value on September 30, 2013 was $10.49 per share. Our 6.25% senior notes due 2025, or the 2025 Notes, have been approved for quotation on the New York Stock Exchange, or NYSE, under the symbol “PNTA.” The last reported closing price of the 2025 Notes on December 6, 2013 was $23.93 per $25 of par.</w:t>
      </w:r>
    </w:p>
    <w:p>
      <w:pPr>
        <w:spacing w:after="0" w:line="62"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0"/>
          <w:szCs w:val="20"/>
          <w:color w:val="auto"/>
        </w:rPr>
      </w:pPr>
    </w:p>
    <w:p>
      <w:pPr>
        <w:ind w:right="60" w:firstLine="571"/>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13">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ind w:right="660" w:firstLine="571"/>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740"/>
        <w:spacing w:after="0"/>
        <w:tabs>
          <w:tab w:leader="none" w:pos="6220" w:val="left"/>
        </w:tabs>
        <w:rPr>
          <w:sz w:val="20"/>
          <w:szCs w:val="20"/>
          <w:color w:val="auto"/>
        </w:rPr>
      </w:pPr>
      <w:r>
        <w:rPr>
          <w:rFonts w:ascii="Arial" w:cs="Arial" w:eastAsia="Arial" w:hAnsi="Arial"/>
          <w:sz w:val="18"/>
          <w:szCs w:val="18"/>
          <w:b w:val="1"/>
          <w:bCs w:val="1"/>
          <w:color w:val="auto"/>
        </w:rPr>
        <w:t>Prospectus dated</w:t>
      </w:r>
      <w:r>
        <w:rPr>
          <w:sz w:val="20"/>
          <w:szCs w:val="20"/>
          <w:color w:val="auto"/>
        </w:rPr>
        <w:tab/>
      </w:r>
      <w:r>
        <w:rPr>
          <w:rFonts w:ascii="Arial" w:cs="Arial" w:eastAsia="Arial" w:hAnsi="Arial"/>
          <w:sz w:val="15"/>
          <w:szCs w:val="15"/>
          <w:b w:val="1"/>
          <w:bCs w:val="1"/>
          <w:color w:val="auto"/>
        </w:rPr>
        <w:t>, 2013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20" w:type="dxa"/>
            <w:vAlign w:val="bottom"/>
            <w:gridSpan w:val="3"/>
          </w:tcPr>
          <w:p>
            <w:pPr>
              <w:jc w:val="center"/>
              <w:ind w:right="4100"/>
              <w:spacing w:after="0"/>
              <w:rPr>
                <w:sz w:val="20"/>
                <w:szCs w:val="20"/>
                <w:color w:val="auto"/>
              </w:rPr>
            </w:pPr>
            <w:r>
              <w:rPr>
                <w:rFonts w:ascii="Arial" w:cs="Arial" w:eastAsia="Arial" w:hAnsi="Arial"/>
                <w:sz w:val="18"/>
                <w:szCs w:val="18"/>
                <w:b w:val="1"/>
                <w:bCs w:val="1"/>
                <w:color w:val="auto"/>
                <w:w w:val="96"/>
              </w:rPr>
              <w:t>TABLE OF CONTENTS</w:t>
            </w:r>
          </w:p>
        </w:tc>
        <w:tc>
          <w:tcPr>
            <w:tcW w:w="540" w:type="dxa"/>
            <w:vAlign w:val="bottom"/>
          </w:tcPr>
          <w:p>
            <w:pPr>
              <w:spacing w:after="0"/>
              <w:rPr>
                <w:sz w:val="19"/>
                <w:szCs w:val="19"/>
                <w:color w:val="auto"/>
              </w:rPr>
            </w:pPr>
          </w:p>
        </w:tc>
      </w:tr>
      <w:tr>
        <w:trPr>
          <w:trHeight w:val="353"/>
        </w:trPr>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23"/>
        </w:trPr>
        <w:tc>
          <w:tcPr>
            <w:tcW w:w="1078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7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22"/>
                <w:szCs w:val="22"/>
                <w:color w:val="auto"/>
              </w:rPr>
            </w:pPr>
          </w:p>
        </w:tc>
        <w:tc>
          <w:tcPr>
            <w:tcW w:w="8740" w:type="dxa"/>
            <w:vAlign w:val="bottom"/>
            <w:gridSpan w:val="2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FORWARD-LOOKING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64"/>
        </w:trPr>
        <w:tc>
          <w:tcPr>
            <w:tcW w:w="2860" w:type="dxa"/>
            <w:vAlign w:val="bottom"/>
            <w:tcBorders>
              <w:top w:val="single" w:sz="8" w:color="0000EE"/>
            </w:tcBorders>
            <w:gridSpan w:val="1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USE OF PROCEEDS</w:t>
              </w:r>
            </w:hyperlink>
          </w:p>
        </w:tc>
        <w:tc>
          <w:tcPr>
            <w:tcW w:w="7920" w:type="dxa"/>
            <w:vAlign w:val="bottom"/>
            <w:gridSpan w:val="18"/>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23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41">
              <w:r>
                <w:rPr>
                  <w:rFonts w:ascii="Arial" w:cs="Arial" w:eastAsia="Arial" w:hAnsi="Arial"/>
                  <w:sz w:val="18"/>
                  <w:szCs w:val="18"/>
                  <w:color w:val="0000EE"/>
                  <w:w w:val="95"/>
                </w:rPr>
                <w:t>SELECTED FINANCIAL DATA</w:t>
              </w:r>
            </w:hyperlink>
          </w:p>
        </w:tc>
        <w:tc>
          <w:tcPr>
            <w:tcW w:w="8400" w:type="dxa"/>
            <w:vAlign w:val="bottom"/>
            <w:gridSpan w:val="2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8700" w:type="dxa"/>
            <w:vAlign w:val="bottom"/>
            <w:tcBorders>
              <w:top w:val="single" w:sz="8" w:color="0000EE"/>
            </w:tcBorders>
            <w:gridSpan w:val="35"/>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SENIOR SECURITIES</w:t>
              </w:r>
            </w:hyperlink>
          </w:p>
        </w:tc>
        <w:tc>
          <w:tcPr>
            <w:tcW w:w="20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8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RATIO OF EARNINGS TO FIXED CHARGES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64"/>
        </w:trPr>
        <w:tc>
          <w:tcPr>
            <w:tcW w:w="2900" w:type="dxa"/>
            <w:vAlign w:val="bottom"/>
            <w:tcBorders>
              <w:top w:val="single" w:sz="8" w:color="0000EE"/>
              <w:bottom w:val="single" w:sz="8" w:color="0000EE"/>
            </w:tcBorders>
            <w:gridSpan w:val="19"/>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PRICE RANGE OF COMMON STOCK</w:t>
              </w:r>
            </w:hyperlink>
          </w:p>
        </w:tc>
        <w:tc>
          <w:tcPr>
            <w:tcW w:w="520" w:type="dxa"/>
            <w:vAlign w:val="bottom"/>
            <w:tcBorders>
              <w:top w:val="single" w:sz="8" w:color="0000EE"/>
            </w:tcBorders>
            <w:gridSpan w:val="4"/>
          </w:tcPr>
          <w:p>
            <w:pPr>
              <w:spacing w:after="0"/>
              <w:rPr>
                <w:sz w:val="22"/>
                <w:szCs w:val="22"/>
                <w:color w:val="auto"/>
              </w:rPr>
            </w:pPr>
          </w:p>
        </w:tc>
        <w:tc>
          <w:tcPr>
            <w:tcW w:w="7360" w:type="dxa"/>
            <w:vAlign w:val="bottom"/>
            <w:gridSpan w:val="1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64"/>
        </w:trPr>
        <w:tc>
          <w:tcPr>
            <w:tcW w:w="4540" w:type="dxa"/>
            <w:vAlign w:val="bottom"/>
            <w:tcBorders>
              <w:bottom w:val="single" w:sz="8" w:color="0000EE"/>
            </w:tcBorders>
            <w:gridSpan w:val="31"/>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SALES OF COMMON STOCK BELOW NET ASSET VALUE</w:t>
              </w:r>
            </w:hyperlink>
          </w:p>
        </w:tc>
        <w:tc>
          <w:tcPr>
            <w:tcW w:w="6240" w:type="dxa"/>
            <w:vAlign w:val="bottom"/>
            <w:gridSpan w:val="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64"/>
        </w:trPr>
        <w:tc>
          <w:tcPr>
            <w:tcW w:w="134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DISTRIBUTIONS</w:t>
              </w:r>
            </w:hyperlink>
          </w:p>
        </w:tc>
        <w:tc>
          <w:tcPr>
            <w:tcW w:w="9440" w:type="dxa"/>
            <w:vAlign w:val="bottom"/>
            <w:gridSpan w:val="3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840" w:type="dxa"/>
            <w:vAlign w:val="bottom"/>
            <w:tcBorders>
              <w:bottom w:val="single" w:sz="8" w:color="0000EE"/>
            </w:tcBorders>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BUSINESS</w:t>
              </w:r>
            </w:hyperlink>
          </w:p>
        </w:tc>
        <w:tc>
          <w:tcPr>
            <w:tcW w:w="9940" w:type="dxa"/>
            <w:vAlign w:val="bottom"/>
            <w:gridSpan w:val="3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INVESTMENT OBJECTIVES AND POLICIES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64"/>
        </w:trPr>
        <w:tc>
          <w:tcPr>
            <w:tcW w:w="3440" w:type="dxa"/>
            <w:vAlign w:val="bottom"/>
            <w:tcBorders>
              <w:top w:val="single" w:sz="8" w:color="0000EE"/>
            </w:tcBorders>
            <w:gridSpan w:val="24"/>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PORTFOLIO COMPANIES</w:t>
              </w:r>
            </w:hyperlink>
          </w:p>
        </w:tc>
        <w:tc>
          <w:tcPr>
            <w:tcW w:w="7340" w:type="dxa"/>
            <w:vAlign w:val="bottom"/>
            <w:gridSpan w:val="1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64"/>
        </w:trPr>
        <w:tc>
          <w:tcPr>
            <w:tcW w:w="12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7"/>
              </w:rPr>
            </w:pPr>
            <w:hyperlink w:anchor="page83">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22"/>
                <w:szCs w:val="22"/>
                <w:color w:val="auto"/>
              </w:rPr>
            </w:pPr>
          </w:p>
        </w:tc>
        <w:tc>
          <w:tcPr>
            <w:tcW w:w="8780" w:type="dxa"/>
            <w:vAlign w:val="bottom"/>
            <w:gridSpan w:val="25"/>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64"/>
        </w:trPr>
        <w:tc>
          <w:tcPr>
            <w:tcW w:w="4440" w:type="dxa"/>
            <w:vAlign w:val="bottom"/>
            <w:tcBorders>
              <w:bottom w:val="single" w:sz="8" w:color="0000EE"/>
            </w:tcBorders>
            <w:gridSpan w:val="30"/>
          </w:tcPr>
          <w:p>
            <w:pPr>
              <w:spacing w:after="0"/>
              <w:rPr>
                <w:rFonts w:ascii="Arial" w:cs="Arial" w:eastAsia="Arial" w:hAnsi="Arial"/>
                <w:sz w:val="18"/>
                <w:szCs w:val="18"/>
                <w:color w:val="0000EE"/>
                <w:w w:val="92"/>
              </w:rPr>
            </w:pPr>
            <w:hyperlink w:anchor="page90">
              <w:r>
                <w:rPr>
                  <w:rFonts w:ascii="Arial" w:cs="Arial" w:eastAsia="Arial" w:hAnsi="Arial"/>
                  <w:sz w:val="18"/>
                  <w:szCs w:val="18"/>
                  <w:color w:val="0000EE"/>
                  <w:w w:val="92"/>
                </w:rPr>
                <w:t>CONTROL PERSONS AND PRINCIPAL STOCKHOLDERS</w:t>
              </w:r>
            </w:hyperlink>
          </w:p>
        </w:tc>
        <w:tc>
          <w:tcPr>
            <w:tcW w:w="6340" w:type="dxa"/>
            <w:vAlign w:val="bottom"/>
            <w:gridSpan w:val="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CERTAIN RELATIONSHIPS AND TRANSACTIONS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64"/>
        </w:trPr>
        <w:tc>
          <w:tcPr>
            <w:tcW w:w="3300" w:type="dxa"/>
            <w:vAlign w:val="bottom"/>
            <w:tcBorders>
              <w:top w:val="single" w:sz="8" w:color="0000EE"/>
              <w:bottom w:val="single" w:sz="8" w:color="0000EE"/>
            </w:tcBorders>
            <w:gridSpan w:val="21"/>
          </w:tcPr>
          <w:p>
            <w:pPr>
              <w:spacing w:after="0"/>
              <w:rPr>
                <w:rFonts w:ascii="Arial" w:cs="Arial" w:eastAsia="Arial" w:hAnsi="Arial"/>
                <w:sz w:val="18"/>
                <w:szCs w:val="18"/>
                <w:color w:val="0000EE"/>
                <w:w w:val="94"/>
              </w:rPr>
            </w:pPr>
            <w:hyperlink w:anchor="page97">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6"/>
          </w:tcPr>
          <w:p>
            <w:pPr>
              <w:spacing w:after="0"/>
              <w:rPr>
                <w:sz w:val="22"/>
                <w:szCs w:val="22"/>
                <w:color w:val="auto"/>
              </w:rPr>
            </w:pPr>
          </w:p>
        </w:tc>
        <w:tc>
          <w:tcPr>
            <w:tcW w:w="6860" w:type="dxa"/>
            <w:vAlign w:val="bottom"/>
            <w:gridSpan w:val="9"/>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64"/>
        </w:trPr>
        <w:tc>
          <w:tcPr>
            <w:tcW w:w="2760" w:type="dxa"/>
            <w:vAlign w:val="bottom"/>
            <w:tcBorders>
              <w:bottom w:val="single" w:sz="8" w:color="0000EE"/>
            </w:tcBorders>
            <w:gridSpan w:val="16"/>
          </w:tcPr>
          <w:p>
            <w:pPr>
              <w:spacing w:after="0"/>
              <w:rPr>
                <w:rFonts w:ascii="Arial" w:cs="Arial" w:eastAsia="Arial" w:hAnsi="Arial"/>
                <w:sz w:val="18"/>
                <w:szCs w:val="18"/>
                <w:color w:val="0000EE"/>
                <w:w w:val="96"/>
              </w:rPr>
            </w:pPr>
            <w:hyperlink w:anchor="page99">
              <w:r>
                <w:rPr>
                  <w:rFonts w:ascii="Arial" w:cs="Arial" w:eastAsia="Arial" w:hAnsi="Arial"/>
                  <w:sz w:val="18"/>
                  <w:szCs w:val="18"/>
                  <w:color w:val="0000EE"/>
                  <w:w w:val="96"/>
                </w:rPr>
                <w:t>DIVIDEND REINVESTMENT PLAN</w:t>
              </w:r>
            </w:hyperlink>
          </w:p>
        </w:tc>
        <w:tc>
          <w:tcPr>
            <w:tcW w:w="8020" w:type="dxa"/>
            <w:vAlign w:val="bottom"/>
            <w:gridSpan w:val="2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64"/>
        </w:trPr>
        <w:tc>
          <w:tcPr>
            <w:tcW w:w="3220" w:type="dxa"/>
            <w:vAlign w:val="bottom"/>
            <w:tcBorders>
              <w:bottom w:val="single" w:sz="8" w:color="0000EE"/>
            </w:tcBorders>
            <w:gridSpan w:val="20"/>
          </w:tcPr>
          <w:p>
            <w:pPr>
              <w:spacing w:after="0"/>
              <w:rPr>
                <w:rFonts w:ascii="Arial" w:cs="Arial" w:eastAsia="Arial" w:hAnsi="Arial"/>
                <w:sz w:val="18"/>
                <w:szCs w:val="18"/>
                <w:color w:val="0000EE"/>
                <w:w w:val="92"/>
              </w:rPr>
            </w:pPr>
            <w:hyperlink w:anchor="page100">
              <w:r>
                <w:rPr>
                  <w:rFonts w:ascii="Arial" w:cs="Arial" w:eastAsia="Arial" w:hAnsi="Arial"/>
                  <w:sz w:val="18"/>
                  <w:szCs w:val="18"/>
                  <w:color w:val="0000EE"/>
                  <w:w w:val="92"/>
                </w:rPr>
                <w:t>DESCRIPTION OF OUR CAPITAL STOCK</w:t>
              </w:r>
            </w:hyperlink>
          </w:p>
        </w:tc>
        <w:tc>
          <w:tcPr>
            <w:tcW w:w="7560" w:type="dxa"/>
            <w:vAlign w:val="bottom"/>
            <w:gridSpan w:val="16"/>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05">
              <w:r>
                <w:rPr>
                  <w:rFonts w:ascii="Arial" w:cs="Arial" w:eastAsia="Arial" w:hAnsi="Arial"/>
                  <w:sz w:val="18"/>
                  <w:szCs w:val="18"/>
                  <w:color w:val="0000EE"/>
                </w:rPr>
                <w:t>DESCRIPTION OF OUR PREFERRED STOCK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64"/>
        </w:trPr>
        <w:tc>
          <w:tcPr>
            <w:tcW w:w="3480" w:type="dxa"/>
            <w:vAlign w:val="bottom"/>
            <w:tcBorders>
              <w:top w:val="single" w:sz="8" w:color="0000EE"/>
            </w:tcBorders>
            <w:gridSpan w:val="2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DESCRIPTION OF OUR WARRANTS</w:t>
              </w:r>
            </w:hyperlink>
          </w:p>
        </w:tc>
        <w:tc>
          <w:tcPr>
            <w:tcW w:w="7300" w:type="dxa"/>
            <w:vAlign w:val="bottom"/>
            <w:gridSpan w:val="1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DESCRIPTION OF OUR SUBSCRIPTION RIGHTS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4"/>
        </w:trPr>
        <w:tc>
          <w:tcPr>
            <w:tcW w:w="33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108">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4"/>
          </w:tcPr>
          <w:p>
            <w:pPr>
              <w:spacing w:after="0"/>
              <w:rPr>
                <w:sz w:val="22"/>
                <w:szCs w:val="22"/>
                <w:color w:val="auto"/>
              </w:rPr>
            </w:pPr>
          </w:p>
        </w:tc>
        <w:tc>
          <w:tcPr>
            <w:tcW w:w="6980" w:type="dxa"/>
            <w:vAlign w:val="bottom"/>
            <w:gridSpan w:val="10"/>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64"/>
        </w:trPr>
        <w:tc>
          <w:tcPr>
            <w:tcW w:w="240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119">
              <w:r>
                <w:rPr>
                  <w:rFonts w:ascii="Arial" w:cs="Arial" w:eastAsia="Arial" w:hAnsi="Arial"/>
                  <w:sz w:val="18"/>
                  <w:szCs w:val="18"/>
                  <w:color w:val="0000EE"/>
                  <w:w w:val="92"/>
                </w:rPr>
                <w:t>DESCRIPTION OF OUR UNITS</w:t>
              </w:r>
            </w:hyperlink>
          </w:p>
        </w:tc>
        <w:tc>
          <w:tcPr>
            <w:tcW w:w="8380" w:type="dxa"/>
            <w:vAlign w:val="bottom"/>
            <w:gridSpan w:val="2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64"/>
        </w:trPr>
        <w:tc>
          <w:tcPr>
            <w:tcW w:w="11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120">
              <w:r>
                <w:rPr>
                  <w:rFonts w:ascii="Arial" w:cs="Arial" w:eastAsia="Arial" w:hAnsi="Arial"/>
                  <w:sz w:val="18"/>
                  <w:szCs w:val="18"/>
                  <w:color w:val="0000EE"/>
                  <w:w w:val="93"/>
                </w:rPr>
                <w:t>REGULATION</w:t>
              </w:r>
            </w:hyperlink>
          </w:p>
        </w:tc>
        <w:tc>
          <w:tcPr>
            <w:tcW w:w="9660" w:type="dxa"/>
            <w:vAlign w:val="bottom"/>
            <w:gridSpan w:val="3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64"/>
        </w:trPr>
        <w:tc>
          <w:tcPr>
            <w:tcW w:w="438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125">
              <w:r>
                <w:rPr>
                  <w:rFonts w:ascii="Arial" w:cs="Arial" w:eastAsia="Arial" w:hAnsi="Arial"/>
                  <w:sz w:val="18"/>
                  <w:szCs w:val="18"/>
                  <w:color w:val="0000EE"/>
                  <w:w w:val="93"/>
                </w:rPr>
                <w:t>BROKERAGE ALLOCATIONS AND OTHER PRACTICES</w:t>
              </w:r>
            </w:hyperlink>
          </w:p>
        </w:tc>
        <w:tc>
          <w:tcPr>
            <w:tcW w:w="6400" w:type="dxa"/>
            <w:vAlign w:val="bottom"/>
            <w:gridSpan w:val="7"/>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64"/>
        </w:trPr>
        <w:tc>
          <w:tcPr>
            <w:tcW w:w="4760" w:type="dxa"/>
            <w:vAlign w:val="bottom"/>
            <w:tcBorders>
              <w:bottom w:val="single" w:sz="8" w:color="0000EE"/>
            </w:tcBorders>
            <w:gridSpan w:val="33"/>
          </w:tcPr>
          <w:p>
            <w:pPr>
              <w:spacing w:after="0"/>
              <w:rPr>
                <w:rFonts w:ascii="Arial" w:cs="Arial" w:eastAsia="Arial" w:hAnsi="Arial"/>
                <w:sz w:val="18"/>
                <w:szCs w:val="18"/>
                <w:color w:val="0000EE"/>
                <w:w w:val="94"/>
              </w:rPr>
            </w:pPr>
            <w:hyperlink w:anchor="page126">
              <w:r>
                <w:rPr>
                  <w:rFonts w:ascii="Arial" w:cs="Arial" w:eastAsia="Arial" w:hAnsi="Arial"/>
                  <w:sz w:val="18"/>
                  <w:szCs w:val="18"/>
                  <w:color w:val="0000EE"/>
                  <w:w w:val="94"/>
                </w:rPr>
                <w:t>MATERIAL U.S. FEDERAL INCOME TAX CONSIDERATIONS</w:t>
              </w:r>
            </w:hyperlink>
          </w:p>
        </w:tc>
        <w:tc>
          <w:tcPr>
            <w:tcW w:w="6020" w:type="dxa"/>
            <w:vAlign w:val="bottom"/>
            <w:gridSpan w:val="3"/>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PLAN OF DISTRIBUTION</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5800" w:type="dxa"/>
            <w:vAlign w:val="bottom"/>
            <w:tcBorders>
              <w:bottom w:val="single" w:sz="8" w:color="0000EE"/>
            </w:tcBorders>
            <w:gridSpan w:val="34"/>
          </w:tcPr>
          <w:p>
            <w:pPr>
              <w:spacing w:after="0"/>
              <w:rPr>
                <w:rFonts w:ascii="Arial" w:cs="Arial" w:eastAsia="Arial" w:hAnsi="Arial"/>
                <w:sz w:val="18"/>
                <w:szCs w:val="18"/>
                <w:color w:val="0000EE"/>
                <w:w w:val="94"/>
              </w:rPr>
            </w:pPr>
            <w:hyperlink w:anchor="page132">
              <w:r>
                <w:rPr>
                  <w:rFonts w:ascii="Arial" w:cs="Arial" w:eastAsia="Arial" w:hAnsi="Arial"/>
                  <w:sz w:val="18"/>
                  <w:szCs w:val="18"/>
                  <w:color w:val="0000EE"/>
                  <w:w w:val="94"/>
                </w:rPr>
                <w:t>SUB-ADMINISTRATOR, CUSTODIAN, TRANSFER AGENT AND TRUSTEE</w:t>
              </w:r>
            </w:hyperlink>
          </w:p>
        </w:tc>
        <w:tc>
          <w:tcPr>
            <w:tcW w:w="4980" w:type="dxa"/>
            <w:vAlign w:val="bottom"/>
            <w:gridSpan w:val="2"/>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LEGAL MATTERS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0"/>
        </w:trPr>
        <w:tc>
          <w:tcPr>
            <w:tcW w:w="1080" w:type="dxa"/>
            <w:vAlign w:val="bottom"/>
            <w:gridSpan w:val="2"/>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1060" w:type="dxa"/>
            <w:vAlign w:val="bottom"/>
            <w:gridSpan w:val="8"/>
          </w:tcPr>
          <w:p>
            <w:pPr>
              <w:spacing w:after="0" w:line="20" w:lineRule="exact"/>
              <w:rPr>
                <w:sz w:val="1"/>
                <w:szCs w:val="1"/>
                <w:color w:val="auto"/>
              </w:rPr>
            </w:pPr>
          </w:p>
        </w:tc>
        <w:tc>
          <w:tcPr>
            <w:tcW w:w="1880" w:type="dxa"/>
            <w:vAlign w:val="bottom"/>
            <w:gridSpan w:val="1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64"/>
        </w:trPr>
        <w:tc>
          <w:tcPr>
            <w:tcW w:w="436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94"/>
              </w:rPr>
            </w:pPr>
            <w:hyperlink w:anchor="page133">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22"/>
                <w:szCs w:val="22"/>
                <w:color w:val="auto"/>
              </w:rPr>
            </w:pPr>
          </w:p>
        </w:tc>
        <w:tc>
          <w:tcPr>
            <w:tcW w:w="6100" w:type="dxa"/>
            <w:vAlign w:val="bottom"/>
            <w:gridSpan w:val="4"/>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64"/>
        </w:trPr>
        <w:tc>
          <w:tcPr>
            <w:tcW w:w="248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162">
              <w:r>
                <w:rPr>
                  <w:rFonts w:ascii="Arial" w:cs="Arial" w:eastAsia="Arial" w:hAnsi="Arial"/>
                  <w:sz w:val="18"/>
                  <w:szCs w:val="18"/>
                  <w:color w:val="0000EE"/>
                  <w:w w:val="92"/>
                </w:rPr>
                <w:t>PART C OTHER INFORMATION</w:t>
              </w:r>
            </w:hyperlink>
          </w:p>
        </w:tc>
        <w:tc>
          <w:tcPr>
            <w:tcW w:w="8300" w:type="dxa"/>
            <w:vAlign w:val="bottom"/>
            <w:gridSpan w:val="21"/>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64"/>
        </w:trPr>
        <w:tc>
          <w:tcPr>
            <w:tcW w:w="10780" w:type="dxa"/>
            <w:vAlign w:val="bottom"/>
            <w:gridSpan w:val="36"/>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SIGNATURES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C-12</w:t>
            </w:r>
          </w:p>
        </w:tc>
      </w:tr>
      <w:tr>
        <w:trPr>
          <w:trHeight w:val="383"/>
        </w:trPr>
        <w:tc>
          <w:tcPr>
            <w:tcW w:w="8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20" w:type="dxa"/>
            <w:vAlign w:val="bottom"/>
            <w:gridSpan w:val="3"/>
          </w:tcPr>
          <w:p>
            <w:pPr>
              <w:jc w:val="center"/>
              <w:ind w:right="4120"/>
              <w:spacing w:after="0"/>
              <w:rPr>
                <w:sz w:val="20"/>
                <w:szCs w:val="20"/>
                <w:color w:val="auto"/>
              </w:rPr>
            </w:pPr>
            <w:r>
              <w:rPr>
                <w:rFonts w:ascii="Arial" w:cs="Arial" w:eastAsia="Arial" w:hAnsi="Arial"/>
                <w:sz w:val="18"/>
                <w:szCs w:val="18"/>
                <w:color w:val="auto"/>
              </w:rPr>
              <w:t>i</w:t>
            </w:r>
          </w:p>
        </w:tc>
        <w:tc>
          <w:tcPr>
            <w:tcW w:w="54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$1,000,000,000 of our common stock, preferred stock, warrants representing rights to purchase shares of our common stock, preferred stock or debt securities, subscription rights, debt securities, or units on the terms to be determined at the time of the offering. We may sell our common stock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23" w:lineRule="exact"/>
        <w:rPr>
          <w:sz w:val="20"/>
          <w:szCs w:val="20"/>
          <w:color w:val="auto"/>
        </w:rPr>
      </w:pPr>
    </w:p>
    <w:p>
      <w:pPr>
        <w:ind w:left="320" w:right="20" w:firstLine="540"/>
        <w:spacing w:after="0" w:line="285"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our consolidated small business investment company, or SBIC, subsidiaries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“PennantPark Investment Advisers” or “Investment Adviser” refers to PennantPark Investment Advisers, LLC; and “PennantPark Investment Administration” or “Administrator” refers to PennantPark Investment Administration, LLC; “SBA” refers to the Small Business Administration; “Credit Facility” refers to our multi-currency, senior secured revolving credit facility; “2025 Notes” refers to our 6.25% senior notes due 2025; “1940 Act” refers to the Investment Company Act of 1940, as amended; “Code” refers to the Internal Revenue Code of 1986, as amended; “RIC” refers to a regulated investment company under the Code; and “BDC” refers to a business development company under the 1940 Act.</w:t>
      </w:r>
    </w:p>
    <w:p>
      <w:pPr>
        <w:spacing w:after="0" w:line="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General Business of PennantPark Investment Corporation</w:t>
      </w:r>
    </w:p>
    <w:p>
      <w:pPr>
        <w:spacing w:after="0" w:line="123" w:lineRule="exact"/>
        <w:rPr>
          <w:sz w:val="20"/>
          <w:szCs w:val="20"/>
          <w:color w:val="auto"/>
        </w:rPr>
      </w:pPr>
    </w:p>
    <w:p>
      <w:pPr>
        <w:ind w:left="320" w:right="260" w:firstLine="540"/>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31" w:lineRule="exact"/>
        <w:rPr>
          <w:sz w:val="20"/>
          <w:szCs w:val="20"/>
          <w:color w:val="auto"/>
        </w:rPr>
      </w:pPr>
    </w:p>
    <w:p>
      <w:pPr>
        <w:ind w:left="320" w:right="100" w:firstLine="540"/>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64" w:lineRule="exact"/>
        <w:rPr>
          <w:sz w:val="20"/>
          <w:szCs w:val="20"/>
          <w:color w:val="auto"/>
        </w:rPr>
      </w:pPr>
    </w:p>
    <w:p>
      <w:pPr>
        <w:ind w:left="320" w:firstLine="540"/>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or any future credit facility, the SBA debentures, proceeds from the rotation of our portfolio and proceeds from public and private offerings of securities to finance our investment objectives.</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left="320" w:right="280" w:firstLine="540"/>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1" w:lineRule="exact"/>
        <w:rPr>
          <w:sz w:val="20"/>
          <w:szCs w:val="20"/>
          <w:color w:val="auto"/>
        </w:rPr>
      </w:pPr>
    </w:p>
    <w:p>
      <w:pPr>
        <w:ind w:left="320" w:right="20" w:firstLine="540"/>
        <w:spacing w:after="0" w:line="255"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24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302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930265"/>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60" w:lineRule="exact"/>
        <w:rPr>
          <w:sz w:val="20"/>
          <w:szCs w:val="20"/>
          <w:color w:val="auto"/>
        </w:rPr>
      </w:pPr>
    </w:p>
    <w:p>
      <w:pPr>
        <w:ind w:left="320" w:right="40" w:firstLine="540"/>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320" w:firstLine="540"/>
        <w:spacing w:after="0" w:line="291" w:lineRule="auto"/>
        <w:rPr>
          <w:sz w:val="20"/>
          <w:szCs w:val="20"/>
          <w:color w:val="auto"/>
        </w:rPr>
      </w:pPr>
      <w:r>
        <w:rPr>
          <w:rFonts w:ascii="Arial" w:cs="Arial" w:eastAsia="Arial" w:hAnsi="Arial"/>
          <w:sz w:val="16"/>
          <w:szCs w:val="16"/>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increasing difficulty in raising debt through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5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320" w:right="200" w:firstLine="540"/>
        <w:spacing w:after="0" w:line="323" w:lineRule="auto"/>
        <w:rPr>
          <w:sz w:val="20"/>
          <w:szCs w:val="20"/>
          <w:color w:val="auto"/>
        </w:rPr>
      </w:pPr>
      <w:r>
        <w:rPr>
          <w:rFonts w:ascii="Arial" w:cs="Arial" w:eastAsia="Arial" w:hAnsi="Arial"/>
          <w:sz w:val="15"/>
          <w:szCs w:val="15"/>
          <w:color w:val="auto"/>
        </w:rPr>
        <w:t>We believe that we have competitive advantages over other capital providers in middle-market companies, such as a management team with an average of over 25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320" w:right="40" w:firstLine="540"/>
        <w:spacing w:after="0" w:line="290"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 See “Risk Factors—Risks Relating to our Business and Structure—We operate in a highly competitive market for investment opportunities” for more information.</w:t>
      </w:r>
    </w:p>
    <w:p>
      <w:pPr>
        <w:spacing w:after="0" w:line="28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24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238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123815"/>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320" w:right="20" w:firstLine="540"/>
        <w:spacing w:after="0" w:line="290" w:lineRule="auto"/>
        <w:rPr>
          <w:sz w:val="20"/>
          <w:szCs w:val="20"/>
          <w:color w:val="auto"/>
        </w:rPr>
      </w:pPr>
      <w:r>
        <w:rPr>
          <w:rFonts w:ascii="Arial" w:cs="Arial" w:eastAsia="Arial" w:hAnsi="Arial"/>
          <w:sz w:val="16"/>
          <w:szCs w:val="16"/>
          <w:color w:val="auto"/>
        </w:rPr>
        <w:t>We currently use and expect to continue to use leverage from our Credit Facility, our SBA debentures and our 2025 Notes to make investments. As a result, we may continue to be exposed to the risks associated with leverage. See “Risk Factors — Risks Relating to our Business and Structure” for more information. We believe that our capital resources provide us with the flexibility to take advantage of market opportunities when they arise. Our use of leverage, as calculated under the asset coverage requirements of the 1940 Act, may generally range between 60% to 80% of our net assets. We cannot assure investors that our leverage will remain within that range. The amount of leverage that we employ will depend on our assessment of the market and other factors at the time of any proposed borrowing. See “Management’s Discussion and Analysis of Financial Condition and Results of Operations — Liquidity and Capital Resources” for more information.</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Operating and Regulatory Structure</w:t>
      </w:r>
    </w:p>
    <w:p>
      <w:pPr>
        <w:spacing w:after="0" w:line="218" w:lineRule="exact"/>
        <w:rPr>
          <w:sz w:val="20"/>
          <w:szCs w:val="20"/>
          <w:color w:val="auto"/>
        </w:rPr>
      </w:pPr>
    </w:p>
    <w:p>
      <w:pPr>
        <w:ind w:left="320" w:right="40" w:firstLine="540"/>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53" w:lineRule="exact"/>
        <w:rPr>
          <w:sz w:val="20"/>
          <w:szCs w:val="20"/>
          <w:color w:val="auto"/>
        </w:rPr>
      </w:pPr>
    </w:p>
    <w:p>
      <w:pPr>
        <w:ind w:left="320" w:right="300" w:firstLine="540"/>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 Administration Agreements” for more information.</w:t>
      </w:r>
    </w:p>
    <w:p>
      <w:pPr>
        <w:spacing w:after="0" w:line="183" w:lineRule="exact"/>
        <w:rPr>
          <w:sz w:val="20"/>
          <w:szCs w:val="20"/>
          <w:color w:val="auto"/>
        </w:rPr>
      </w:pPr>
    </w:p>
    <w:p>
      <w:pPr>
        <w:ind w:left="320" w:right="60" w:firstLine="540"/>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147" w:lineRule="exact"/>
        <w:rPr>
          <w:sz w:val="20"/>
          <w:szCs w:val="20"/>
          <w:color w:val="auto"/>
        </w:rPr>
      </w:pPr>
    </w:p>
    <w:p>
      <w:pPr>
        <w:ind w:left="320" w:right="200" w:firstLine="540"/>
        <w:spacing w:after="0" w:line="259" w:lineRule="auto"/>
        <w:rPr>
          <w:sz w:val="20"/>
          <w:szCs w:val="20"/>
          <w:color w:val="auto"/>
        </w:rPr>
      </w:pPr>
      <w:r>
        <w:rPr>
          <w:rFonts w:ascii="Arial" w:cs="Arial" w:eastAsia="Arial" w:hAnsi="Arial"/>
          <w:sz w:val="18"/>
          <w:szCs w:val="18"/>
          <w:color w:val="auto"/>
        </w:rPr>
        <w:t>Our wholly-owned SBIC Funds received licenses from the SBA to operate as SBICs under Section 301(c) of the 1958 Act and are regulated by the SBA. The SBA regulates, among other matters, investing activities and periodically examines our SBIC Funds’ operations. We serve as the investment adviser and administrator to our SBIC Funds. See “Regulation” for more information.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320" w:firstLine="540"/>
        <w:spacing w:after="0" w:line="294"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September 30, 2013, the corresponding interest rate charged on such borrowings as of that date and the length of time that it may take us to invest any proceeds in new or existing portfolio companies.</w:t>
      </w:r>
    </w:p>
    <w:p>
      <w:pPr>
        <w:spacing w:after="0" w:line="27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24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23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392303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860"/>
        <w:spacing w:after="0"/>
        <w:rPr>
          <w:sz w:val="20"/>
          <w:szCs w:val="20"/>
          <w:color w:val="auto"/>
        </w:rPr>
      </w:pPr>
      <w:r>
        <w:rPr>
          <w:rFonts w:ascii="Arial" w:cs="Arial" w:eastAsia="Arial" w:hAnsi="Arial"/>
          <w:sz w:val="16"/>
          <w:szCs w:val="16"/>
          <w:color w:val="auto"/>
        </w:rPr>
        <w:t>On November 21, 2013, upon the recommendations of the audit committee, the board of directors dismissed KPMG LLP, and engaged</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McGladrey LLP, as the Company’s independent registered public accounting firm for the year ending September 30, 2014. For further information, see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Form 8-K filed on November 25, 2013.</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Ratio of Earnings to Fixed Charges</w:t>
      </w:r>
    </w:p>
    <w:p>
      <w:pPr>
        <w:spacing w:after="0" w:line="96" w:lineRule="exact"/>
        <w:rPr>
          <w:sz w:val="20"/>
          <w:szCs w:val="20"/>
          <w:color w:val="auto"/>
        </w:rPr>
      </w:pPr>
    </w:p>
    <w:p>
      <w:pPr>
        <w:ind w:left="320" w:right="520" w:firstLine="540"/>
        <w:spacing w:after="0" w:line="268" w:lineRule="auto"/>
        <w:rPr>
          <w:sz w:val="20"/>
          <w:szCs w:val="20"/>
          <w:color w:val="auto"/>
        </w:rPr>
      </w:pPr>
      <w:r>
        <w:rPr>
          <w:rFonts w:ascii="Arial" w:cs="Arial" w:eastAsia="Arial" w:hAnsi="Arial"/>
          <w:sz w:val="18"/>
          <w:szCs w:val="18"/>
          <w:color w:val="auto"/>
        </w:rPr>
        <w:t>For the years ended September 30, 2013, 2012, 2011, 2010 and 2009, our ratios of earnings to fixed charges were 6.0, 5.4, 1.9, 4.5 and 7.7, respectively. See “Ratio of Earnings to Fixed Charges”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Distributions on Common Stock</w:t>
      </w:r>
    </w:p>
    <w:p>
      <w:pPr>
        <w:spacing w:after="0" w:line="96" w:lineRule="exact"/>
        <w:rPr>
          <w:sz w:val="20"/>
          <w:szCs w:val="20"/>
          <w:color w:val="auto"/>
        </w:rPr>
      </w:pPr>
    </w:p>
    <w:p>
      <w:pPr>
        <w:ind w:left="320" w:firstLine="540"/>
        <w:spacing w:after="0" w:line="268" w:lineRule="auto"/>
        <w:rPr>
          <w:sz w:val="20"/>
          <w:szCs w:val="20"/>
          <w:color w:val="auto"/>
        </w:rPr>
      </w:pPr>
      <w:r>
        <w:rPr>
          <w:rFonts w:ascii="Arial" w:cs="Arial" w:eastAsia="Arial" w:hAnsi="Arial"/>
          <w:sz w:val="18"/>
          <w:szCs w:val="18"/>
          <w:color w:val="auto"/>
        </w:rPr>
        <w:t>We intend to continue making quarterly distributions to our common stockholders. Our quarterly distributions, if any, are determined by our board of directors. See “Distributions”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320" w:right="220" w:firstLine="540"/>
        <w:spacing w:after="0" w:line="318" w:lineRule="auto"/>
        <w:rPr>
          <w:sz w:val="20"/>
          <w:szCs w:val="20"/>
          <w:color w:val="auto"/>
        </w:rPr>
      </w:pPr>
      <w:r>
        <w:rPr>
          <w:rFonts w:ascii="Arial" w:cs="Arial" w:eastAsia="Arial" w:hAnsi="Arial"/>
          <w:sz w:val="15"/>
          <w:szCs w:val="15"/>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320" w:right="80" w:firstLine="540"/>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486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3486150"/>
                    </a:xfrm>
                    <a:prstGeom prst="rect">
                      <a:avLst/>
                    </a:prstGeom>
                    <a:noFill/>
                  </pic:spPr>
                </pic:pic>
              </a:graphicData>
            </a:graphic>
          </wp:anchor>
        </w:drawing>
      </w:r>
    </w:p>
    <w:p>
      <w:pPr>
        <w:spacing w:after="0" w:line="3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320" w:right="200" w:firstLine="540"/>
        <w:spacing w:after="0" w:line="268" w:lineRule="auto"/>
        <w:rPr>
          <w:sz w:val="20"/>
          <w:szCs w:val="20"/>
          <w:color w:val="auto"/>
        </w:rPr>
      </w:pPr>
      <w:r>
        <w:rPr>
          <w:rFonts w:ascii="Arial" w:cs="Arial" w:eastAsia="Arial" w:hAnsi="Arial"/>
          <w:sz w:val="18"/>
          <w:szCs w:val="18"/>
          <w:color w:val="auto"/>
        </w:rPr>
        <w:t>We may offer, from time to time, up to $1 billion of our securities, on terms to be determined at the time of each such offering and set forth in a supplement to this prospectus.</w:t>
      </w:r>
    </w:p>
    <w:p>
      <w:pPr>
        <w:spacing w:after="0" w:line="51" w:lineRule="exact"/>
        <w:rPr>
          <w:sz w:val="20"/>
          <w:szCs w:val="20"/>
          <w:color w:val="auto"/>
        </w:rPr>
      </w:pPr>
    </w:p>
    <w:p>
      <w:pPr>
        <w:ind w:left="320" w:firstLine="540"/>
        <w:spacing w:after="0" w:line="312" w:lineRule="auto"/>
        <w:rPr>
          <w:sz w:val="20"/>
          <w:szCs w:val="20"/>
          <w:color w:val="auto"/>
        </w:rPr>
      </w:pPr>
      <w:r>
        <w:rPr>
          <w:rFonts w:ascii="Arial" w:cs="Arial" w:eastAsia="Arial" w:hAnsi="Arial"/>
          <w:sz w:val="15"/>
          <w:szCs w:val="15"/>
          <w:color w:val="auto"/>
        </w:rPr>
        <w:t>Securities may be offered at prices and on terms described in one or more supplements to this prospectus. We may sell our common stock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24" w:lineRule="exact"/>
        <w:rPr>
          <w:sz w:val="20"/>
          <w:szCs w:val="20"/>
          <w:color w:val="auto"/>
        </w:rPr>
      </w:pPr>
    </w:p>
    <w:p>
      <w:pPr>
        <w:ind w:left="320" w:right="60" w:firstLine="540"/>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320" w:firstLine="540"/>
        <w:spacing w:after="0" w:line="288"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“PNNT.” Our 2025 Notes are quoted on the NYSE under the symbol “PNTA.”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Information contained on our website is not incorporated by reference into this prospectus or any supplements to this prospectus, and you should not consider information contained on our website to be part of this prospectus or any supplements to this prospectus. We file periodic reports, proxy statements and other information with the SEC and make such reports available on our website free of charge as soon as reasonably practicable.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8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ectPr>
          <w:pgSz w:w="11900" w:h="16838" w:orient="portrait"/>
          <w:cols w:equalWidth="0" w:num="1">
            <w:col w:w="11420"/>
          </w:cols>
          <w:pgMar w:left="240" w:top="459"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Sales load</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Offering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Estimated annual expenses (as a percentage of average net assets attributable to common shares)</w:t>
      </w:r>
      <w:r>
        <w:rPr>
          <w:rFonts w:ascii="Arial" w:cs="Arial" w:eastAsia="Arial" w:hAnsi="Arial"/>
          <w:sz w:val="10"/>
          <w:szCs w:val="10"/>
          <w:color w:val="auto"/>
        </w:rPr>
        <w:t>(3)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Management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Interest on borrowed funds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estimated annual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5176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p>
      <w:pPr>
        <w:spacing w:after="0" w:line="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3.02%</w:t>
      </w:r>
      <w:r>
        <w:rPr>
          <w:rFonts w:ascii="Arial" w:cs="Arial" w:eastAsia="Arial" w:hAnsi="Arial"/>
          <w:sz w:val="10"/>
          <w:szCs w:val="10"/>
          <w:color w:val="auto"/>
        </w:rPr>
        <w:t>(4)</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2.42%</w:t>
      </w:r>
      <w:r>
        <w:rPr>
          <w:rFonts w:ascii="Arial" w:cs="Arial" w:eastAsia="Arial" w:hAnsi="Arial"/>
          <w:sz w:val="10"/>
          <w:szCs w:val="10"/>
          <w:color w:val="auto"/>
        </w:rPr>
        <w:t>(5)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2.32%</w:t>
      </w:r>
      <w:r>
        <w:rPr>
          <w:rFonts w:ascii="Arial" w:cs="Arial" w:eastAsia="Arial" w:hAnsi="Arial"/>
          <w:sz w:val="10"/>
          <w:szCs w:val="10"/>
          <w:color w:val="auto"/>
        </w:rPr>
        <w:t>(6)</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0.32%</w:t>
      </w: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51435</wp:posOffset>
            </wp:positionV>
            <wp:extent cx="231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8.08%</w:t>
      </w:r>
      <w:r>
        <w:rPr>
          <w:rFonts w:ascii="Arial" w:cs="Arial" w:eastAsia="Arial" w:hAnsi="Arial"/>
          <w:sz w:val="10"/>
          <w:szCs w:val="10"/>
          <w:color w:val="auto"/>
        </w:rPr>
        <w:t>(8)</w:t>
      </w:r>
    </w:p>
    <w:p>
      <w:pPr>
        <w:spacing w:after="0" w:line="230" w:lineRule="exact"/>
        <w:rPr>
          <w:sz w:val="20"/>
          <w:szCs w:val="20"/>
          <w:color w:val="auto"/>
        </w:rPr>
      </w:pPr>
    </w:p>
    <w:p>
      <w:pPr>
        <w:sectPr>
          <w:pgSz w:w="11900" w:h="16838" w:orient="portrait"/>
          <w:cols w:equalWidth="0" w:num="2">
            <w:col w:w="10100" w:space="720"/>
            <w:col w:w="600"/>
          </w:cols>
          <w:pgMar w:left="240" w:top="459" w:right="239" w:bottom="1440" w:gutter="0" w:footer="0" w:header="0"/>
          <w:type w:val="continuous"/>
        </w:sectPr>
      </w:pPr>
    </w:p>
    <w:p>
      <w:pPr>
        <w:spacing w:after="0" w:line="137" w:lineRule="exact"/>
        <w:rPr>
          <w:sz w:val="20"/>
          <w:szCs w:val="20"/>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 the event that the securities to which this prospectus relates are sold to or through underwriters or agents, a corresponding prospectus supplement will disclose the applicable sales load.</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related prospectus supplement will disclose the estimated amount of offering expenses, the offering price and the offering expenses borne by us as a percentage of the offering price.</w:t>
      </w:r>
    </w:p>
    <w:p>
      <w:pPr>
        <w:spacing w:after="0" w:line="91" w:lineRule="exact"/>
        <w:rPr>
          <w:rFonts w:ascii="Arial" w:cs="Arial" w:eastAsia="Arial" w:hAnsi="Arial"/>
          <w:sz w:val="12"/>
          <w:szCs w:val="12"/>
          <w:color w:val="auto"/>
        </w:rPr>
      </w:pPr>
    </w:p>
    <w:p>
      <w:pPr>
        <w:ind w:left="580" w:hanging="572"/>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Net assets attributable to common shares equals average net assets for the three months ended September 30, 2013.</w:t>
      </w:r>
    </w:p>
    <w:p>
      <w:pPr>
        <w:spacing w:after="0" w:line="68" w:lineRule="exact"/>
        <w:rPr>
          <w:rFonts w:ascii="Arial" w:cs="Arial" w:eastAsia="Arial" w:hAnsi="Arial"/>
          <w:sz w:val="14"/>
          <w:szCs w:val="14"/>
          <w:color w:val="auto"/>
        </w:rPr>
      </w:pPr>
    </w:p>
    <w:p>
      <w:pPr>
        <w:ind w:left="580" w:right="460" w:hanging="572"/>
        <w:spacing w:after="0" w:line="239"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on September 30, 2013. See “Certain Relationships and Transactions—Investment Management Agreement” for more information.</w:t>
      </w:r>
    </w:p>
    <w:p>
      <w:pPr>
        <w:spacing w:after="0" w:line="57" w:lineRule="exact"/>
        <w:rPr>
          <w:rFonts w:ascii="Arial" w:cs="Arial" w:eastAsia="Arial" w:hAnsi="Arial"/>
          <w:sz w:val="14"/>
          <w:szCs w:val="14"/>
          <w:color w:val="auto"/>
        </w:rPr>
      </w:pPr>
    </w:p>
    <w:p>
      <w:pPr>
        <w:ind w:left="580" w:hanging="572"/>
        <w:spacing w:after="0" w:line="266"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580" w:right="60" w:hanging="572"/>
        <w:spacing w:after="0" w:line="26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As of September 30, 2013, we had $284.5 million of unused borrowing capacity, subject to maintenance of the applicable total assets to debt ratio, under the 1940 Act, and $145.5 million in borrowings outstanding under our $430.0 million Credit Facility and had $71.3 million in aggregate principal of 2025 Notes at an annual interest rate of 6.25%. As of September 30, 2013, SBIC LP had $150.0 million outstanding with a weighted average annual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2" w:lineRule="exact"/>
        <w:rPr>
          <w:rFonts w:ascii="Arial" w:cs="Arial" w:eastAsia="Arial" w:hAnsi="Arial"/>
          <w:sz w:val="12"/>
          <w:szCs w:val="12"/>
          <w:color w:val="auto"/>
        </w:rPr>
      </w:pPr>
    </w:p>
    <w:p>
      <w:pPr>
        <w:ind w:left="580" w:right="20" w:hanging="572"/>
        <w:spacing w:after="0" w:line="233"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57" w:lineRule="exact"/>
        <w:rPr>
          <w:rFonts w:ascii="Arial" w:cs="Arial" w:eastAsia="Arial" w:hAnsi="Arial"/>
          <w:sz w:val="14"/>
          <w:szCs w:val="14"/>
          <w:color w:val="auto"/>
        </w:rPr>
      </w:pPr>
    </w:p>
    <w:p>
      <w:pPr>
        <w:ind w:left="580" w:hanging="572"/>
        <w:spacing w:after="0" w:line="278" w:lineRule="auto"/>
        <w:tabs>
          <w:tab w:leader="none" w:pos="5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annual expenses based on average total assets, see page 27 of this prospectus.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3.50% sales load (underwriting discounts and commissions) and offering expenses totaling 0.34%, (2) total net annual expenses of 5.66%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You would pay the following expenses on a $1,000 common stock investment</w:t>
            </w:r>
          </w:p>
        </w:tc>
        <w:tc>
          <w:tcPr>
            <w:tcW w:w="438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w w:val="85"/>
              </w:rPr>
              <w:t>1 Year</w:t>
            </w:r>
          </w:p>
        </w:tc>
        <w:tc>
          <w:tcPr>
            <w:tcW w:w="180" w:type="dxa"/>
            <w:vAlign w:val="bottom"/>
          </w:tcPr>
          <w:p>
            <w:pPr>
              <w:spacing w:after="0"/>
              <w:rPr>
                <w:sz w:val="15"/>
                <w:szCs w:val="15"/>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w w:val="80"/>
              </w:rPr>
              <w:t>3 Years</w:t>
            </w:r>
          </w:p>
        </w:tc>
        <w:tc>
          <w:tcPr>
            <w:tcW w:w="1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5 Years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10 Years</w:t>
            </w:r>
          </w:p>
        </w:tc>
      </w:tr>
      <w:tr>
        <w:trPr>
          <w:trHeight w:val="136"/>
        </w:trPr>
        <w:tc>
          <w:tcPr>
            <w:tcW w:w="908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Assuming a 5% annual return (assumes no return from net realized capital gains or net unrealized capital appreciation)</w:t>
            </w: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93</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200</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306</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565</w:t>
            </w:r>
          </w:p>
        </w:tc>
        <w:tc>
          <w:tcPr>
            <w:tcW w:w="60" w:type="dxa"/>
            <w:vAlign w:val="bottom"/>
            <w:tcBorders>
              <w:top w:val="single" w:sz="8" w:color="CCEEFF"/>
            </w:tcBorders>
            <w:shd w:val="clear" w:color="auto" w:fill="CCEEFF"/>
          </w:tcPr>
          <w:p>
            <w:pPr>
              <w:spacing w:after="0"/>
              <w:rPr>
                <w:sz w:val="11"/>
                <w:szCs w:val="11"/>
                <w:color w:val="auto"/>
              </w:rPr>
            </w:pPr>
          </w:p>
        </w:tc>
      </w:tr>
      <w:tr>
        <w:trPr>
          <w:trHeight w:val="175"/>
        </w:trPr>
        <w:tc>
          <w:tcPr>
            <w:tcW w:w="9080" w:type="dxa"/>
            <w:vAlign w:val="bottom"/>
            <w:gridSpan w:val="2"/>
          </w:tcPr>
          <w:p>
            <w:pPr>
              <w:spacing w:after="0"/>
              <w:rPr>
                <w:sz w:val="20"/>
                <w:szCs w:val="20"/>
                <w:color w:val="auto"/>
              </w:rPr>
            </w:pPr>
            <w:r>
              <w:rPr>
                <w:rFonts w:ascii="Arial" w:cs="Arial" w:eastAsia="Arial" w:hAnsi="Arial"/>
                <w:sz w:val="14"/>
                <w:szCs w:val="14"/>
                <w:color w:val="auto"/>
              </w:rPr>
              <w:t>Assuming a 5% annual return (assumes return from only realized capital gains and thus subject to the capital gains incentive fee)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102</w:t>
            </w:r>
          </w:p>
        </w:tc>
        <w:tc>
          <w:tcPr>
            <w:tcW w:w="32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226</w:t>
            </w:r>
          </w:p>
        </w:tc>
        <w:tc>
          <w:tcPr>
            <w:tcW w:w="34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4"/>
                <w:szCs w:val="14"/>
                <w:color w:val="auto"/>
              </w:rPr>
              <w:t>346</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628</w:t>
            </w:r>
          </w:p>
        </w:tc>
        <w:tc>
          <w:tcPr>
            <w:tcW w:w="60" w:type="dxa"/>
            <w:vAlign w:val="bottom"/>
          </w:tcPr>
          <w:p>
            <w:pPr>
              <w:spacing w:after="0"/>
              <w:rPr>
                <w:sz w:val="15"/>
                <w:szCs w:val="15"/>
                <w:color w:val="auto"/>
              </w:rPr>
            </w:pPr>
          </w:p>
        </w:tc>
      </w:tr>
    </w:tbl>
    <w:p>
      <w:pPr>
        <w:spacing w:after="0" w:line="141"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NAV. Under certain circumstances, reinvestment of dividends and distributions under our dividend reinvestment plan may occur at a price per share that differs from NAV.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69" w:lineRule="exact"/>
        <w:rPr>
          <w:sz w:val="20"/>
          <w:szCs w:val="20"/>
          <w:color w:val="auto"/>
        </w:rPr>
      </w:pPr>
    </w:p>
    <w:p>
      <w:pPr>
        <w:ind w:right="40" w:firstLine="685"/>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You should carefully consider these risk factors, together with all of the other information included in this prospectus, before you decide whether to make an investment in our securities. The risks set out below are not the only risks we face. Additional risks and uncertainties not currently known to us or that we currently deem to be immaterial also may have a material adverse effect on our business, financial condition and/or operating results. If any of the following events occur, our business, financial condition and results of operations could be materially adversely affected. In such case, our NAV, the trading price of our common stock and 2025 Notes, or any securities we may issue, may decline, and you may lose all or part of your investment.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6" w:lineRule="exact"/>
        <w:rPr>
          <w:sz w:val="20"/>
          <w:szCs w:val="20"/>
          <w:color w:val="auto"/>
        </w:rPr>
      </w:pPr>
    </w:p>
    <w:p>
      <w:pPr>
        <w:ind w:right="280" w:firstLine="228"/>
        <w:spacing w:after="0" w:line="259" w:lineRule="auto"/>
        <w:rPr>
          <w:sz w:val="20"/>
          <w:szCs w:val="20"/>
          <w:color w:val="auto"/>
        </w:rPr>
      </w:pPr>
      <w:r>
        <w:rPr>
          <w:rFonts w:ascii="Arial" w:cs="Arial" w:eastAsia="Arial" w:hAnsi="Arial"/>
          <w:sz w:val="18"/>
          <w:szCs w:val="18"/>
          <w:b w:val="1"/>
          <w:bCs w:val="1"/>
          <w:i w:val="1"/>
          <w:iCs w:val="1"/>
          <w:color w:val="auto"/>
        </w:rPr>
        <w:t>Global capital markets could enter a period of severe disruption and instability. These market conditions have historically and could again have a materially adverse effect on debt and equity capital markets in the United States, which could have a materially negative impact on our business, financial condition and results of operations.</w:t>
      </w:r>
    </w:p>
    <w:p>
      <w:pPr>
        <w:spacing w:after="0" w:line="59"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The U.S. capital markets have experienced periods of disruption characterized by the freezing of available credit, a lack of liquidity in the debt capital markets, significant losses in the principal value of investments, the re-pricing of credit risk in the broadly syndicated credit market and the failure of major financial institutions.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could have a material adverse effect on our business, financial condition and results of operations.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or a prolonged disruption in the credit markets could materially damage our business.</w:t>
      </w:r>
    </w:p>
    <w:p>
      <w:pPr>
        <w:spacing w:after="0" w:line="90"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have a material adverse effect on our valuations and our NAV, even if we hold investments to maturity. Volatility or dislocation in the capital markets may depress our stock price below our NAV per share and create a challenging environment in which to raise debt and equity capital. As a BDC, we are generally not able to issue additional shares of our common stock at a price less than NAV without first obtaining approval for such issuance from our stockholders and our independent directors. Additionally, our ability to incur indebtedness is limited by the asset coverage requirements for a BDC, as defined in the 1940 Act, which we refer to as the asset coverage ratio, exclusive of the SBA debentures pursuant to our SEC exemptive relief. Declining portfolio values negatively impact our ability to borrow additional funds under our Credit Facility because our NAV is reduced for purposes of the asset coverage requirement.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significant disruption in the capital markets experienced in the past had, and may in the future have, a negative effect on the valuations of our investments and on the potential for liquidity events involving our investments. The debt capital that may be available to us in the future may be at a higher cost and have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 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and results of operations.</w:t>
      </w:r>
    </w:p>
    <w:p>
      <w:pPr>
        <w:spacing w:after="0" w:line="118"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b w:val="1"/>
          <w:bCs w:val="1"/>
          <w:i w:val="1"/>
          <w:iCs w:val="1"/>
          <w:color w:val="auto"/>
        </w:rPr>
        <w:t>Market developments may adversely affect our business and results of operations by reducing availability and/or triggering mandatory prepayment under our Credit Facility, the 2025 Notes and SBA debentures.</w:t>
      </w:r>
    </w:p>
    <w:p>
      <w:pPr>
        <w:spacing w:after="0" w:line="51"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In addition to the applicable asset coverage ratio that restricts our ability to borrow under our Credit Facility, the Credit Facility and the indenture governing the 2025 Notes contain various covenants which, if not complied with, could accelerate repayment under the Credit Facility and 2025 Notes, thereby having a material adverse effect on our business, financial condition and results of operations. Our borrowings under our Credit Facility are collateralized by the assets in our investment portfolio, excluding those portfolio investments held by our SBIC Funds. The agreements governing the Credit Facility require us to comply with certain financial and operational covenants. These covenants include:</w:t>
      </w:r>
    </w:p>
    <w:p>
      <w:pPr>
        <w:spacing w:after="0" w:line="21" w:lineRule="exact"/>
        <w:rPr>
          <w:sz w:val="20"/>
          <w:szCs w:val="20"/>
          <w:color w:val="auto"/>
        </w:rPr>
      </w:pPr>
    </w:p>
    <w:p>
      <w:pPr>
        <w:ind w:left="560" w:hanging="44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retain our status as a RIC;</w:t>
      </w:r>
    </w:p>
    <w:p>
      <w:pPr>
        <w:spacing w:after="0" w:line="36" w:lineRule="exact"/>
        <w:rPr>
          <w:rFonts w:ascii="Arial" w:cs="Arial" w:eastAsia="Arial" w:hAnsi="Arial"/>
          <w:sz w:val="18"/>
          <w:szCs w:val="18"/>
          <w:color w:val="auto"/>
        </w:rPr>
      </w:pPr>
    </w:p>
    <w:p>
      <w:pPr>
        <w:ind w:left="560" w:hanging="444"/>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ectPr>
          <w:pgSz w:w="11900" w:h="16838" w:orient="portrait"/>
          <w:cols w:equalWidth="0" w:num="1">
            <w:col w:w="11400"/>
          </w:cols>
          <w:pgMar w:left="240" w:top="459" w:right="259" w:bottom="1440" w:gutter="0" w:footer="0" w:header="0"/>
        </w:sectPr>
      </w:pPr>
    </w:p>
    <w:bookmarkStart w:id="13" w:name="page14"/>
    <w:bookmarkEnd w:id="13"/>
    <w:p>
      <w:pPr>
        <w:ind w:left="560" w:hanging="444"/>
        <w:spacing w:after="0"/>
        <w:tabs>
          <w:tab w:leader="none" w:pos="5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13"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In addition to the Credit Facility, we have issued the 2025 Notes and SBIC LP has issued SBA debentures that require us and SBIC LP to generate sufficient cash flow to make required interest payments. Further, SBIC LP must maintain a minimum capitalization that, if impaired, could materially and adversely affect our liquidity, financial condition and results of operations by accelerating repayment under the SBA debentures. Our borrowings under the SBA debentures are secured by the assets of SBIC LP.</w:t>
      </w:r>
    </w:p>
    <w:p>
      <w:pPr>
        <w:spacing w:after="0" w:line="1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Our continued compliance with these covenants depends on many factors, some of which are beyond our control. A material decrease in our NAV in connection with additional borrowings could result in an inability to comply with our obligation to restrict the level of indebtedness that we are able to incur in relation to the value of our assets or to maintain a minimum level of stockholders’ equity as applicable. This could have a material adverse effect on our operations, as it would reduce availability under the Credit Facility and could trigger mandatory prepayment obligations under the terms of the Credit Facility and the 2025 Notes.</w:t>
      </w:r>
    </w:p>
    <w:p>
      <w:pPr>
        <w:spacing w:after="0" w:line="143"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Any unrealized losses we experience on our investment portfolio may be an indication of future realized losses, which could reduce our income available for distribution.</w:t>
      </w:r>
    </w:p>
    <w:p>
      <w:pPr>
        <w:spacing w:after="0" w:line="5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would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w:t>
      </w:r>
    </w:p>
    <w:p>
      <w:pPr>
        <w:spacing w:after="0" w:line="116"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 and 2025 Notes.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58"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Following periods of volatility in the market price of a company’s securities, securities class action litigation has often been brought against that company.</w:t>
      </w:r>
    </w:p>
    <w:p>
      <w:pPr>
        <w:spacing w:after="0" w:line="206"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If the trading price of our stock or 2025 Notes fluctuates significantly, we may be the target of securities litigation in the future. Securities litigation could result in substantial costs and divert management’s attention and resources from our business and cause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borrowers may default on their payments, which may have a materially negative effect on our financial performance.</w:t>
      </w:r>
    </w:p>
    <w:p>
      <w:pPr>
        <w:spacing w:after="0" w:line="171"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fair valuation of our portfolio companies. Negative credit events will lead to a decrease in the fair value of our portfolio companies.</w:t>
      </w:r>
    </w:p>
    <w:p>
      <w:pPr>
        <w:spacing w:after="0" w:line="85"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Increased delinquencies and default rates would negatively impact our results of operations. Deterioration in the quality of our credit portfolio could have a material adverse effect on our capital, financial condition and results of operations. If interest rates rise, some of our portfolio companies may not be able to pay the escalating interest on our loans and may default.</w:t>
      </w:r>
    </w:p>
    <w:p>
      <w:pPr>
        <w:spacing w:after="0" w:line="113"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securities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securities. Deterioration in a borrower’s financial condition and prospects may be accompanied by deterioration in any related collateral and may have a material adverse effect on our financial condition and results of operations.</w:t>
      </w:r>
    </w:p>
    <w:p>
      <w:pPr>
        <w:spacing w:after="0" w:line="123"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is another form of leverage and would magnify the potential for loss and the risks of investing in us.</w:t>
      </w:r>
    </w:p>
    <w:p>
      <w:pPr>
        <w:spacing w:after="0" w:line="132" w:lineRule="exact"/>
        <w:rPr>
          <w:sz w:val="20"/>
          <w:szCs w:val="20"/>
          <w:color w:val="auto"/>
        </w:rPr>
      </w:pPr>
    </w:p>
    <w:p>
      <w:pPr>
        <w:ind w:firstLine="571"/>
        <w:spacing w:after="0" w:line="312" w:lineRule="auto"/>
        <w:rPr>
          <w:sz w:val="20"/>
          <w:szCs w:val="20"/>
          <w:color w:val="auto"/>
        </w:rPr>
      </w:pPr>
      <w:r>
        <w:rPr>
          <w:rFonts w:ascii="Arial" w:cs="Arial" w:eastAsia="Arial" w:hAnsi="Arial"/>
          <w:sz w:val="15"/>
          <w:szCs w:val="15"/>
          <w:color w:val="auto"/>
        </w:rPr>
        <w:t>Preferred stock, which is another form of leverage, has the same risks to our common stockholders as borrowings because the distributions on any preferred stock we issue must be cumulative. If we issue preferred securities they would rank “senior” to common stock in our capital structure. Payment of distributions on, and repayment of the liquidation preference of, such preferred stock would typically take preference over any distributions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stockholders. Also, the issuance of preferred securities could have the adverse effect of delaying, deferring or preventing a transaction or a change of control that might involve a premium price for our common stockholders or otherwise be in your best interest.</w:t>
      </w:r>
    </w:p>
    <w:p>
      <w:pPr>
        <w:spacing w:after="0" w:line="105"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w:t>
      </w:r>
    </w:p>
    <w:p>
      <w:pPr>
        <w:spacing w:after="0" w:line="14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senior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Subject to the overall supervision of our board of directors, the managers of our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18"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If our Investment Management Agreement or Administration Agreement discussed above is terminated, our costs under new agreements that we enter into may increase. In addition, we will likely incur significant time and expense in locating alternative parties to provide the services we expect to receive under our Investment Management Agreement and Administration Agreement. Any new investment management agreement would also be subject to approval by our stockholders.</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have a material adverse effect on our business, financial condition and results of operations.</w:t>
      </w:r>
    </w:p>
    <w:p>
      <w:pPr>
        <w:spacing w:after="0" w:line="132" w:lineRule="exact"/>
        <w:rPr>
          <w:sz w:val="20"/>
          <w:szCs w:val="20"/>
          <w:color w:val="auto"/>
        </w:rPr>
      </w:pPr>
    </w:p>
    <w:p>
      <w:pPr>
        <w:jc w:val="both"/>
        <w:ind w:right="240" w:firstLine="571"/>
        <w:spacing w:after="0" w:line="259" w:lineRule="auto"/>
        <w:rPr>
          <w:sz w:val="20"/>
          <w:szCs w:val="20"/>
          <w:color w:val="auto"/>
        </w:rPr>
      </w:pPr>
      <w:r>
        <w:rPr>
          <w:rFonts w:ascii="Arial" w:cs="Arial" w:eastAsia="Arial" w:hAnsi="Arial"/>
          <w:sz w:val="18"/>
          <w:szCs w:val="18"/>
          <w:color w:val="auto"/>
        </w:rPr>
        <w:t>Our business depends on the communications and information systems of the Investment Adviser and the Administrator. Any failure or interruption of such systems could cause delays or other problems in our activities. This, in turn,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financial condition and results of operation depend on our ability to manage future growth effectively.</w:t>
      </w:r>
    </w:p>
    <w:p>
      <w:pPr>
        <w:spacing w:after="0" w:line="171" w:lineRule="exact"/>
        <w:rPr>
          <w:sz w:val="20"/>
          <w:szCs w:val="20"/>
          <w:color w:val="auto"/>
        </w:rPr>
      </w:pPr>
    </w:p>
    <w:p>
      <w:pPr>
        <w:ind w:right="80" w:firstLine="571"/>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our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our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ectPr>
          <w:pgSz w:w="11900" w:h="16838" w:orient="portrait"/>
          <w:cols w:equalWidth="0" w:num="1">
            <w:col w:w="11400"/>
          </w:cols>
          <w:pgMar w:left="240" w:top="459" w:right="259" w:bottom="0" w:gutter="0" w:footer="0" w:header="0"/>
        </w:sectPr>
      </w:pP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operate in a highly competitive market for investment opportunities.</w:t>
      </w:r>
    </w:p>
    <w:p>
      <w:pPr>
        <w:sectPr>
          <w:pgSz w:w="11900" w:h="16838" w:orient="portrait"/>
          <w:cols w:equalWidth="0" w:num="1">
            <w:col w:w="11400"/>
          </w:cols>
          <w:pgMar w:left="240" w:top="459" w:right="259" w:bottom="0" w:gutter="0" w:footer="0" w:header="0"/>
          <w:type w:val="continuous"/>
        </w:sectPr>
      </w:pPr>
    </w:p>
    <w:bookmarkStart w:id="15" w:name="page16"/>
    <w:bookmarkEnd w:id="15"/>
    <w:p>
      <w:pPr>
        <w:ind w:firstLine="571"/>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 interest rates that are lower than the rates we offer. We may lose investment opportunities if we do not match our competitors’ pricing, terms and structure. However, if we match our competitors’ pricing, terms and structure, we may experience decreased net interest income and increased risk of credit loss.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not replicate the historical performance of other investment companies with which our investment professionals have been affiliated.</w:t>
      </w:r>
    </w:p>
    <w:p>
      <w:pPr>
        <w:spacing w:after="0" w:line="194"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Any failure on our part to maintain our status as a business development company would reduce our operating flexibility.</w:t>
      </w:r>
    </w:p>
    <w:p>
      <w:pPr>
        <w:spacing w:after="0" w:line="17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of RIC tax status would substantially reduce net assets and income available for debt service and distributions.</w:t>
      </w:r>
    </w:p>
    <w:p>
      <w:pPr>
        <w:spacing w:after="0" w:line="171"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distributions.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19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For federal income tax purposes, we include in income certain amounts that we have not yet received in cash, such as original issue discount, or OID, and payment-in-kind, or PIK, interest, which represents interest added to the loan balance and due at the end of the loan term. OID, which could be significant relative to 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13"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corporate-level income tax.</w:t>
      </w:r>
    </w:p>
    <w:p>
      <w:pPr>
        <w:sectPr>
          <w:pgSz w:w="11900" w:h="16838" w:orient="portrait"/>
          <w:cols w:equalWidth="0" w:num="1">
            <w:col w:w="11420"/>
          </w:cols>
          <w:pgMar w:left="240" w:top="459" w:right="239" w:bottom="1440" w:gutter="0" w:footer="0" w:header="0"/>
        </w:sectPr>
      </w:pPr>
    </w:p>
    <w:bookmarkStart w:id="17" w:name="page18"/>
    <w:bookmarkEnd w:id="17"/>
    <w:p>
      <w:pPr>
        <w:ind w:right="60" w:firstLine="228"/>
        <w:spacing w:after="0" w:line="370" w:lineRule="auto"/>
        <w:rPr>
          <w:sz w:val="20"/>
          <w:szCs w:val="20"/>
          <w:color w:val="auto"/>
        </w:rPr>
      </w:pPr>
      <w:r>
        <w:rPr>
          <w:rFonts w:ascii="Arial" w:cs="Arial" w:eastAsia="Arial" w:hAnsi="Arial"/>
          <w:sz w:val="15"/>
          <w:szCs w:val="15"/>
          <w:b w:val="1"/>
          <w:bCs w:val="1"/>
          <w:i w:val="1"/>
          <w:i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the asset coverage ratio of total assets to total senior securities, which includes all of our borrowings, exclusive of the SBA debentures pursuant to SEC exemptive relief,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will be partially dependent on our SBIC Funds for cash distributions to enable us to meet the RIC distribution requirements. Our SBIC Funds may be limited by the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a corporate-level income tax on us.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1" w:right="259" w:bottom="1440" w:gutter="0" w:footer="0" w:header="0"/>
        </w:sectPr>
      </w:pPr>
    </w:p>
    <w:bookmarkStart w:id="18" w:name="page19"/>
    <w:bookmarkEnd w:id="18"/>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Regulations governing our operation as a business development company will affect our ability to, and the way in which we, raise additional capital.</w:t>
      </w:r>
    </w:p>
    <w:p>
      <w:pPr>
        <w:spacing w:after="0" w:line="125"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or through SBA debentures. However, we may not be able to raise additional capital in the future on favorable terms or at all. We may issue additional debt securities or preferred securities, which we refer to collectively as “senior securities,” and we may borrow money from banks, through the SBA debenture program or other financial institutions, up to the maximum amount permitted by the 1940 Act. The 1940 Act permits us to issue senior securities or incur indebtedness only in amounts permissible under the asset coverage definition in the 1940 Act, exclusive of the SBA debentures pursuant to our SEC exemptive relief. Our ability to pay distributions or issue additional senior securities would be restricted if our asset coverage requirements were not met. If the value of our assets 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106" w:lineRule="exact"/>
        <w:rPr>
          <w:sz w:val="20"/>
          <w:szCs w:val="20"/>
          <w:color w:val="auto"/>
        </w:rPr>
      </w:pPr>
    </w:p>
    <w:p>
      <w:pPr>
        <w:ind w:left="900" w:hanging="676"/>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adverse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106" w:lineRule="exact"/>
        <w:rPr>
          <w:rFonts w:ascii="Arial" w:cs="Arial" w:eastAsia="Arial" w:hAnsi="Arial"/>
          <w:sz w:val="16"/>
          <w:szCs w:val="16"/>
          <w:color w:val="auto"/>
        </w:rPr>
      </w:pPr>
    </w:p>
    <w:p>
      <w:pPr>
        <w:ind w:left="900" w:right="40" w:hanging="676"/>
        <w:spacing w:after="0" w:line="28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NAV per share without first obtaining certain approvals from our stockholders and our board of directors. Also, subject to the requirements of the 1940 Act, we may issue rights to acquire our common stock at a price below the current NAV per share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to a registration statement on Form N-2, we must then be qualified to register our securities under the requirements of Form S-3. We may actually issue shares above or below a future NAV. If we raise additional funds by issuing more common stock or warrants or senior securities convertible into, or exchangeable for, our common stock, the percentage ownership of our common stockholders at that time would decrease, and our common stockholders would experience voting dilution.</w:t>
      </w:r>
    </w:p>
    <w:p>
      <w:pPr>
        <w:spacing w:after="0" w:line="107" w:lineRule="exact"/>
        <w:rPr>
          <w:rFonts w:ascii="Arial" w:cs="Arial" w:eastAsia="Arial" w:hAnsi="Arial"/>
          <w:sz w:val="16"/>
          <w:szCs w:val="16"/>
          <w:color w:val="auto"/>
        </w:rPr>
      </w:pPr>
    </w:p>
    <w:p>
      <w:pPr>
        <w:ind w:left="900" w:hanging="676"/>
        <w:spacing w:after="0" w:line="285"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 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107" w:lineRule="exact"/>
        <w:rPr>
          <w:rFonts w:ascii="Arial" w:cs="Arial" w:eastAsia="Arial" w:hAnsi="Arial"/>
          <w:sz w:val="16"/>
          <w:szCs w:val="16"/>
          <w:color w:val="auto"/>
        </w:rPr>
      </w:pPr>
    </w:p>
    <w:p>
      <w:pPr>
        <w:ind w:left="900" w:right="120" w:hanging="67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SBA Debentures. </w:t>
      </w:r>
      <w:r>
        <w:rPr>
          <w:rFonts w:ascii="Arial" w:cs="Arial" w:eastAsia="Arial" w:hAnsi="Arial"/>
          <w:sz w:val="18"/>
          <w:szCs w:val="18"/>
          <w:color w:val="auto"/>
        </w:rPr>
        <w:t>In addition to issuing securities and using securitizations to raise capital as described above, we have issued and may in the future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as permitted under SBA regulations and through our wholly owned subsidiaries, SBIC LP, SBIC II and any future SBIC subsidiary, SBA debentures to generate cash for funding new investments. To issue SBA debentures, we may request commitments for debt capital from the SBA. SBIC LP is and in the future SBIC II or any future SBIC subsidiary would be exposed to any losses on its portfolio of loans, however, such debentures are non-recourse to us.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may be unable to make distributions to us that will enable us to meet or maintain RIC status.</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for us to continue to qualify for RIC tax treatment and to minimize corporate-level income taxes, we will be required to distribute substantially all of our consolidated net ordinary income and net capital gains, including income from our SBIC Funds. We will be partially dependent on our SBIC Funds for cash distributions to enable us to meet the RIC distribution requirements. Our SBIC Funds may be limited by SBA regulations governing SBICs from making certain distributions to us that may be necessary to maintain our status as a RIC. We may have to request a waiver of the SBA’s restrictions for our SBIC Funds to make certain distributions to maintain our RIC status. We cannot assure you that the SBA will grant such waiver and if our SBIC Funds are unable to obtain a waiver, compliance with the SBA regulations may result in corporate level income tax on us.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SBIC Funds are licensed by the SBA and are subject to SBA regulations.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wholly owned subsidiaries, SBIC LP and SBIC II, received licenses to operate as SBICs under the 1958 Act and are regulated by the SBA. The SBA places certain limitations on the financing terms of investments by SBICs in portfolio companies and regulates the types of financings and prohibits investing in certain industries. Compliance with SBIC requirements may cause our SBIC Funds to invest at less competitive rates in order to qualify investments under the SBA regulations.</w:t>
      </w:r>
    </w:p>
    <w:p>
      <w:pPr>
        <w:spacing w:after="0" w:line="116"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Further, SBA regulations require that a licensed SBIC be periodically examined and audited by the SBA to determine its compliance with the relevant regulations. If our SBIC Funds fail to comply with applicable regulations, the SBA could, depending on the severity of the violation, limit or prohibit their use of debentures, declare outstanding debentures immediately due and payable, and/or limit them from making new investments. In addition, the SBA could revoke or</w:t>
      </w:r>
    </w:p>
    <w:p>
      <w:pPr>
        <w:sectPr>
          <w:pgSz w:w="11900" w:h="16850" w:orient="portrait"/>
          <w:cols w:equalWidth="0" w:num="1">
            <w:col w:w="11420"/>
          </w:cols>
          <w:pgMar w:left="240" w:top="459" w:right="239" w:bottom="0" w:gutter="0" w:footer="0" w:header="0"/>
        </w:sectPr>
      </w:pPr>
    </w:p>
    <w:bookmarkStart w:id="19" w:name="page20"/>
    <w:bookmarkEnd w:id="19"/>
    <w:p>
      <w:pPr>
        <w:ind w:right="240"/>
        <w:spacing w:after="0" w:line="370" w:lineRule="auto"/>
        <w:rPr>
          <w:sz w:val="20"/>
          <w:szCs w:val="20"/>
          <w:color w:val="auto"/>
        </w:rPr>
      </w:pPr>
      <w:r>
        <w:rPr>
          <w:rFonts w:ascii="Arial" w:cs="Arial" w:eastAsia="Arial" w:hAnsi="Arial"/>
          <w:sz w:val="15"/>
          <w:szCs w:val="15"/>
          <w:color w:val="auto"/>
        </w:rPr>
        <w:t>suspend our SBIC Funds’ licenses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3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our SBIC Funds may borrow to a maximum of $150 million for any one SBIC, which is up to twice its regulatory capital, and a maximum of $225 million as part of a group of SBICs under common control.</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131" w:right="299" w:bottom="1440" w:gutter="0" w:footer="0" w:header="0"/>
        </w:sectPr>
      </w:pPr>
    </w:p>
    <w:bookmarkStart w:id="20" w:name="page21"/>
    <w:bookmarkEnd w:id="20"/>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currently use borrowed funds to make investments and are exposed to the typical risks associated with leverage.</w:t>
      </w:r>
    </w:p>
    <w:p>
      <w:pPr>
        <w:spacing w:after="0" w:line="9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Because we borrow funds to make investments we are exposed to increased risk of loss due to our use of debt to make investments. A decrease in the value of our investments will have a greater negative impact on the NAV attributable to our common stock than it would if we did not use debt. Our ability to pay distributions is restricted when our asset coverage ratio is not met, exclusive of the SBA debentures pursuant to SEC exemptive relief, and any amounts that we use to service our indebtedness are not available for distribution to our common stockholders.</w:t>
      </w:r>
    </w:p>
    <w:p>
      <w:pPr>
        <w:spacing w:after="0" w:line="8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current debt is governed by the terms of our 2025 Notes, Credit Facility or the SBA debentures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80" w:lineRule="exact"/>
        <w:rPr>
          <w:sz w:val="20"/>
          <w:szCs w:val="20"/>
          <w:color w:val="auto"/>
        </w:rPr>
      </w:pPr>
    </w:p>
    <w:p>
      <w:pPr>
        <w:ind w:right="300" w:firstLine="571"/>
        <w:spacing w:after="0" w:line="255" w:lineRule="auto"/>
        <w:rPr>
          <w:sz w:val="20"/>
          <w:szCs w:val="20"/>
          <w:color w:val="auto"/>
        </w:rPr>
      </w:pPr>
      <w:r>
        <w:rPr>
          <w:rFonts w:ascii="Arial" w:cs="Arial" w:eastAsia="Arial" w:hAnsi="Arial"/>
          <w:sz w:val="18"/>
          <w:szCs w:val="18"/>
          <w:color w:val="auto"/>
        </w:rPr>
        <w:t>Additionally, our subsidiary, SBIC LP, has received borrowed funds and SBIC II may in the future receive funds from the SBA through its debenture program. In connection with the filing of its initial SBA license application, PennantPark Investment received exemptive relief, in June 2011, from the SEC to permit us to exclude the debt of our SBIC Funds from our consolidated asset coverage ratio. Our ratio of total assets on a consolidated basis to outstanding indebtedness may be less than the applicable asset coverage ratio, which while providing increased investment flexibility, would also increase our exposure to risks associated with leverage.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incur additional debt, it could increase the risk of investing in our shares.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We have indebtedness outstanding pursuant to our 2025 Notes, Credit Facility and SBA debentures and expect in the future to borrow additional amounts under our Credit Facility or other debt securities, subject to market availability, and, may increase the size of our Credit Facility. We cannot assure you that our leverage will remain in this range.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our assets, excluding those of our SBIC Funds, in connection with our Credit Facility borrowings. In the case of a liquidation event, those lenders would receive proceeds before our stockholders. Additionally, the SBA, as a lender and an administrative agent, has a superior claim over the assets of our SBIC Funds in relation to our other creditors. Any future debt issuance will increase our leverage and may be subordinate to our Credit Facility and SBA debentures. In addition, borrowings or debt issuances and SBA debentures, also known as leverage, magnify the potential for gain or loss on amounts invested and, therefore, increase the risks associated with investing in our securities. Leverage is generally considered a speculative investment technique. If the value of our assets decreases, then leveraging would cause the NAV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94" w:lineRule="exact"/>
        <w:rPr>
          <w:sz w:val="20"/>
          <w:szCs w:val="20"/>
          <w:color w:val="auto"/>
        </w:rPr>
      </w:pPr>
    </w:p>
    <w:p>
      <w:pPr>
        <w:ind w:right="20" w:firstLine="571"/>
        <w:spacing w:after="0" w:line="253" w:lineRule="auto"/>
        <w:rPr>
          <w:sz w:val="20"/>
          <w:szCs w:val="20"/>
          <w:color w:val="auto"/>
        </w:rPr>
      </w:pPr>
      <w:r>
        <w:rPr>
          <w:rFonts w:ascii="Arial" w:cs="Arial" w:eastAsia="Arial" w:hAnsi="Arial"/>
          <w:sz w:val="18"/>
          <w:szCs w:val="18"/>
          <w:color w:val="auto"/>
        </w:rPr>
        <w:t>As of September 30, 2013, we had outstanding borrowings of $145.5 million under our Credit Facility, $71.3 million outstanding under our 2025 Notes and $150.0 million outstanding under the SBA debentures. Our consolidated debt outstanding was $366.8 million and had a weighted average annual interest rate at the time of 4.05% exclusive of the fee on undrawn commitment on our Credit Facility of 0.50% and 3.43% of upfront fees on the SBA debentures. Accordingly, to cover the annual interest on our borrowings outstanding at September 30, 2013, at the then current rate, we would have to receive an annual yield of at least 1.39%. This example is for illustrative purposes only, and actual interest rates on our Credit Facility or any future borrowings are likely to fluctuate. The costs associated with our borrowings, including any increase in the management fee or incentive fee payable to our Investment Adviser, are and will be borne by our common stockholders.</w:t>
      </w:r>
    </w:p>
    <w:p>
      <w:pPr>
        <w:spacing w:after="0" w:line="120" w:lineRule="exact"/>
        <w:rPr>
          <w:sz w:val="20"/>
          <w:szCs w:val="20"/>
          <w:color w:val="auto"/>
        </w:rPr>
      </w:pPr>
    </w:p>
    <w:p>
      <w:pPr>
        <w:ind w:right="140" w:firstLine="571"/>
        <w:spacing w:after="0" w:line="318" w:lineRule="auto"/>
        <w:rPr>
          <w:sz w:val="20"/>
          <w:szCs w:val="20"/>
          <w:color w:val="auto"/>
        </w:rPr>
      </w:pPr>
      <w:r>
        <w:rPr>
          <w:rFonts w:ascii="Arial" w:cs="Arial" w:eastAsia="Arial" w:hAnsi="Arial"/>
          <w:sz w:val="15"/>
          <w:szCs w:val="15"/>
          <w:color w:val="auto"/>
        </w:rPr>
        <w:t>The following table is designed to illustrate the effect on return to a holder of our common stock of the leverage created by our use of borrowing at September 30, 2013 of 32% of total assets (including such borrowed funds), at a weighted average rate at the time of 4.05%, and assumes hypothetical annual returns on our portfolio of minus 10 to plus 10 percent. The table also assumes that we will maintain a constant level and weighted average rate of leverage. The amount of leverage and cost of borrowings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46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11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5.0%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82"/>
        </w:trPr>
        <w:tc>
          <w:tcPr>
            <w:tcW w:w="502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460" w:type="dxa"/>
            <w:vAlign w:val="bottom"/>
          </w:tcPr>
          <w:p>
            <w:pPr>
              <w:jc w:val="right"/>
              <w:ind w:right="192"/>
              <w:spacing w:after="0"/>
              <w:rPr>
                <w:sz w:val="20"/>
                <w:szCs w:val="20"/>
                <w:color w:val="auto"/>
              </w:rPr>
            </w:pPr>
            <w:r>
              <w:rPr>
                <w:rFonts w:ascii="Arial" w:cs="Arial" w:eastAsia="Arial" w:hAnsi="Arial"/>
                <w:sz w:val="18"/>
                <w:szCs w:val="18"/>
                <w:color w:val="auto"/>
              </w:rPr>
              <w:t>(18.7)%</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106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940" w:type="dxa"/>
            <w:vAlign w:val="bottom"/>
          </w:tcPr>
          <w:p>
            <w:pPr>
              <w:jc w:val="right"/>
              <w:ind w:right="192"/>
              <w:spacing w:after="0"/>
              <w:rPr>
                <w:sz w:val="20"/>
                <w:szCs w:val="20"/>
                <w:color w:val="auto"/>
              </w:rPr>
            </w:pPr>
            <w:r>
              <w:rPr>
                <w:rFonts w:ascii="Arial" w:cs="Arial" w:eastAsia="Arial" w:hAnsi="Arial"/>
                <w:sz w:val="18"/>
                <w:szCs w:val="18"/>
                <w:color w:val="auto"/>
              </w:rPr>
              <w:t>6.2%</w:t>
            </w:r>
          </w:p>
        </w:tc>
        <w:tc>
          <w:tcPr>
            <w:tcW w:w="800" w:type="dxa"/>
            <w:vAlign w:val="bottom"/>
          </w:tcPr>
          <w:p>
            <w:pPr>
              <w:jc w:val="right"/>
              <w:spacing w:after="0"/>
              <w:rPr>
                <w:sz w:val="20"/>
                <w:szCs w:val="20"/>
                <w:color w:val="auto"/>
              </w:rPr>
            </w:pPr>
            <w:r>
              <w:rPr>
                <w:rFonts w:ascii="Arial" w:cs="Arial" w:eastAsia="Arial" w:hAnsi="Arial"/>
                <w:sz w:val="18"/>
                <w:szCs w:val="18"/>
                <w:color w:val="auto"/>
              </w:rPr>
              <w:t>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9"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assumed portfolio return is required by regulation of the SEC and is not a prediction of, and does not represent, our projected or actual performance.</w:t>
      </w:r>
    </w:p>
    <w:p>
      <w:pPr>
        <w:ind w:left="220" w:right="20" w:hanging="212"/>
        <w:spacing w:after="0" w:line="277" w:lineRule="auto"/>
        <w:tabs>
          <w:tab w:leader="none" w:pos="2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 that may affect our cost of capital and net investment income.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 our net investment income. In the period from June 2007, when we executed our original Credit Facility, through September 2013, the applicable London Interbank Offered Rate, or LIBOR, rate decreased from 5.3% to 0.2%.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“Management’s Discussion and Analysis of Financial Condition and Results of Operations—Quantitative and Qualitative Disclosures about Market Risk” for more information.</w:t>
      </w:r>
    </w:p>
    <w:p>
      <w:pPr>
        <w:spacing w:after="0" w:line="10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 (as defined below).</w:t>
      </w:r>
    </w:p>
    <w:p>
      <w:pPr>
        <w:spacing w:after="0" w:line="8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ectPr>
          <w:pgSz w:w="11900" w:h="16855" w:orient="portrait"/>
          <w:cols w:equalWidth="0" w:num="1">
            <w:col w:w="11420"/>
          </w:cols>
          <w:pgMar w:left="240" w:top="459"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280" w:right="1440" w:bottom="1440" w:gutter="0" w:footer="0" w:header="0"/>
        </w:sectPr>
      </w:pPr>
    </w:p>
    <w:bookmarkStart w:id="22" w:name="page23"/>
    <w:bookmarkEnd w:id="22"/>
    <w:p>
      <w:pPr>
        <w:spacing w:after="0" w:line="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We have and may in the future determine to fund a portion of our investments with debt securities, which would magnify the potential for loss and the risks of investing in us.</w:t>
      </w:r>
    </w:p>
    <w:p>
      <w:pPr>
        <w:spacing w:after="0" w:line="51"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color w:val="auto"/>
        </w:rPr>
        <w:t>As a result of the issuance of the 2025 Notes and SBA debentures, we are exposed to typical risks associated with leverage, including an increased risk of loss and an increase in expenses, which are ultimately borne by our common stockholders. Payment of interest on such debt securities must take preference over any other distributions or other payments to our common stockholders. If we issue additional debt securities in the future,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are not available for the payment of distributions to our common stockholders.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credit ratings may not reflect all risks of an investment in our debt securities.</w:t>
      </w:r>
    </w:p>
    <w:p>
      <w:pPr>
        <w:spacing w:after="0" w:line="90"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Our credit ratings, if any, are an assessment of our ability to pay our obligations. Consequently, real or anticipated changes in our credit ratings will generally affect the market value of our publicly issued debt securities. Our credit ratings, however, may not reflect the potential impact of risks related to market conditions generally or other factors discussed above on the market value of, or trading market for, any publicly issued debt securities.</w:t>
      </w:r>
    </w:p>
    <w:p>
      <w:pPr>
        <w:spacing w:after="0" w:line="134"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b w:val="1"/>
          <w:bCs w:val="1"/>
          <w:i w:val="1"/>
          <w:iCs w:val="1"/>
          <w:color w:val="auto"/>
        </w:rPr>
        <w:t>Market conditions may make it difficult to extend the maturity of or refinance our existing indebtedness and any failure to do so could have a material adverse effect on our business.</w:t>
      </w:r>
    </w:p>
    <w:p>
      <w:pPr>
        <w:spacing w:after="0" w:line="51" w:lineRule="exact"/>
        <w:rPr>
          <w:sz w:val="20"/>
          <w:szCs w:val="20"/>
          <w:color w:val="auto"/>
        </w:rPr>
      </w:pPr>
    </w:p>
    <w:p>
      <w:pPr>
        <w:ind w:right="40" w:firstLine="571"/>
        <w:spacing w:after="0" w:line="288" w:lineRule="auto"/>
        <w:rPr>
          <w:sz w:val="20"/>
          <w:szCs w:val="20"/>
          <w:color w:val="auto"/>
        </w:rPr>
      </w:pPr>
      <w:r>
        <w:rPr>
          <w:rFonts w:ascii="Arial" w:cs="Arial" w:eastAsia="Arial" w:hAnsi="Arial"/>
          <w:sz w:val="16"/>
          <w:szCs w:val="16"/>
          <w:color w:val="auto"/>
        </w:rPr>
        <w:t>Our Credit Facility expires in February 2016. We utilize the Credit Facility to make investments in our portfolio companies. The life of our investments typically exceeds the duration of our indebtedness under our Credit Facility. This means that we will have to extend the maturity of our Credit Facility or refinance our indebtedness under our Credit Facility in order to avoid selling investments at a time when such sales may be at prices that are disadvantageous to us, which could materially damage our business. In addition, future market conditions may affect our ability to renew or refinance our Credit Facility on terms as favorable as those in our existing Credit Facility. If we fail to extend or refinance the indebtedness outstanding under our Credit Facility by the time it becomes due and payable, the administrative agent of the Credit Facility may elect to exercise various remedies, including the sale of all or a portion of the collateral securing the Credit Facility, subject to certain restrictions, any of which could have a material adverse effect on our business, financial condition and results of operations. The illiquidity of our investments may make it difficult for us to sell such investments. If we are required to sell our investments on short-term notice, we may not receive the value that we have recorded for such investments, and this could materially affect our results of operations.</w:t>
      </w:r>
    </w:p>
    <w:p>
      <w:pPr>
        <w:spacing w:after="0" w:line="147" w:lineRule="exact"/>
        <w:rPr>
          <w:sz w:val="20"/>
          <w:szCs w:val="20"/>
          <w:color w:val="auto"/>
        </w:rPr>
      </w:pPr>
    </w:p>
    <w:p>
      <w:pPr>
        <w:jc w:val="center"/>
        <w:ind w:right="-179"/>
        <w:spacing w:after="0"/>
        <w:rPr>
          <w:sz w:val="20"/>
          <w:szCs w:val="20"/>
          <w:color w:val="auto"/>
        </w:rPr>
      </w:pPr>
      <w:r>
        <w:rPr>
          <w:rFonts w:ascii="Arial" w:cs="Arial" w:eastAsia="Arial" w:hAnsi="Arial"/>
          <w:sz w:val="15"/>
          <w:szCs w:val="15"/>
          <w:b w:val="1"/>
          <w:bCs w:val="1"/>
          <w:i w:val="1"/>
          <w:iCs w:val="1"/>
          <w:color w:val="auto"/>
        </w:rPr>
        <w:t>If we issue preferred stock, debt securities, convertible debt securities or units, the NAV and market value of our common stock may become more volatile.</w:t>
      </w:r>
    </w:p>
    <w:p>
      <w:pPr>
        <w:spacing w:after="0" w:line="125" w:lineRule="exact"/>
        <w:rPr>
          <w:sz w:val="20"/>
          <w:szCs w:val="20"/>
          <w:color w:val="auto"/>
        </w:rPr>
      </w:pPr>
    </w:p>
    <w:p>
      <w:pPr>
        <w:ind w:right="60" w:firstLine="571"/>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convertible debt or units would likely cause the NAV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NAV of our investment would be borne entirely by the holders of our common stock. Therefore, if the market value of our portfolio were to decline, the leverage would result in a greater decrease in NAV to the holders of our common stock than if we were not leveraged through the issuance of preferred stock, debt securities or convertible debt. This decline in NAV would also tend to cause a greater decline in the market price for our common stock.</w:t>
      </w:r>
    </w:p>
    <w:p>
      <w:pPr>
        <w:spacing w:after="0" w:line="93"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convertible debt or units or of a downgrade in the ratings of the preferred stock, debt securities, convertible debt or units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convertible debt or units. In addition, we would pay (and the holders of our common stock would bear) all costs and expenses relating to the issuance and ongoing maintenance of the preferred stock, debt securities, convertible debt or any combination of these securities. Holders of preferred stock, debt securities, convertible debt or units may have different interests than holders of common stock and may at times have disproportionate influence over our affairs.</w:t>
      </w:r>
    </w:p>
    <w:p>
      <w:pPr>
        <w:spacing w:after="0" w:line="145" w:lineRule="exact"/>
        <w:rPr>
          <w:sz w:val="20"/>
          <w:szCs w:val="20"/>
          <w:color w:val="auto"/>
        </w:rPr>
      </w:pPr>
    </w:p>
    <w:p>
      <w:pPr>
        <w:ind w:right="400" w:firstLine="228"/>
        <w:spacing w:after="0" w:line="268" w:lineRule="auto"/>
        <w:rPr>
          <w:sz w:val="20"/>
          <w:szCs w:val="20"/>
          <w:color w:val="auto"/>
        </w:rPr>
      </w:pPr>
      <w:r>
        <w:rPr>
          <w:rFonts w:ascii="Arial" w:cs="Arial" w:eastAsia="Arial" w:hAnsi="Arial"/>
          <w:sz w:val="18"/>
          <w:szCs w:val="18"/>
          <w:b w:val="1"/>
          <w:bCs w:val="1"/>
          <w:i w:val="1"/>
          <w:iCs w:val="1"/>
          <w:color w:val="auto"/>
        </w:rPr>
        <w:t>Holders of any preferred stock that we may issue will have the right to elect members of the board of directors and have class voting rights on certain matters.</w:t>
      </w:r>
    </w:p>
    <w:p>
      <w:pPr>
        <w:spacing w:after="0" w:line="51"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The 1940 Act requires that holders of shares of preferred stock must be entitled as a class to elect two directors at all times and to elect a majority of the directors if distributions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in the future issue securities for which there is no public market and for which we expect no public market to develop.</w:t>
      </w:r>
    </w:p>
    <w:p>
      <w:pPr>
        <w:spacing w:after="0" w:line="90"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significant potential conflicts of interest which could impact our investment returns.</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The professionals of our Investment Adviser and Administrator may serve as officers, directors or principals of entities that operate in the same or a related line of business as we do or of investment funds managed by affiliates of PennantPark Investment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controlled affiliates and affiliated funds. In addition,</w:t>
      </w:r>
    </w:p>
    <w:p>
      <w:pPr>
        <w:sectPr>
          <w:pgSz w:w="11900" w:h="16890" w:orient="portrait"/>
          <w:cols w:equalWidth="0" w:num="1">
            <w:col w:w="11400"/>
          </w:cols>
          <w:pgMar w:left="240" w:top="459" w:right="259" w:bottom="0" w:gutter="0" w:footer="0" w:header="0"/>
        </w:sectPr>
      </w:pPr>
    </w:p>
    <w:bookmarkStart w:id="23" w:name="page24"/>
    <w:bookmarkEnd w:id="23"/>
    <w:p>
      <w:pPr>
        <w:spacing w:after="0" w:line="287" w:lineRule="auto"/>
        <w:rPr>
          <w:sz w:val="20"/>
          <w:szCs w:val="20"/>
          <w:color w:val="auto"/>
        </w:rPr>
      </w:pPr>
      <w:r>
        <w:rPr>
          <w:rFonts w:ascii="Arial" w:cs="Arial" w:eastAsia="Arial" w:hAnsi="Arial"/>
          <w:sz w:val="16"/>
          <w:szCs w:val="16"/>
          <w:color w:val="auto"/>
        </w:rPr>
        <w:t>we note that any affiliated investment vehicle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will be forced to choose which investment fund should make the investment. We may co-invest on a concurrent basis with any other affiliates that the Investment Adviser has or forms in the future, subject to compliance with applicable regulations and regulatory guidance and our allocation procedures. In certain circumstances, negotiated co-investments may be made only if we receive an order from the SEC permitting us to do so. We, the Investment Adviser and our affiliated funds have submitted an exemptive application to the SEC for such an order, but there can be no assurance that such order will be obtained.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In the course of our investing activities, we will pay investment advisory and incentive fees to our Investment Adviser, and will reimburse our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86" w:lineRule="exact"/>
        <w:rPr>
          <w:sz w:val="20"/>
          <w:szCs w:val="20"/>
          <w:color w:val="auto"/>
        </w:rPr>
      </w:pPr>
    </w:p>
    <w:p>
      <w:pPr>
        <w:jc w:val="both"/>
        <w:ind w:right="120" w:firstLine="571"/>
        <w:spacing w:after="0" w:line="303" w:lineRule="auto"/>
        <w:rPr>
          <w:sz w:val="20"/>
          <w:szCs w:val="20"/>
          <w:color w:val="auto"/>
        </w:rPr>
      </w:pPr>
      <w:r>
        <w:rPr>
          <w:rFonts w:ascii="Arial" w:cs="Arial" w:eastAsia="Arial" w:hAnsi="Arial"/>
          <w:sz w:val="15"/>
          <w:szCs w:val="15"/>
          <w:color w:val="auto"/>
        </w:rPr>
        <w:t>We have entered into a license agreement, or the License Agreement, with PennantPark Investment Advisers, pursuant to which our Investment Adviser has granted us a royalty-free non-exclusive license to use the name “PennantPark.” The License Agreement will expire (i) upon expiration or termination of the Investment Management Agreement, (ii) if the Investment Adviser ceases to serve as our investment adviser, (iii) by either party upon 60 days’ written notice or</w:t>
      </w:r>
    </w:p>
    <w:p>
      <w:pPr>
        <w:spacing w:after="0" w:line="1" w:lineRule="exact"/>
        <w:rPr>
          <w:sz w:val="20"/>
          <w:szCs w:val="20"/>
          <w:color w:val="auto"/>
        </w:rPr>
      </w:pPr>
    </w:p>
    <w:p>
      <w:pPr>
        <w:ind w:right="700" w:firstLine="8"/>
        <w:spacing w:after="0" w:line="255" w:lineRule="auto"/>
        <w:tabs>
          <w:tab w:leader="none" w:pos="297"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w:t>
      </w:r>
    </w:p>
    <w:p>
      <w:pPr>
        <w:spacing w:after="0" w:line="11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In addition, we pay PennantPark Investment Administration, an affiliate of the Investment Adviser, our allocable portion of overhead and other expenses incurred by PennantPark Investment Administration in performing its obligations under our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or market value of any publicly issued debt or convertible debt securities may be volatile.</w:t>
      </w:r>
    </w:p>
    <w:p>
      <w:pPr>
        <w:spacing w:after="0" w:line="90" w:lineRule="exact"/>
        <w:rPr>
          <w:sz w:val="20"/>
          <w:szCs w:val="20"/>
          <w:color w:val="auto"/>
        </w:rPr>
      </w:pPr>
    </w:p>
    <w:p>
      <w:pPr>
        <w:jc w:val="both"/>
        <w:ind w:right="40" w:firstLine="571"/>
        <w:spacing w:after="0" w:line="306" w:lineRule="auto"/>
        <w:rPr>
          <w:sz w:val="20"/>
          <w:szCs w:val="20"/>
          <w:color w:val="auto"/>
        </w:rPr>
      </w:pPr>
      <w:r>
        <w:rPr>
          <w:rFonts w:ascii="Arial" w:cs="Arial" w:eastAsia="Arial" w:hAnsi="Arial"/>
          <w:sz w:val="16"/>
          <w:szCs w:val="16"/>
          <w:color w:val="auto"/>
        </w:rPr>
        <w:t>If we publicly issue debt or convertible debt securities, they may or may not have an established trading market. We cannot assure investors that a trading market for our publicly issued debt or convertible debt securities would develop or be maintained if developed. In addition to our creditworthiness, many factors may have a material adverse effect on the trading market for, and market value of, our publicly issued debt or convertible debt securities.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the following:</w:t>
      </w:r>
    </w:p>
    <w:p>
      <w:pPr>
        <w:spacing w:after="0" w:line="15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and</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44"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have a material adverse effect on the market value of the debt securities or the trading market for the debt securities. Our debt securities may include convertible features that cause them to more closely bear risks associated with an investment in our common stock.</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Terms relating to redemption may have a material adverse effect on the return on any debt securities.</w:t>
      </w:r>
    </w:p>
    <w:p>
      <w:pPr>
        <w:spacing w:after="0" w:line="90" w:lineRule="exact"/>
        <w:rPr>
          <w:sz w:val="20"/>
          <w:szCs w:val="20"/>
          <w:color w:val="auto"/>
        </w:rPr>
      </w:pPr>
    </w:p>
    <w:p>
      <w:pPr>
        <w:ind w:right="20" w:firstLine="571"/>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25"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issue subscription rights or warrants for our common stock, your interest in us may be diluted as a result of such rights or warrants offering.</w:t>
      </w:r>
    </w:p>
    <w:p>
      <w:pPr>
        <w:spacing w:after="0" w:line="113"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In addition, if the subscription price or warrant price is less than our NAV per share of common stock at the time of such offering, then our stockholders would experience an immediate dilution of the aggregate NAV of their shares as a result of the offering. The amount of any such decrease in NAV is not predictable because it is not known at this time what the subscription price, warrant price or NAV per share will be on the expiration date of such rights offering or what proportion of our common stock will be purchased as a result of any such offering.</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9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and the 2025 Notes, future decreases of fair value of our debt will have a corresponding increase to our NAV. Further increases of fair value of our debt will have the opposite effect. Any future indebtedness that we elect the fair value option for may have similar effects on our NAV as our Credit Facility and 2025 Notes. This will tend to mitigate volatility in our earnings and NAV. As a result of these factors, results for any period should not be relied upon as being indicative of performance in future periods.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impact of recent financial reform legislation on us is uncertain.</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light of current conditions in the U.S. and global financial markets and the U.S. and global economy, legislators, the presidential administration and regulators have increased their focus on the regulation of the financial services industry. The Dodd-Frank Wall Street Reform and Consumer Protection Act, or the Dodd-Frank Act, became effective in July 2010. Although many provisions of the Dodd-Frank Act have delayed effectiveness or will not become effective until the relevant federal agencies issue new rules to implement the Dodd-Frank Act, the Dodd-Frank Act may nevertheless have a material adverse impact on the financial services industry as a whole and on our business, financial condition and results of operations. Accordingly, we cannot predict the effect the Dodd-Frank Act or implementing its regulations will have on our business, financial condition and results of operations.</w:t>
      </w:r>
    </w:p>
    <w:p>
      <w:pPr>
        <w:sectPr>
          <w:pgSz w:w="11900" w:h="16838" w:orient="portrait"/>
          <w:cols w:equalWidth="0" w:num="1">
            <w:col w:w="11400"/>
          </w:cols>
          <w:pgMar w:left="240" w:top="459" w:right="259" w:bottom="0" w:gutter="0" w:footer="0" w:header="0"/>
        </w:sectPr>
      </w:pPr>
    </w:p>
    <w:p>
      <w:pPr>
        <w:spacing w:after="0" w:line="14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Changes in laws or regulations governing our operations may adversely affect our business.</w:t>
      </w:r>
    </w:p>
    <w:p>
      <w:pPr>
        <w:sectPr>
          <w:pgSz w:w="11900" w:h="16838" w:orient="portrait"/>
          <w:cols w:equalWidth="0" w:num="1">
            <w:col w:w="11400"/>
          </w:cols>
          <w:pgMar w:left="240" w:top="459" w:right="259" w:bottom="0" w:gutter="0" w:footer="0" w:header="0"/>
          <w:type w:val="continuous"/>
        </w:sectPr>
      </w:pPr>
    </w:p>
    <w:bookmarkStart w:id="25" w:name="page26"/>
    <w:bookmarkEnd w:id="25"/>
    <w:p>
      <w:pPr>
        <w:ind w:firstLine="571"/>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00"/>
          </w:cols>
          <w:pgMar w:left="240" w:top="131"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board of directors may change our investment objectives, operating policies and strategies without prior notice or stockholder approval.</w:t>
      </w:r>
    </w:p>
    <w:p>
      <w:pPr>
        <w:spacing w:after="0" w:line="113"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6" w:lineRule="exact"/>
        <w:rPr>
          <w:sz w:val="20"/>
          <w:szCs w:val="20"/>
          <w:color w:val="auto"/>
        </w:rPr>
      </w:pPr>
    </w:p>
    <w:p>
      <w:pPr>
        <w:ind w:right="180" w:firstLine="228"/>
        <w:spacing w:after="0" w:line="268" w:lineRule="auto"/>
        <w:rPr>
          <w:sz w:val="20"/>
          <w:szCs w:val="20"/>
          <w:color w:val="auto"/>
        </w:rPr>
      </w:pPr>
      <w:r>
        <w:rPr>
          <w:rFonts w:ascii="Arial" w:cs="Arial" w:eastAsia="Arial" w:hAnsi="Arial"/>
          <w:sz w:val="18"/>
          <w:szCs w:val="18"/>
          <w:b w:val="1"/>
          <w:bCs w:val="1"/>
          <w:i w:val="1"/>
          <w:i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51"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our Credit Facility will be classified as Level 3 under the Financial Accounting Standards Board, or FASB, Accounting Standards Codification, or ASC, 820, Fair Value Measurement. This means that our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materially reduces the reliability of such information.</w:t>
      </w:r>
    </w:p>
    <w:p>
      <w:pPr>
        <w:spacing w:after="0" w:line="91" w:lineRule="exact"/>
        <w:rPr>
          <w:sz w:val="20"/>
          <w:szCs w:val="20"/>
          <w:color w:val="auto"/>
        </w:rPr>
      </w:pPr>
    </w:p>
    <w:p>
      <w:pPr>
        <w:ind w:right="160" w:firstLine="571"/>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2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in the Consolidated Statement of Operations as net change in unrealized appreciation or depreciation.</w:t>
      </w:r>
    </w:p>
    <w:p>
      <w:pPr>
        <w:spacing w:after="0" w:line="5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At September 30, 2013, all our portfolio assets were recorded at fair value as approved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NAV could be adversely affected if our determinations regarding the fair value of our investments were materially higher than the values that we ultimately realize upon the disposal of such securities.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90"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We may acquire our investments directly from the issuer in privately negotiated transactions. Substantially all of these securities are subject to legal and other restrictions on resale or are otherwise less liquid than publicly traded securities. We typically exit our investments when the portfolio company has a liquidity event such as a sale, refinancing, or initial public offering of the company, but we are not required to do so.</w:t>
      </w:r>
    </w:p>
    <w:p>
      <w:pPr>
        <w:spacing w:after="0" w:line="80"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89" w:lineRule="exact"/>
        <w:rPr>
          <w:sz w:val="20"/>
          <w:szCs w:val="20"/>
          <w:color w:val="auto"/>
        </w:rPr>
      </w:pPr>
    </w:p>
    <w:p>
      <w:pPr>
        <w:ind w:right="60" w:firstLine="527"/>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general disruption in the credit markets could materially damage our business.</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Our borrowings under our Credit Facility are collateralized by the assets in our investment portfolio (excluding assets held by our SBIC Funds).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86"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our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rely in part on our over-the-counter securities, which faced liquidity constraints under recent market conditions, to provide us with additional liquidity.</w:t>
      </w:r>
    </w:p>
    <w:p>
      <w:pPr>
        <w:spacing w:after="0" w:line="125"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ectPr>
          <w:pgSz w:w="11900" w:h="16838" w:orient="portrait"/>
          <w:cols w:equalWidth="0" w:num="1">
            <w:col w:w="11400"/>
          </w:cols>
          <w:pgMar w:left="240" w:top="459" w:right="259" w:bottom="157" w:gutter="0" w:footer="0" w:header="0"/>
        </w:sectPr>
      </w:pP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57"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prospective portfolio companies may be risky, and you could lose all or part of your investment.</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invest primarily in senior secured loans, mezzanine debt and selected equity investments issued by U.S. middle-market companies.</w:t>
      </w:r>
    </w:p>
    <w:p>
      <w:pPr>
        <w:spacing w:after="0" w:line="181" w:lineRule="exact"/>
        <w:rPr>
          <w:sz w:val="20"/>
          <w:szCs w:val="20"/>
          <w:color w:val="auto"/>
        </w:rPr>
      </w:pPr>
    </w:p>
    <w:p>
      <w:pPr>
        <w:ind w:left="580" w:right="20"/>
        <w:spacing w:after="0" w:line="288" w:lineRule="auto"/>
        <w:rPr>
          <w:sz w:val="20"/>
          <w:szCs w:val="20"/>
          <w:color w:val="auto"/>
        </w:rPr>
      </w:pPr>
      <w:r>
        <w:rPr>
          <w:rFonts w:ascii="Arial" w:cs="Arial" w:eastAsia="Arial" w:hAnsi="Arial"/>
          <w:sz w:val="16"/>
          <w:szCs w:val="16"/>
          <w:b w:val="1"/>
          <w:bCs w:val="1"/>
          <w:i w:val="1"/>
          <w:iCs w:val="1"/>
          <w:color w:val="auto"/>
        </w:rPr>
        <w:t xml:space="preserve">Senior Secured Loans: </w:t>
      </w:r>
      <w:r>
        <w:rPr>
          <w:rFonts w:ascii="Arial" w:cs="Arial" w:eastAsia="Arial" w:hAnsi="Arial"/>
          <w:sz w:val="16"/>
          <w:szCs w:val="16"/>
          <w:color w:val="auto"/>
        </w:rPr>
        <w:t>When we extend senior secured loans, which we define to include first lien debt, we will generally take a security interest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assets of these portfolio companies, including the equity interests of their subsidiaries, although this will not always be the case. We expect this security interest, if any,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Also,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106" w:lineRule="exact"/>
        <w:rPr>
          <w:sz w:val="20"/>
          <w:szCs w:val="20"/>
          <w:color w:val="auto"/>
        </w:rPr>
      </w:pPr>
    </w:p>
    <w:p>
      <w:pPr>
        <w:ind w:left="580" w:right="60"/>
        <w:spacing w:after="0" w:line="290" w:lineRule="auto"/>
        <w:rPr>
          <w:sz w:val="20"/>
          <w:szCs w:val="20"/>
          <w:color w:val="auto"/>
        </w:rPr>
      </w:pPr>
      <w:r>
        <w:rPr>
          <w:rFonts w:ascii="Arial" w:cs="Arial" w:eastAsia="Arial" w:hAnsi="Arial"/>
          <w:sz w:val="16"/>
          <w:szCs w:val="16"/>
          <w:b w:val="1"/>
          <w:bCs w:val="1"/>
          <w:i w:val="1"/>
          <w:iCs w:val="1"/>
          <w:color w:val="auto"/>
        </w:rPr>
        <w:t xml:space="preserve">Mezzanine Debt: </w:t>
      </w:r>
      <w:r>
        <w:rPr>
          <w:rFonts w:ascii="Arial" w:cs="Arial" w:eastAsia="Arial" w:hAnsi="Arial"/>
          <w:sz w:val="16"/>
          <w:szCs w:val="16"/>
          <w:color w:val="auto"/>
        </w:rPr>
        <w:t>Our mezzanine debt investments, which we define to include second lien secured and subordinated debt, will generally be subordinated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senior secured loans and will generally be unsecured. Our second lien debt is subordinated debt that benefits from a collateral interest in the borrower. As such, other creditors may rank senior to us in the event of insolvency. This may result in an above average amount of risk and volatility or a loss of principal. These investments may involve additional risks that could adversely affect our investment returns. To the extent interest payments associated with such debt are deferred, such debt may be subject to greater fluctuations in valuations, and such debt could subject us and our stockholders to non-cash income. Since we may not receive cash interest or principal prior to the maturity of some of our mezzanine debt investments, such investments may be of greater risk than cash paying loans.</w:t>
      </w:r>
    </w:p>
    <w:p>
      <w:pPr>
        <w:spacing w:after="0" w:line="105"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b w:val="1"/>
          <w:bCs w:val="1"/>
          <w:i w:val="1"/>
          <w:iCs w:val="1"/>
          <w:color w:val="auto"/>
        </w:rPr>
        <w:t xml:space="preserve">Equity Investments: </w:t>
      </w:r>
      <w:r>
        <w:rPr>
          <w:rFonts w:ascii="Arial" w:cs="Arial" w:eastAsia="Arial" w:hAnsi="Arial"/>
          <w:sz w:val="16"/>
          <w:szCs w:val="16"/>
          <w:color w:val="auto"/>
        </w:rPr>
        <w:t>We have made and expect to continue to make select equity investments. In addition, when we invest in senior secured loans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mezzanine debt, we may acquire warrants to purchase equity investments from time to time. Our goal is ultimately to dispose of these equity investments and realize gains upon our disposition of such interests. However, the equity investments we receive may not appreciate in value and, in fact, may decline in value. Accordingly, we may not be able to realize gains from our equity investments, and any gains that we do realize on the disposition of any equity investments may not be sufficient to offset any other losses we experience.</w:t>
      </w:r>
    </w:p>
    <w:p>
      <w:pPr>
        <w:spacing w:after="0" w:line="8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58" w:lineRule="exact"/>
        <w:rPr>
          <w:sz w:val="20"/>
          <w:szCs w:val="20"/>
          <w:color w:val="auto"/>
        </w:rPr>
      </w:pPr>
    </w:p>
    <w:p>
      <w:pPr>
        <w:ind w:left="9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126" w:lineRule="exact"/>
        <w:rPr>
          <w:rFonts w:ascii="Arial" w:cs="Arial" w:eastAsia="Arial" w:hAnsi="Arial"/>
          <w:sz w:val="18"/>
          <w:szCs w:val="18"/>
          <w:color w:val="auto"/>
        </w:rPr>
      </w:pPr>
    </w:p>
    <w:p>
      <w:pPr>
        <w:ind w:left="900" w:right="24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71" w:lineRule="exact"/>
        <w:rPr>
          <w:rFonts w:ascii="Arial" w:cs="Arial" w:eastAsia="Arial" w:hAnsi="Arial"/>
          <w:sz w:val="16"/>
          <w:szCs w:val="16"/>
          <w:color w:val="auto"/>
        </w:rPr>
      </w:pPr>
    </w:p>
    <w:p>
      <w:pPr>
        <w:ind w:left="900" w:right="46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1" w:lineRule="exact"/>
        <w:rPr>
          <w:rFonts w:ascii="Arial" w:cs="Arial" w:eastAsia="Arial" w:hAnsi="Arial"/>
          <w:sz w:val="16"/>
          <w:szCs w:val="16"/>
          <w:color w:val="auto"/>
        </w:rPr>
      </w:pPr>
    </w:p>
    <w:p>
      <w:pPr>
        <w:ind w:left="900" w:right="140" w:hanging="325"/>
        <w:spacing w:after="0" w:line="298"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99"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159" w:lineRule="exact"/>
        <w:rPr>
          <w:sz w:val="20"/>
          <w:szCs w:val="20"/>
          <w:color w:val="auto"/>
        </w:rPr>
      </w:pPr>
    </w:p>
    <w:p>
      <w:pPr>
        <w:ind w:right="360" w:firstLine="228"/>
        <w:spacing w:after="0" w:line="259" w:lineRule="auto"/>
        <w:rPr>
          <w:sz w:val="20"/>
          <w:szCs w:val="20"/>
          <w:color w:val="auto"/>
        </w:rPr>
      </w:pPr>
      <w:r>
        <w:rPr>
          <w:rFonts w:ascii="Arial" w:cs="Arial" w:eastAsia="Arial" w:hAnsi="Arial"/>
          <w:sz w:val="18"/>
          <w:szCs w:val="18"/>
          <w:b w:val="1"/>
          <w:bCs w:val="1"/>
          <w:i w:val="1"/>
          <w:iCs w:val="1"/>
          <w:color w:val="auto"/>
        </w:rPr>
        <w:t>Under the 1940 Act we may invest up to 30% of our assets in investments that are not qualifying assets for business development companies under the 1940 Act. If we do not invest a sufficient portion of our assets in qualifying assets, we could be precluded from investing in assets that we deem to be attractive.</w:t>
      </w:r>
    </w:p>
    <w:p>
      <w:pPr>
        <w:spacing w:after="0" w:line="59" w:lineRule="exact"/>
        <w:rPr>
          <w:sz w:val="20"/>
          <w:szCs w:val="20"/>
          <w:color w:val="auto"/>
        </w:rPr>
      </w:pPr>
    </w:p>
    <w:p>
      <w:pPr>
        <w:ind w:right="220" w:firstLine="517"/>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16"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believe that most of our debt and equity investments do and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45" w:lineRule="exact"/>
        <w:rPr>
          <w:sz w:val="20"/>
          <w:szCs w:val="20"/>
          <w:color w:val="auto"/>
        </w:rPr>
      </w:pPr>
    </w:p>
    <w:p>
      <w:pPr>
        <w:ind w:right="20" w:firstLine="228"/>
        <w:spacing w:after="0" w:line="268" w:lineRule="auto"/>
        <w:rPr>
          <w:sz w:val="20"/>
          <w:szCs w:val="20"/>
          <w:color w:val="auto"/>
        </w:rPr>
      </w:pPr>
      <w:r>
        <w:rPr>
          <w:rFonts w:ascii="Arial" w:cs="Arial" w:eastAsia="Arial" w:hAnsi="Arial"/>
          <w:sz w:val="18"/>
          <w:szCs w:val="18"/>
          <w:b w:val="1"/>
          <w:bCs w:val="1"/>
          <w:i w:val="1"/>
          <w:i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5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NAV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ectPr>
          <w:pgSz w:w="11900" w:h="16838" w:orient="portrait"/>
          <w:cols w:equalWidth="0" w:num="1">
            <w:col w:w="11420"/>
          </w:cols>
          <w:pgMar w:left="240" w:top="459" w:right="239" w:bottom="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loans from us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fail to make follow-on investments in our portfolio companies, this could materially impair the value of our portfolio.</w:t>
      </w:r>
    </w:p>
    <w:p>
      <w:pPr>
        <w:spacing w:after="0" w:line="90"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118"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44"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and regulatory considerations.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171"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b w:val="1"/>
          <w:bCs w:val="1"/>
          <w:i w:val="1"/>
          <w:i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4"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b w:val="1"/>
          <w:bCs w:val="1"/>
          <w:i w:val="1"/>
          <w:iCs w:val="1"/>
          <w:color w:val="auto"/>
        </w:rPr>
        <w:t>An investment strategy focused primarily on privately held companies, including controlled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9"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will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 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portfolio companies may incur debt that ranks equally with, or senior to, our investments in such companies.</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invest primarily in senior secured loans, mezzanine debt and equity investments issued by our portfolio companies. The portfolio companies usually will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incentive fee may induce the Investment Adviser to make speculative investments.</w:t>
      </w:r>
    </w:p>
    <w:p>
      <w:pPr>
        <w:spacing w:after="0" w:line="9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9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net investment income is computed and paid on income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170"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b w:val="1"/>
          <w:bCs w:val="1"/>
          <w:i w:val="1"/>
          <w:iCs w:val="1"/>
          <w:color w:val="auto"/>
        </w:rPr>
        <w:t>We may make investments that cause our stockholders to bear investment advisory fees and other expenses on such investments in addition to our management fees and expenses.</w:t>
      </w:r>
    </w:p>
    <w:p>
      <w:pPr>
        <w:spacing w:after="0" w:line="51" w:lineRule="exact"/>
        <w:rPr>
          <w:sz w:val="20"/>
          <w:szCs w:val="20"/>
          <w:color w:val="auto"/>
        </w:rPr>
      </w:pPr>
    </w:p>
    <w:p>
      <w:pPr>
        <w:jc w:val="both"/>
        <w:ind w:right="140" w:firstLine="571"/>
        <w:spacing w:after="0" w:line="335" w:lineRule="auto"/>
        <w:rPr>
          <w:sz w:val="20"/>
          <w:szCs w:val="20"/>
          <w:color w:val="auto"/>
        </w:rPr>
      </w:pPr>
      <w:r>
        <w:rPr>
          <w:rFonts w:ascii="Arial" w:cs="Arial" w:eastAsia="Arial" w:hAnsi="Arial"/>
          <w:sz w:val="15"/>
          <w:szCs w:val="15"/>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To the extent we so invest, we will bear our ratable share of any such investment company’s expenses, including management and performance fees. We will also remain obligated to pay investment</w:t>
      </w:r>
    </w:p>
    <w:p>
      <w:pPr>
        <w:sectPr>
          <w:pgSz w:w="11900" w:h="16838" w:orient="portrait"/>
          <w:cols w:equalWidth="0" w:num="1">
            <w:col w:w="11400"/>
          </w:cols>
          <w:pgMar w:left="240" w:top="459" w:right="259" w:bottom="0" w:gutter="0" w:footer="0" w:header="0"/>
        </w:sectPr>
      </w:pPr>
    </w:p>
    <w:bookmarkStart w:id="30" w:name="page31"/>
    <w:bookmarkEnd w:id="30"/>
    <w:p>
      <w:pPr>
        <w:spacing w:after="0" w:line="256" w:lineRule="auto"/>
        <w:rPr>
          <w:sz w:val="20"/>
          <w:szCs w:val="20"/>
          <w:color w:val="auto"/>
        </w:rPr>
      </w:pPr>
      <w:r>
        <w:rPr>
          <w:rFonts w:ascii="Arial" w:cs="Arial" w:eastAsia="Arial" w:hAnsi="Arial"/>
          <w:sz w:val="18"/>
          <w:szCs w:val="18"/>
          <w:color w:val="auto"/>
        </w:rPr>
        <w:t>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131"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obligated to pay our Investment Adviser incentive compensation even if we incur a loss.</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our Investment Adviser incentive compensation for a fiscal quarter even if there is a decline in the value of our portfolio or we incur a net loss for that quarter.</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portfolio companies.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investments in foreign securities may involve significant risks in addition to the risks inherent in U.S. investments.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of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93"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90" w:lineRule="exact"/>
        <w:rPr>
          <w:sz w:val="20"/>
          <w:szCs w:val="20"/>
          <w:color w:val="auto"/>
        </w:rPr>
      </w:pPr>
    </w:p>
    <w:p>
      <w:pPr>
        <w:ind w:right="80" w:firstLine="571"/>
        <w:spacing w:after="0" w:line="310" w:lineRule="auto"/>
        <w:rPr>
          <w:sz w:val="20"/>
          <w:szCs w:val="20"/>
          <w:color w:val="auto"/>
        </w:rPr>
      </w:pPr>
      <w:r>
        <w:rPr>
          <w:rFonts w:ascii="Arial" w:cs="Arial" w:eastAsia="Arial" w:hAnsi="Arial"/>
          <w:sz w:val="15"/>
          <w:szCs w:val="15"/>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81"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Any investments in distressed debt may not produce income and may require us to bear large expenses in order to protect and recover our investment.</w:t>
      </w:r>
    </w:p>
    <w:p>
      <w:pPr>
        <w:spacing w:after="0" w:line="125" w:lineRule="exact"/>
        <w:rPr>
          <w:sz w:val="20"/>
          <w:szCs w:val="20"/>
          <w:color w:val="auto"/>
        </w:rPr>
      </w:pPr>
    </w:p>
    <w:p>
      <w:pPr>
        <w:ind w:right="20" w:firstLine="527"/>
        <w:spacing w:after="0" w:line="288" w:lineRule="auto"/>
        <w:rPr>
          <w:sz w:val="20"/>
          <w:szCs w:val="20"/>
          <w:color w:val="auto"/>
        </w:rPr>
      </w:pPr>
      <w:r>
        <w:rPr>
          <w:rFonts w:ascii="Arial" w:cs="Arial" w:eastAsia="Arial" w:hAnsi="Arial"/>
          <w:sz w:val="16"/>
          <w:szCs w:val="16"/>
          <w:color w:val="auto"/>
        </w:rPr>
        <w:t>Distressed debt investments may not produce income and may require us to bear certain additional expenses in order to protect and recover our investment. Therefore, to the extent we invest in distressed debt, our ability to achieve current income for our stockholders may be diminished. We also will be subject to significant uncertainty as to when and in what manner and for what value the distressed debt we invest will eventually be satisfied (e.g., through liquidation of the obligor’s assets, an exchange offer or plan of reorganization involving the distressed debt securities or a payment of some amount in satisfaction of the obligation). In addition, even if an exchange offer is made or plan of reorganization is adopted with respect to distressed debt we hold, there can be no assurance that the securities or other assets received by us in connection with such exchange offer or plan of reorganization will not have a lower value or income potential than may have been anticipated when the investment was made. Moreover, any securities received by us upon completion of an exchange offer or plan of reorganization may be restricted as to resale. If we participate in negotiations with respect to any exchange offer or plan of reorganization with respect to an issuer of distressed debt, we may be restricted from disposing of such securities.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6" w:lineRule="exact"/>
        <w:rPr>
          <w:sz w:val="20"/>
          <w:szCs w:val="20"/>
          <w:color w:val="auto"/>
        </w:rPr>
      </w:pPr>
    </w:p>
    <w:p>
      <w:pPr>
        <w:jc w:val="both"/>
        <w:ind w:firstLine="228"/>
        <w:spacing w:after="0" w:line="335" w:lineRule="auto"/>
        <w:rPr>
          <w:sz w:val="20"/>
          <w:szCs w:val="20"/>
          <w:color w:val="auto"/>
        </w:rPr>
      </w:pPr>
      <w:r>
        <w:rPr>
          <w:rFonts w:ascii="Arial" w:cs="Arial" w:eastAsia="Arial" w:hAnsi="Arial"/>
          <w:sz w:val="15"/>
          <w:szCs w:val="15"/>
          <w:b w:val="1"/>
          <w:bCs w:val="1"/>
          <w:i w:val="1"/>
          <w:iCs w:val="1"/>
          <w:color w:val="auto"/>
        </w:rPr>
        <w:t>We may again obtain the approval of our stockholders to issue shares of our common stock at prices below the then current NAV per share of our common stock. If we receive such approval from stockholders in the future, we may again issue shares of our common stock at a price below the then current NAV per share of common stock. Any such issuance could materially dilute your interest in our common stock and reduce our NAV per share.</w:t>
      </w:r>
    </w:p>
    <w:p>
      <w:pPr>
        <w:spacing w:after="0" w:line="7"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We may again obtain the approval of our stockholders to issue shares of our common stock at prices below the then current NAV per share of our common stock in one or more offerings for a twelve-month period. Such approval has allowed, and may again allow, us to access the capital markets in a way that we typically are unable to do as a result of restrictions that, absent stockholder approval, apply to BDCs under the 1940 Act.</w:t>
      </w:r>
    </w:p>
    <w:p>
      <w:pPr>
        <w:spacing w:after="0" w:line="80" w:lineRule="exact"/>
        <w:rPr>
          <w:sz w:val="20"/>
          <w:szCs w:val="20"/>
          <w:color w:val="auto"/>
        </w:rPr>
      </w:pPr>
    </w:p>
    <w:p>
      <w:pPr>
        <w:ind w:right="20" w:firstLine="571"/>
        <w:spacing w:after="0" w:line="335" w:lineRule="auto"/>
        <w:rPr>
          <w:sz w:val="20"/>
          <w:szCs w:val="20"/>
          <w:color w:val="auto"/>
        </w:rPr>
      </w:pPr>
      <w:r>
        <w:rPr>
          <w:rFonts w:ascii="Arial" w:cs="Arial" w:eastAsia="Arial" w:hAnsi="Arial"/>
          <w:sz w:val="15"/>
          <w:szCs w:val="15"/>
          <w:color w:val="auto"/>
        </w:rPr>
        <w:t>Any sale or other issuance of shares of our common stock at a price below NAV per share has resulted and will continue to result in an immediate dilution to your interest in our common stock and a reduction of our NAV value per share. This dilution would occur as a result of a proportionately greater decrease in a stockholder’s interest in our earnings and assets and voting interest in us than the increase in our assets resulting from such issuance. Because the number of</w:t>
      </w:r>
    </w:p>
    <w:p>
      <w:pPr>
        <w:sectPr>
          <w:pgSz w:w="11900" w:h="16838" w:orient="portrait"/>
          <w:cols w:equalWidth="0" w:num="1">
            <w:col w:w="11420"/>
          </w:cols>
          <w:pgMar w:left="240" w:top="459" w:right="239" w:bottom="0" w:gutter="0" w:footer="0" w:header="0"/>
        </w:sectPr>
      </w:pPr>
    </w:p>
    <w:bookmarkStart w:id="32" w:name="page33"/>
    <w:bookmarkEnd w:id="32"/>
    <w:p>
      <w:pPr>
        <w:spacing w:after="0" w:line="298" w:lineRule="auto"/>
        <w:rPr>
          <w:sz w:val="20"/>
          <w:szCs w:val="20"/>
          <w:color w:val="auto"/>
        </w:rPr>
      </w:pPr>
      <w:r>
        <w:rPr>
          <w:rFonts w:ascii="Arial" w:cs="Arial" w:eastAsia="Arial" w:hAnsi="Arial"/>
          <w:sz w:val="16"/>
          <w:szCs w:val="16"/>
          <w:color w:val="auto"/>
        </w:rPr>
        <w:t>future shares of common stock that may be issued below our NAV per share and the price and timing of such issuances are not currently known, we cannot predict the actual dilutive effect of any such issuance. We also cannot determine the resulting reduction in our NAV per share of any such issuance at this time. We caution you that such effects may be material, and we undertake to describe all the material risks and dilutive effects of any offering that we make at a price below our then current NAV in the future in a prospectus supplement issued in connection with any such offering.</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131"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is a risk that our stockholders may not receive distributions or that our distributions may not grow over time.</w:t>
      </w:r>
    </w:p>
    <w:p>
      <w:pPr>
        <w:spacing w:after="0" w:line="90"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We intend to make distributions on a quarterly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Investing in our shares may involve an above average degree of risk.</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allocate the net proceeds from an offering of securities in ways with which you may not agree.</w:t>
      </w:r>
    </w:p>
    <w:p>
      <w:pPr>
        <w:spacing w:after="0" w:line="90"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have significant flexibility in investing the net proceeds of any offering of our securities and may use the net proceeds from an offering in ways with which you may not agree or for purposes other than those contemplated at the time of the offering.</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shares may trade at discounts from NAV or at premiums that are unsustainable over the long term.</w:t>
      </w:r>
    </w:p>
    <w:p>
      <w:pPr>
        <w:spacing w:after="0" w:line="9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90"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118" w:lineRule="exact"/>
        <w:rPr>
          <w:sz w:val="20"/>
          <w:szCs w:val="20"/>
          <w:color w:val="auto"/>
        </w:rPr>
      </w:pPr>
    </w:p>
    <w:p>
      <w:pPr>
        <w:ind w:left="660" w:right="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BDCs or SBICs;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loss of our BDC or RIC status or any loss of our subsidiaries’ SBIC licenses;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5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44"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15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i w:val="1"/>
          <w:iCs w:val="1"/>
          <w:color w:val="auto"/>
        </w:rPr>
        <w:t>We may be unable to invest the net proceeds raised from offerings on acceptable terms, which would harm our financial condition and operating results.</w:t>
      </w:r>
    </w:p>
    <w:p>
      <w:pPr>
        <w:spacing w:after="0" w:line="125"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also limits an SBIC’s choices to invest idle funds to the following types of securities:</w:t>
      </w:r>
    </w:p>
    <w:p>
      <w:pPr>
        <w:spacing w:after="0" w:line="158" w:lineRule="exact"/>
        <w:rPr>
          <w:sz w:val="20"/>
          <w:szCs w:val="20"/>
          <w:color w:val="auto"/>
        </w:rPr>
      </w:pPr>
    </w:p>
    <w:p>
      <w:pPr>
        <w:ind w:left="6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U.S. government, which mature within 15 months from the date of the investment;</w:t>
      </w:r>
    </w:p>
    <w:p>
      <w:pPr>
        <w:spacing w:after="0" w:line="118"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118"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157"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a withdrawal restriction of one year or less.</w:t>
      </w:r>
    </w:p>
    <w:p>
      <w:pPr>
        <w:sectPr>
          <w:pgSz w:w="11900" w:h="16838" w:orient="portrait"/>
          <w:cols w:equalWidth="0" w:num="1">
            <w:col w:w="11360"/>
          </w:cols>
          <w:pgMar w:left="240" w:top="459" w:right="299" w:bottom="0" w:gutter="0" w:footer="0" w:header="0"/>
        </w:sectPr>
      </w:pPr>
    </w:p>
    <w:p>
      <w:pPr>
        <w:spacing w:after="0" w:line="198"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Sales of substantial amounts of our securities may have an adverse effect on the market price of our securities.</w:t>
      </w:r>
    </w:p>
    <w:p>
      <w:pPr>
        <w:sectPr>
          <w:pgSz w:w="11900" w:h="16838" w:orient="portrait"/>
          <w:cols w:equalWidth="0" w:num="1">
            <w:col w:w="11360"/>
          </w:cols>
          <w:pgMar w:left="240" w:top="459" w:right="299" w:bottom="0" w:gutter="0" w:footer="0" w:header="0"/>
          <w:type w:val="continuous"/>
        </w:sectPr>
      </w:pPr>
    </w:p>
    <w:bookmarkStart w:id="34" w:name="page35"/>
    <w:bookmarkEnd w:id="34"/>
    <w:p>
      <w:pPr>
        <w:ind w:firstLine="571"/>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240" w:top="131" w:right="5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You may have current tax liabilities on distributions you reinvest in our common stock.</w:t>
      </w:r>
    </w:p>
    <w:p>
      <w:pPr>
        <w:spacing w:after="0" w:line="90" w:lineRule="exact"/>
        <w:rPr>
          <w:sz w:val="20"/>
          <w:szCs w:val="20"/>
          <w:color w:val="auto"/>
        </w:rPr>
      </w:pPr>
    </w:p>
    <w:p>
      <w:pPr>
        <w:ind w:right="100" w:firstLine="571"/>
        <w:spacing w:after="0" w:line="253" w:lineRule="auto"/>
        <w:rPr>
          <w:sz w:val="20"/>
          <w:szCs w:val="20"/>
          <w:color w:val="auto"/>
        </w:rPr>
      </w:pPr>
      <w:r>
        <w:rPr>
          <w:rFonts w:ascii="Arial" w:cs="Arial" w:eastAsia="Arial" w:hAnsi="Arial"/>
          <w:sz w:val="18"/>
          <w:szCs w:val="18"/>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“Management’s Discussion and Analysis of Financial Condition and Results of Operations—Liquidity and Capital Resources—Distributions” for more information.</w:t>
      </w:r>
    </w:p>
    <w:p>
      <w:pPr>
        <w:spacing w:after="0" w:line="174"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b w:val="1"/>
          <w:bCs w:val="1"/>
          <w:i w:val="1"/>
          <w:iCs w:val="1"/>
          <w:color w:val="auto"/>
        </w:rPr>
        <w:t>There is a risk that our common stockholders may receive our stock as distributions in which case they may be required to pay taxes in excess of the cash they receive.</w:t>
      </w:r>
    </w:p>
    <w:p>
      <w:pPr>
        <w:spacing w:after="0" w:line="51"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distributions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9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 Oxley Act, and other rules implemented by the SEC and the listing standards of the NASDAQ Stock Market LLC and the NYSE.</w:t>
      </w:r>
    </w:p>
    <w:p>
      <w:pPr>
        <w:spacing w:after="0" w:line="170"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51"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93"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93" w:lineRule="exact"/>
        <w:rPr>
          <w:sz w:val="20"/>
          <w:szCs w:val="20"/>
          <w:color w:val="auto"/>
        </w:rPr>
      </w:pPr>
    </w:p>
    <w:p>
      <w:pPr>
        <w:ind w:right="280" w:firstLine="571"/>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DEBT SECURITIES</w:t>
      </w:r>
    </w:p>
    <w:p>
      <w:pPr>
        <w:spacing w:after="0" w:line="1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The 2025 Notes are unsecured and therefore are effectively subordinated to any secured indebtedness we have currently incurred or may incur in the future.</w:t>
      </w:r>
    </w:p>
    <w:p>
      <w:pPr>
        <w:spacing w:after="0" w:line="132"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2025 Notes are not secured by any of our assets or any of the assets of our subsidiaries. As a result, the 2025 Notes are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2025 Notes. As of September 30, 2013, we had $145.5 million outstanding under the Credit Facility. The Credit Facility is secured by substantially all of the assets in our portfolio (other than assets held by our SBIC Funds), and the indebtedness under the Credit Facility is therefore effectively senior in right of payment to the 2025 Notes to the extent of the value of such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2025 Notes are structurally subordinated to the indebtedness and other liabilities of our subsidiaries.</w:t>
      </w:r>
    </w:p>
    <w:p>
      <w:pPr>
        <w:spacing w:after="0" w:line="171"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2025 Notes are obligations exclusively of PennantPark Investment Corporation and not of any of our subsidiaries. None of our subsidiaries are or act as guarantors of the 2025 Notes and the 2025 Notes are not required to be guaranteed by any subsidiaries we may acquire or create in the future. Our secured indebtedness with respect to the SBA debentures is held through our SBIC Funds. The assets of any such subsidiaries are not directly available to satisfy the claims of our creditors, including holders of the 2025 Notes.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2025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2025 Notes are structurally subordinated to all indebtedness and other liabilities (including trade payables) of our subsidiaries and any subsidiaries that we may in the future acquire or establish as financing vehicles or otherwise. As of September 30, 2013, SBIC LP had $150.0 million of SBA debentures outstanding. All of such indebtedness is structurally senior to the 2025 Notes. In addition, our subsidiaries may incur substantial additional indebtedness in the future, all of which would be structurally senior to the 2025 Notes.</w:t>
      </w:r>
    </w:p>
    <w:p>
      <w:pPr>
        <w:sectPr>
          <w:pgSz w:w="11900" w:h="16838" w:orient="portrait"/>
          <w:cols w:equalWidth="0" w:num="1">
            <w:col w:w="11400"/>
          </w:cols>
          <w:pgMar w:left="240" w:top="459" w:right="259" w:bottom="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indenture under which the 2025 Notes were issued contains limited protection for holders of the 2025 Notes.</w:t>
      </w:r>
    </w:p>
    <w:p>
      <w:pPr>
        <w:sectPr>
          <w:pgSz w:w="11900" w:h="16838" w:orient="portrait"/>
          <w:cols w:equalWidth="0" w:num="1">
            <w:col w:w="11400"/>
          </w:cols>
          <w:pgMar w:left="240" w:top="459" w:right="259" w:bottom="0" w:gutter="0" w:footer="0" w:header="0"/>
          <w:type w:val="continuous"/>
        </w:sectPr>
      </w:pPr>
    </w:p>
    <w:bookmarkStart w:id="36" w:name="page37"/>
    <w:bookmarkEnd w:id="36"/>
    <w:p>
      <w:pPr>
        <w:jc w:val="both"/>
        <w:ind w:right="220" w:firstLine="571"/>
        <w:spacing w:after="0" w:line="256" w:lineRule="auto"/>
        <w:rPr>
          <w:sz w:val="20"/>
          <w:szCs w:val="20"/>
          <w:color w:val="auto"/>
        </w:rPr>
      </w:pPr>
      <w:r>
        <w:rPr>
          <w:rFonts w:ascii="Arial" w:cs="Arial" w:eastAsia="Arial" w:hAnsi="Arial"/>
          <w:sz w:val="18"/>
          <w:szCs w:val="18"/>
          <w:color w:val="auto"/>
        </w:rPr>
        <w:t>The indenture under which the 2025 Notes were issued offers limited protection to holders of the 2025 Notes. The terms of the indenture and the 2025 Notes do not restrict our or any of our subsidiaries’ ability to engage in, or otherwise be a party to, a variety of corporate transactions, circumstances or events that could have an adverse impact on investment in the 2025 Notes. In particular, the terms of the indenture and the 2025 Notes do not place any restrictions on our or our subsidiaries’ ability to:</w:t>
      </w:r>
    </w:p>
    <w:p>
      <w:pPr>
        <w:spacing w:after="0" w:line="62" w:lineRule="exact"/>
        <w:rPr>
          <w:sz w:val="20"/>
          <w:szCs w:val="20"/>
          <w:color w:val="auto"/>
        </w:rPr>
      </w:pPr>
    </w:p>
    <w:p>
      <w:pPr>
        <w:ind w:left="900" w:hanging="325"/>
        <w:spacing w:after="0" w:line="25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securities or otherwise incur additional indebtedness or other obligations, including (1) any indebtedness or other obligations that would be equal in right of payment to the 2025 Notes, (2) any indebtedness or other obligations that would be secured and therefore rank effectively senior in right of payment to the 2025 Notes to the extent of the values of the assets securing such debt, (3) indebtedness of ours that is guaranteed by one or more of our subsidiaries and which therefore would rank structurally senior to the 2025 Notes and (4) securities, indebtedness or other obligations issued or incurred by our subsidiaries that would be senior in right of payment to our equity interests in our subsidiaries and therefore would rank structurally senior in right of payment to the 2025 Notes with respect to the assets of our subsidiaries, in each case other than an incurrence of indebtedness or other obligation that would cause a violation of Section 18(a)(1)(A) as modified by Section 61(a)(1) of the 1940 Act or any successor provisions;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distributions on, or purchase or redeem or make any payments in respect of, capital stock or other securities ranking junior in right of payment to the 2025 Notes;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assets (other than certain limited restrictions on our ability to consolidate, merge or sell all or substantially all of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restrictions on the payment of distributions or other amounts to us from our subsidiaries.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the indenture does not require us to offer to purchase the 2025 Notes in connection with a change of control or any other event.</w:t>
      </w:r>
    </w:p>
    <w:p>
      <w:pPr>
        <w:spacing w:after="0" w:line="194"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Furthermore, the terms of the indenture and the 2025 Notes do not protect holders of the 2025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07" w:lineRule="exact"/>
        <w:rPr>
          <w:sz w:val="20"/>
          <w:szCs w:val="20"/>
          <w:color w:val="auto"/>
        </w:rPr>
      </w:pPr>
    </w:p>
    <w:p>
      <w:pPr>
        <w:ind w:right="480" w:firstLine="571"/>
        <w:spacing w:after="0" w:line="259"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2025 Notes may have important consequences for a holder of the 2025 Notes, including making it more difficult for us to satisfy our obligations with respect to the 2025 Notes or negatively affecting the trading value of the 2025 Notes.</w:t>
      </w:r>
    </w:p>
    <w:p>
      <w:pPr>
        <w:spacing w:after="0" w:line="140"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Certain of our current debt instruments include more protections for their holders than the indenture and the 2025 Notes. In addition, other debt we issue or incur in the future could contain more protections for its holders than the indenture and the 2025 Notes, including additional covenants and events of default. The issuance or incurrence of any such debt with incremental protections could affect the market for and trading levels and prices of the 2025 Notes.</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An active trading market for the 2025 Notes may not develop, which could limit the market price of the 2025 Notes or the ability of holders of the 2025 Notes to sell them. If a rating agency assigns the 2025 Notes a non-investment grade rating, the 2025 Notes may be subject to greater price volatility than similar securities without such a rating.</w:t>
      </w:r>
    </w:p>
    <w:p>
      <w:pPr>
        <w:spacing w:after="0" w:line="140"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have listed the 2025 Notes on the NYSE. However, we cannot provide any assurances that an active trading market will develop for the 2025 Notes or that holders of the 2025 Notes will be able to sell their 2025 Notes. The 2025 Notes may trade at a discount from their initial offering price depending on prevailing interest rates, the market for similar securities, our credit ratings, general economic conditions, our financial condition, performance and prospects and other factors. If a rating agency assigns the 2025 Notes a non-investment grade rating, the 2025 Notes may be subject to greater price volatility than securities of similar maturity without such a non-investment grade rating. The underwriters may discontinue any market-making in the 2025 Notes at any time at their sole discretion. Accordingly, we cannot assure holders of the 2025 Notes that a liquid trading market will develop for the 2025 Notes, that they will be able to sell their 2025 Notes at a particular time or that the price holders receive upon such sale will be favorable. To the extent an active trading market does not develop, the liquidity and trading price for the 2025 Notes may be harmed. Accordingly, holders of the 2025 Notes may be required to bear the financial risk of an investment in the 2025 Notes for an indefinite period of time.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FATCA withholding may apply to payments to certain foreign entities.</w:t>
      </w:r>
    </w:p>
    <w:p>
      <w:pPr>
        <w:spacing w:after="0" w:line="90"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Payments made under the 2025 Notes to a foreign financial institution or non-financial foreign entity (including such an institution or entity acting as an intermediary) may be subject to a U.S. withholding tax of 30% under a law (commonly known as “FATCA”) that was enacted in 2010. This tax may apply to certain payments of interest as well as payments made upon maturity, redemption, or sale of the 2025 Notes, unless the foreign financial institution or non-financial foreign entity complies with certain information reporting, withholding, identification, certification and related requirements imposed by FATCA. Holders of the 2025 Notes should consult their own tax advisors regarding FATCA and how it may affect their investment in the 2025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0" w:firstLine="571"/>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49" w:lineRule="exact"/>
        <w:rPr>
          <w:sz w:val="20"/>
          <w:szCs w:val="20"/>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jc w:val="both"/>
        <w:ind w:right="40" w:firstLine="571"/>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43"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140" w:firstLine="571"/>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0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2013, we had $284.5 million of unused borrowing capacity, subject to maintenance of the applicable total assets to debt ratio, as set forth in the 1940 Act, and $145.5 million (including a temporary draw of $28.0 million) in borrowings outstanding under our $430.0 million Credit Facility. Borrowings under our Credit Facility bear interest at an annual rate equal to LIBOR plus 275 basis points per annum. At September 30, 2013, the weighted average interest rate on the Credit Facility was 3.33%. The Credit Facility is a revolving facility with a stated maturity date of February 21, 2016 and is secured by substantially all of the assets in our investment portfolio, excluding assets of our SBIC Funds. Amounts repaid under our Credit Facility remain available for future borrowings. See “Management’s Discussion and Analysis of Financial Condition and Results of Operations” for more information.</w:t>
      </w:r>
    </w:p>
    <w:p>
      <w:pPr>
        <w:spacing w:after="0" w:line="12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NAV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“Regulation—Temporary Investments” for more information.</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180" w:firstLine="571"/>
        <w:spacing w:after="0" w:line="291"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years. The Consolidated Statement of Operations data, Per share data and Consolidated Statement of Assets and Liabilities data for the prior five fiscal years are derived from our Consolidated Financial Statements which have been audited by KPMG LLP, an independent registered public accounting firm for those periods. These selected financial data should be read in conjunction with our Consolidated Financial Statements and related notes thereto and “Management’s Discussion and Analysis of Financial Condition and Results of Operations.”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4"/>
                <w:szCs w:val="14"/>
                <w:b w:val="1"/>
                <w:bCs w:val="1"/>
                <w:color w:val="auto"/>
                <w:w w:val="99"/>
              </w:rPr>
              <w:t>For the years ended September 30,</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2"/>
                <w:szCs w:val="12"/>
                <w:color w:val="auto"/>
              </w:rPr>
            </w:pPr>
          </w:p>
        </w:tc>
        <w:tc>
          <w:tcPr>
            <w:tcW w:w="860" w:type="dxa"/>
            <w:vAlign w:val="bottom"/>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6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(Dollar amounts in thousands, except per share data)</w:t>
            </w:r>
          </w:p>
        </w:tc>
        <w:tc>
          <w:tcPr>
            <w:tcW w:w="1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5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129,187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  113,392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$ 91,738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$ 60,140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$ 45,119</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62,189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56,323</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39,093</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28,065</w:t>
            </w: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22,400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66,998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57,069</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52,645</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22,719</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Net realized and unrealized gain (loss)</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24,780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6,284</w:t>
            </w:r>
          </w:p>
        </w:tc>
        <w:tc>
          <w:tcPr>
            <w:tcW w:w="30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(42,382)</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(15,539)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13,083</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91,778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63,353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16,535</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35,802</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Per share data:</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year end)</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1.01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(1)</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0.38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1.39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0.24</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0.56</w:t>
            </w: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(1),(2)</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Consolidated Statement of Assets and Liabilities data:</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1,153,327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1,018,968</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928,738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711,494</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512,381</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Total investment portfolio</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1,078,176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990,480</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827,549</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664,724</w:t>
            </w: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469,760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Borrowings outstanding</w:t>
            </w:r>
            <w:r>
              <w:rPr>
                <w:rFonts w:ascii="Arial" w:cs="Arial" w:eastAsia="Arial" w:hAnsi="Arial"/>
                <w:sz w:val="11"/>
                <w:szCs w:val="11"/>
                <w:color w:val="auto"/>
              </w:rPr>
              <w:t>(3)</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363,900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294,452</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388,792</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233,641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175,475</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Total NAV</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697,506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669,717</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462,657</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386,575</w:t>
            </w:r>
          </w:p>
        </w:tc>
        <w:tc>
          <w:tcPr>
            <w:tcW w:w="3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300,580</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180" w:type="dxa"/>
            <w:vAlign w:val="bottom"/>
            <w:gridSpan w:val="3"/>
          </w:tcPr>
          <w:p>
            <w:pPr>
              <w:jc w:val="right"/>
              <w:ind w:right="80"/>
              <w:spacing w:after="0"/>
              <w:rPr>
                <w:sz w:val="20"/>
                <w:szCs w:val="20"/>
                <w:color w:val="auto"/>
              </w:rPr>
            </w:pPr>
            <w:r>
              <w:rPr>
                <w:rFonts w:ascii="Arial" w:cs="Arial" w:eastAsia="Arial" w:hAnsi="Arial"/>
                <w:sz w:val="18"/>
                <w:szCs w:val="18"/>
                <w:color w:val="auto"/>
              </w:rPr>
              <w:t>17.37%</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28.71%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44.79%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1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year end)</w:t>
            </w:r>
            <w:r>
              <w:rPr>
                <w:rFonts w:ascii="Arial" w:cs="Arial" w:eastAsia="Arial" w:hAnsi="Arial"/>
                <w:sz w:val="11"/>
                <w:szCs w:val="11"/>
                <w:color w:val="auto"/>
              </w:rPr>
              <w:t>(5)</w:t>
            </w:r>
          </w:p>
        </w:tc>
        <w:tc>
          <w:tcPr>
            <w:tcW w:w="2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82"/>
        </w:trPr>
        <w:tc>
          <w:tcPr>
            <w:tcW w:w="5200" w:type="dxa"/>
            <w:vAlign w:val="bottom"/>
            <w:gridSpan w:val="2"/>
          </w:tcPr>
          <w:p>
            <w:pPr>
              <w:spacing w:after="0"/>
              <w:rPr>
                <w:sz w:val="20"/>
                <w:szCs w:val="20"/>
                <w:color w:val="auto"/>
              </w:rPr>
            </w:pPr>
            <w:r>
              <w:rPr>
                <w:rFonts w:ascii="Arial" w:cs="Arial" w:eastAsia="Arial" w:hAnsi="Arial"/>
                <w:sz w:val="18"/>
                <w:szCs w:val="18"/>
                <w:color w:val="auto"/>
              </w:rPr>
              <w:t>Yield on debt portfolio (at year end)</w:t>
            </w:r>
            <w:r>
              <w:rPr>
                <w:rFonts w:ascii="Arial" w:cs="Arial" w:eastAsia="Arial" w:hAnsi="Arial"/>
                <w:sz w:val="11"/>
                <w:szCs w:val="11"/>
                <w:color w:val="auto"/>
              </w:rPr>
              <w:t>(5)</w:t>
            </w:r>
          </w:p>
        </w:tc>
        <w:tc>
          <w:tcPr>
            <w:tcW w:w="2180" w:type="dxa"/>
            <w:vAlign w:val="bottom"/>
            <w:gridSpan w:val="3"/>
          </w:tcPr>
          <w:p>
            <w:pPr>
              <w:jc w:val="right"/>
              <w:ind w:right="80"/>
              <w:spacing w:after="0"/>
              <w:rPr>
                <w:sz w:val="20"/>
                <w:szCs w:val="20"/>
                <w:color w:val="auto"/>
              </w:rPr>
            </w:pPr>
            <w:r>
              <w:rPr>
                <w:rFonts w:ascii="Arial" w:cs="Arial" w:eastAsia="Arial" w:hAnsi="Arial"/>
                <w:sz w:val="18"/>
                <w:szCs w:val="18"/>
                <w:color w:val="auto"/>
              </w:rPr>
              <w:t>13.0%</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13.2%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13.3%</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663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87"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the weighted average shares outstanding for the respective years.</w:t>
      </w:r>
    </w:p>
    <w:p>
      <w:pPr>
        <w:ind w:left="220" w:hanging="212"/>
        <w:spacing w:after="0" w:line="22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which may differ from amounts determined under GAAP.</w:t>
      </w:r>
    </w:p>
    <w:p>
      <w:pPr>
        <w:ind w:left="220" w:hanging="212"/>
        <w:spacing w:after="0" w:line="22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At fair value.</w:t>
      </w:r>
    </w:p>
    <w:p>
      <w:pPr>
        <w:ind w:left="220" w:hanging="212"/>
        <w:spacing w:after="0" w:line="221" w:lineRule="auto"/>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220" w:hanging="212"/>
        <w:spacing w:after="0"/>
        <w:tabs>
          <w:tab w:leader="none" w:pos="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Unaudited.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31,447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33,725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31,057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32,958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17,099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17,655</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14,063</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18,181</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12,910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10,360</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22,479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13,786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26,972</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28,541</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10.49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10.43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18"/>
                <w:szCs w:val="18"/>
                <w:color w:val="auto"/>
              </w:rPr>
            </w:pPr>
          </w:p>
        </w:tc>
      </w:tr>
      <w:tr>
        <w:trPr>
          <w:trHeight w:val="365"/>
        </w:trPr>
        <w:tc>
          <w:tcPr>
            <w:tcW w:w="7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30,806</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29,385</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26,362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26,839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16,742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15,571</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9,759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14,997</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(12,151)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16,638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17,690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3,420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26,397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15,846</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10.22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r>
      <w:tr>
        <w:trPr>
          <w:trHeight w:val="365"/>
        </w:trPr>
        <w:tc>
          <w:tcPr>
            <w:tcW w:w="7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Q4</w:t>
            </w:r>
          </w:p>
        </w:tc>
        <w:tc>
          <w:tcPr>
            <w:tcW w:w="100" w:type="dxa"/>
            <w:vAlign w:val="bottom"/>
          </w:tcPr>
          <w:p>
            <w:pPr>
              <w:spacing w:after="0"/>
              <w:rPr>
                <w:sz w:val="12"/>
                <w:szCs w:val="12"/>
                <w:color w:val="auto"/>
              </w:rPr>
            </w:pPr>
          </w:p>
        </w:tc>
        <w:tc>
          <w:tcPr>
            <w:tcW w:w="8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6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26,139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22,908</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22,712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19,979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13,220</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13,159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11,171</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(46,260)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(10,901)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14,351</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(31,165)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2,319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13,587</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25,522</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11.08</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100" w:type="dxa"/>
            <w:vAlign w:val="bottom"/>
            <w:shd w:val="clear" w:color="auto" w:fill="CCEEFF"/>
          </w:tcPr>
          <w:p>
            <w:pPr>
              <w:spacing w:after="0"/>
              <w:rPr>
                <w:sz w:val="18"/>
                <w:szCs w:val="18"/>
                <w:color w:val="auto"/>
              </w:rPr>
            </w:pPr>
          </w:p>
        </w:tc>
      </w:tr>
      <w:tr>
        <w:trPr>
          <w:trHeight w:val="363"/>
        </w:trPr>
        <w:tc>
          <w:tcPr>
            <w:tcW w:w="7900" w:type="dxa"/>
            <w:vAlign w:val="bottom"/>
          </w:tcPr>
          <w:p>
            <w:pPr>
              <w:ind w:left="56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32"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80" w:firstLine="571"/>
        <w:spacing w:after="0" w:line="289" w:lineRule="auto"/>
        <w:rPr>
          <w:sz w:val="20"/>
          <w:szCs w:val="20"/>
          <w:color w:val="auto"/>
        </w:rPr>
      </w:pPr>
      <w:r>
        <w:rPr>
          <w:rFonts w:ascii="Arial" w:cs="Arial" w:eastAsia="Arial" w:hAnsi="Arial"/>
          <w:sz w:val="16"/>
          <w:szCs w:val="16"/>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terms of three to ten years and bear interest at a fixed or a floating rate. Interest on debt securities is generally payable quarterly or semiannually. In some cases, some of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We record prepayment penalties on loans and debt securities as income. Dividend income, if any, is recognized on an accrual basis on the ex-dividend date to the extent that we expect to collect such amounts.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240" w:firstLine="571"/>
        <w:spacing w:after="0" w:line="323" w:lineRule="auto"/>
        <w:rPr>
          <w:sz w:val="20"/>
          <w:szCs w:val="20"/>
          <w:color w:val="auto"/>
        </w:rPr>
      </w:pPr>
      <w:r>
        <w:rPr>
          <w:rFonts w:ascii="Arial" w:cs="Arial" w:eastAsia="Arial" w:hAnsi="Arial"/>
          <w:sz w:val="15"/>
          <w:szCs w:val="15"/>
          <w:color w:val="auto"/>
        </w:rPr>
        <w:t>Our primary operating expenses include the payment of Management Fees (as defined below)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various debt facilities. We bear all other direct or indirect costs and expenses of our operations and transactions, including:</w:t>
      </w:r>
    </w:p>
    <w:p>
      <w:pPr>
        <w:spacing w:after="0" w:line="17"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calculating our NAV, including the cost of any third-party valuation services;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90" w:lineRule="exact"/>
        <w:rPr>
          <w:rFonts w:ascii="Arial" w:cs="Arial" w:eastAsia="Arial" w:hAnsi="Arial"/>
          <w:sz w:val="18"/>
          <w:szCs w:val="18"/>
          <w:color w:val="auto"/>
        </w:rPr>
      </w:pPr>
    </w:p>
    <w:p>
      <w:pPr>
        <w:ind w:left="660" w:right="200" w:hanging="314"/>
        <w:spacing w:after="0" w:line="26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complimentary businesses;</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and state registration fees and any exchange listing fees;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fidelity bond, directors and officers, errors and omissions liability insurance and other insurance premiums;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the 1958 Act and applicable federal and state securities laws; and</w:t>
      </w:r>
    </w:p>
    <w:p>
      <w:pPr>
        <w:spacing w:after="0" w:line="113" w:lineRule="exact"/>
        <w:rPr>
          <w:rFonts w:ascii="Arial" w:cs="Arial" w:eastAsia="Arial" w:hAnsi="Arial"/>
          <w:sz w:val="16"/>
          <w:szCs w:val="16"/>
          <w:color w:val="auto"/>
        </w:rPr>
      </w:pPr>
    </w:p>
    <w:p>
      <w:pPr>
        <w:ind w:left="660" w:right="20" w:hanging="314"/>
        <w:spacing w:after="0" w:line="25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13"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The SEC requires that estimated “Total Annual Expenses” be calculated as a percentage of net assets in the chart on page 6 of this prospectus rather than as a percentage of total assets. Total assets include assets that have been funded with borrowed money (leverage). For reference, the chart below illustrates our estimated “Total Annual Expenses” as a percentage of total assets:</w:t>
      </w:r>
    </w:p>
    <w:p>
      <w:pPr>
        <w:spacing w:after="0" w:line="107"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40" w:type="dxa"/>
            <w:vAlign w:val="bottom"/>
          </w:tcPr>
          <w:p>
            <w:pPr>
              <w:ind w:left="1180"/>
              <w:spacing w:after="0"/>
              <w:rPr>
                <w:sz w:val="20"/>
                <w:szCs w:val="20"/>
                <w:color w:val="auto"/>
              </w:rPr>
            </w:pPr>
            <w:r>
              <w:rPr>
                <w:rFonts w:ascii="Arial" w:cs="Arial" w:eastAsia="Arial" w:hAnsi="Arial"/>
                <w:sz w:val="18"/>
                <w:szCs w:val="18"/>
                <w:b w:val="1"/>
                <w:bCs w:val="1"/>
                <w:color w:val="auto"/>
                <w:w w:val="91"/>
              </w:rPr>
              <w:t>Estimated Annual Expenses (as a Percentage of Average Total Assets)</w:t>
            </w:r>
            <w:r>
              <w:rPr>
                <w:rFonts w:ascii="Arial" w:cs="Arial" w:eastAsia="Arial" w:hAnsi="Arial"/>
                <w:sz w:val="11"/>
                <w:szCs w:val="11"/>
                <w:b w:val="1"/>
                <w:bCs w:val="1"/>
                <w:color w:val="auto"/>
                <w:w w:val="91"/>
              </w:rPr>
              <w:t>(1)</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2.00%</w:t>
            </w:r>
            <w:r>
              <w:rPr>
                <w:rFonts w:ascii="Arial" w:cs="Arial" w:eastAsia="Arial" w:hAnsi="Arial"/>
                <w:sz w:val="11"/>
                <w:szCs w:val="11"/>
                <w:color w:val="auto"/>
                <w:w w:val="96"/>
              </w:rPr>
              <w:t>(2)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6860" w:type="dxa"/>
            <w:vAlign w:val="bottom"/>
            <w:gridSpan w:val="2"/>
          </w:tcPr>
          <w:p>
            <w:pPr>
              <w:spacing w:after="0"/>
              <w:rPr>
                <w:sz w:val="20"/>
                <w:szCs w:val="20"/>
                <w:color w:val="auto"/>
              </w:rPr>
            </w:pPr>
            <w:r>
              <w:rPr>
                <w:rFonts w:ascii="Arial" w:cs="Arial" w:eastAsia="Arial" w:hAnsi="Arial"/>
                <w:sz w:val="18"/>
                <w:szCs w:val="18"/>
                <w:color w:val="auto"/>
              </w:rPr>
              <w:t>Incentive fees</w:t>
            </w:r>
          </w:p>
        </w:tc>
        <w:tc>
          <w:tcPr>
            <w:tcW w:w="660" w:type="dxa"/>
            <w:vAlign w:val="bottom"/>
          </w:tcPr>
          <w:p>
            <w:pPr>
              <w:jc w:val="right"/>
              <w:spacing w:after="0"/>
              <w:rPr>
                <w:sz w:val="20"/>
                <w:szCs w:val="20"/>
                <w:color w:val="auto"/>
              </w:rPr>
            </w:pPr>
            <w:r>
              <w:rPr>
                <w:rFonts w:ascii="Arial" w:cs="Arial" w:eastAsia="Arial" w:hAnsi="Arial"/>
                <w:sz w:val="18"/>
                <w:szCs w:val="18"/>
                <w:color w:val="auto"/>
                <w:w w:val="96"/>
              </w:rPr>
              <w:t>1.60%</w:t>
            </w:r>
            <w:r>
              <w:rPr>
                <w:rFonts w:ascii="Arial" w:cs="Arial" w:eastAsia="Arial" w:hAnsi="Arial"/>
                <w:sz w:val="11"/>
                <w:szCs w:val="11"/>
                <w:color w:val="auto"/>
                <w:w w:val="96"/>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68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Interest payments on borrowed funds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1.53%</w:t>
            </w:r>
            <w:r>
              <w:rPr>
                <w:rFonts w:ascii="Arial" w:cs="Arial" w:eastAsia="Arial" w:hAnsi="Arial"/>
                <w:sz w:val="11"/>
                <w:szCs w:val="11"/>
                <w:color w:val="auto"/>
                <w:w w:val="96"/>
              </w:rPr>
              <w:t>(4)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Other expenses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0.21%</w:t>
            </w:r>
            <w:r>
              <w:rPr>
                <w:rFonts w:ascii="Arial" w:cs="Arial" w:eastAsia="Arial" w:hAnsi="Arial"/>
                <w:sz w:val="11"/>
                <w:szCs w:val="11"/>
                <w:color w:val="auto"/>
                <w:w w:val="96"/>
              </w:rPr>
              <w:t>(5)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annual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5.34%</w:t>
            </w:r>
            <w:r>
              <w:rPr>
                <w:rFonts w:ascii="Arial" w:cs="Arial" w:eastAsia="Arial" w:hAnsi="Arial"/>
                <w:sz w:val="11"/>
                <w:szCs w:val="11"/>
                <w:color w:val="auto"/>
                <w:w w:val="96"/>
              </w:rPr>
              <w:t>(6)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total assets equals average adjusted gross assets for the three months ended September 30, 2013.</w:t>
      </w:r>
    </w:p>
    <w:p>
      <w:pPr>
        <w:spacing w:after="0" w:line="68" w:lineRule="exact"/>
        <w:rPr>
          <w:rFonts w:ascii="Arial" w:cs="Arial" w:eastAsia="Arial" w:hAnsi="Arial"/>
          <w:sz w:val="14"/>
          <w:szCs w:val="14"/>
          <w:color w:val="auto"/>
        </w:rPr>
      </w:pPr>
    </w:p>
    <w:p>
      <w:pPr>
        <w:ind w:left="340" w:right="40" w:hanging="332"/>
        <w:spacing w:after="0" w:line="239"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contractual management fee is calculated at an annual rate of 2.00% of our average adjusted gross assets. See “Certain Relationships and Transactions—Investment Management Agreement” for more information.</w:t>
      </w:r>
    </w:p>
    <w:p>
      <w:pPr>
        <w:sectPr>
          <w:pgSz w:w="11900" w:h="16838" w:orient="portrait"/>
          <w:cols w:equalWidth="0" w:num="1">
            <w:col w:w="11420"/>
          </w:cols>
          <w:pgMar w:left="240" w:top="459" w:right="239" w:bottom="0" w:gutter="0" w:footer="0" w:header="0"/>
        </w:sectPr>
      </w:pPr>
    </w:p>
    <w:bookmarkStart w:id="44" w:name="page45"/>
    <w:bookmarkEnd w:id="44"/>
    <w:p>
      <w:pPr>
        <w:ind w:left="340" w:right="20" w:hanging="332"/>
        <w:spacing w:after="0" w:line="266"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portion of incentive fees paid with respect to net investment income is based on actual amounts incurred during the three months ended September 30, 2013, annualized for a full year.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September 30, 2013, our unrealized capital gains did not exceed our cumulative realized and unrealized capital losses. As we cannot predict our future net investment income or capital gains, the incentive fee paid in future years, if any, may be substantially different than the fee earned during the three months ended September 30, 2013. For more detailed information about the incentive fee, please see “Certain Relationships and Transactions—Investment Management Agreement” for more information.</w:t>
      </w:r>
    </w:p>
    <w:p>
      <w:pPr>
        <w:spacing w:after="0" w:line="45" w:lineRule="exact"/>
        <w:rPr>
          <w:rFonts w:ascii="Arial" w:cs="Arial" w:eastAsia="Arial" w:hAnsi="Arial"/>
          <w:sz w:val="12"/>
          <w:szCs w:val="12"/>
          <w:color w:val="auto"/>
        </w:rPr>
      </w:pPr>
    </w:p>
    <w:p>
      <w:pPr>
        <w:ind w:left="340" w:right="140" w:hanging="332"/>
        <w:spacing w:after="0" w:line="268"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As of September 30, 2013, we had $284.5 million of unused borrowing capacity, subject to maintenance of the applicable total assets to debt ratio, which is defined in the 1940 Act, and $145.5 million in borrowings outstanding under our $430 million Credit Facility and had $71.3 million in aggregate principal of 2025 Notes at an annual interest rate of 6.25%. As of September 30, 2013, SBIC LP had $150.0 million outstanding with a weighted average interest rate of 3.70%, exclusive of the 3.43% of upfront fees (4.04% inclusive of the 3.43% upfront fee).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42" w:lineRule="exact"/>
        <w:rPr>
          <w:rFonts w:ascii="Arial" w:cs="Arial" w:eastAsia="Arial" w:hAnsi="Arial"/>
          <w:sz w:val="12"/>
          <w:szCs w:val="12"/>
          <w:color w:val="auto"/>
        </w:rPr>
      </w:pPr>
    </w:p>
    <w:p>
      <w:pPr>
        <w:ind w:left="340" w:right="60" w:hanging="332"/>
        <w:spacing w:after="0" w:line="23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September 30, 2013, annualized for a full year.</w:t>
      </w:r>
    </w:p>
    <w:p>
      <w:pPr>
        <w:spacing w:after="0" w:line="57" w:lineRule="exact"/>
        <w:rPr>
          <w:rFonts w:ascii="Arial" w:cs="Arial" w:eastAsia="Arial" w:hAnsi="Arial"/>
          <w:sz w:val="14"/>
          <w:szCs w:val="14"/>
          <w:color w:val="auto"/>
        </w:rPr>
      </w:pPr>
    </w:p>
    <w:p>
      <w:pPr>
        <w:ind w:left="340" w:right="20" w:hanging="332"/>
        <w:spacing w:after="0" w:line="273" w:lineRule="auto"/>
        <w:tabs>
          <w:tab w:leader="none" w:pos="3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table above is intended to assist you in understanding the various costs and expenses that an investor in shares of our common stock will bear as a percentage of our average gross assets as of September 30,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7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As of September 30, 2013, our portfolio totaled $1,078.2 million and consisted of $299.5 million of senior secured loans, $357.5 million of second lien secured debt, $302.5 million of subordinated debt and $118.7 million of preferred and common equity investments. Our debt portfolio consisted of 52% fixed-rate and 48% variable-rate investments (including 44% with a LIBOR or prime floor). Our overall portfolio consisted of 61 companies with an average investment size of $17.7 million, had a weighted average yield on debt investments of 13.0% and was invested 28% in senior secured loans, 33% in second lien secured debt, 28% in subordinated debt and 11% in preferred and common equity investments.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As of September 30, 2012, our portfolio totaled $990.5 million and consisted of $291.7 million of senior secured loans, $191.3 million of second lien secured debt, $400.7 million of subordinated debt and $106.8 million of preferred and common equity investments. Our debt portfolio consisted of 69% fixed-rate and 31% variable-rate investments (including 26% with a LIBOR or prime floor). As of September 30, 2012, we had one non-accrual debt investment, representing 3.2% and 1.1% of our overall portfolio on a cost and fair value basis, respectively. Our overall portfolio consisted of 54 companies with an average investment size of $18.3 million, had a weighted average yield on debt investments of 13.2% and was invested 30% in senior secured loans, 19% in second lien secured debt, 40% in subordinated debt and 11% in preferred and common equity investments.</w:t>
      </w:r>
    </w:p>
    <w:p>
      <w:pPr>
        <w:spacing w:after="0" w:line="12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For the fiscal year ended September 30, 2013, we purchased $504.4 million of investments in 14 new and 26 existing portfolio companies with a weighted average yield of 12.7% on debt investments. This compares to purchasing $328.3 million in 13 new and 17 existing portfolio companies with an overall weighted average yield of 13.3% on debt investments, and purchasing $479.7 million in 17 new and 11 existing portfolio companies with an overall weighted average yield of 13.7% on debt investments for the fiscal years ended September 30, 2012 and 2011, respectively.</w:t>
      </w:r>
    </w:p>
    <w:p>
      <w:pPr>
        <w:spacing w:after="0" w:line="113"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For the fiscal year ended September 30, 2013, sales and repayments generated proceeds of $437.1 million. For the fiscal years ended September 30, 2012 and 2011, sales and repayments generated proceeds of $201.7 million and $304.0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20" w:firstLine="571"/>
        <w:spacing w:after="0" w:line="289"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U.S. generally accepted accounting principles, or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18"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below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w:t>
      </w:r>
    </w:p>
    <w:p>
      <w:pPr>
        <w:spacing w:after="0" w:line="118"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6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800" w:right="140" w:hanging="346"/>
        <w:spacing w:after="0" w:line="306" w:lineRule="auto"/>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212"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17" w:lineRule="exact"/>
        <w:rPr>
          <w:sz w:val="20"/>
          <w:szCs w:val="20"/>
          <w:color w:val="auto"/>
        </w:rPr>
      </w:pPr>
    </w:p>
    <w:p>
      <w:pPr>
        <w:ind w:left="1220" w:right="500" w:hanging="742"/>
        <w:spacing w:after="0" w:line="332" w:lineRule="auto"/>
        <w:tabs>
          <w:tab w:leader="none" w:pos="12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w:t>
      </w:r>
    </w:p>
    <w:p>
      <w:pPr>
        <w:sectPr>
          <w:pgSz w:w="11900" w:h="16838" w:orient="portrait"/>
          <w:cols w:equalWidth="0" w:num="1">
            <w:col w:w="11420"/>
          </w:cols>
          <w:pgMar w:left="240" w:top="459" w:right="239" w:bottom="0" w:gutter="0" w:footer="0" w:header="0"/>
        </w:sectPr>
      </w:pPr>
    </w:p>
    <w:bookmarkStart w:id="46" w:name="page47"/>
    <w:bookmarkEnd w:id="46"/>
    <w:p>
      <w:pPr>
        <w:ind w:left="680"/>
        <w:spacing w:after="0"/>
        <w:rPr>
          <w:sz w:val="20"/>
          <w:szCs w:val="20"/>
          <w:color w:val="auto"/>
        </w:rPr>
      </w:pPr>
      <w:r>
        <w:rPr>
          <w:rFonts w:ascii="Arial" w:cs="Arial" w:eastAsia="Arial" w:hAnsi="Arial"/>
          <w:sz w:val="18"/>
          <w:szCs w:val="18"/>
          <w:color w:val="auto"/>
        </w:rPr>
        <w:t>the full term, if applicable, of the financial instrument.</w:t>
      </w:r>
    </w:p>
    <w:p>
      <w:pPr>
        <w:spacing w:after="0" w:line="117" w:lineRule="exact"/>
        <w:rPr>
          <w:sz w:val="20"/>
          <w:szCs w:val="20"/>
          <w:color w:val="auto"/>
        </w:rPr>
      </w:pPr>
    </w:p>
    <w:p>
      <w:pPr>
        <w:ind w:left="680" w:hanging="742"/>
        <w:spacing w:after="0" w:line="268" w:lineRule="auto"/>
        <w:tabs>
          <w:tab w:leader="none" w:pos="660" w:val="left"/>
        </w:tabs>
        <w:rPr>
          <w:sz w:val="20"/>
          <w:szCs w:val="20"/>
          <w:color w:val="auto"/>
        </w:rPr>
      </w:pPr>
      <w:r>
        <w:rPr>
          <w:rFonts w:ascii="Arial" w:cs="Arial" w:eastAsia="Arial" w:hAnsi="Arial"/>
          <w:sz w:val="18"/>
          <w:szCs w:val="18"/>
          <w:color w:val="auto"/>
        </w:rPr>
        <w:t>Level 3:</w:t>
        <w:tab/>
        <w:t>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340"/>
          </w:cols>
          <w:pgMar w:left="780" w:top="131" w:right="7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fiscal years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and deferred financing costs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right="20" w:firstLine="436"/>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gains income (i.e. the excess, if any, of our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Set forth below are our results of operations for the fiscal years ended September 30, 2013, 2012 and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Investment income for the fiscal year ended September 30, 2013 was $129.2 million and was attributable to $38.9 million from senior secured loan investments, $31.9 million from second lien secured debt investments, $55.1 million from subordinated debt investments and $3.3 million from preferred and common equity. The increase in investment income over the prior year was due to the growth of our portfolio which was driven by reinvesting proceeds from the rotation in our portfolio and the investment of the proceeds from our equity and debt offerings.</w:t>
      </w:r>
    </w:p>
    <w:p>
      <w:pPr>
        <w:sectPr>
          <w:pgSz w:w="11900" w:h="16838" w:orient="portrait"/>
          <w:cols w:equalWidth="0" w:num="1">
            <w:col w:w="11420"/>
          </w:cols>
          <w:pgMar w:left="240" w:top="459" w:right="239" w:bottom="62" w:gutter="0" w:footer="0" w:header="0"/>
        </w:sectPr>
      </w:pPr>
    </w:p>
    <w:bookmarkStart w:id="48" w:name="page49"/>
    <w:bookmarkEnd w:id="48"/>
    <w:p>
      <w:pPr>
        <w:ind w:firstLine="571"/>
        <w:spacing w:after="0" w:line="306" w:lineRule="auto"/>
        <w:rPr>
          <w:sz w:val="20"/>
          <w:szCs w:val="20"/>
          <w:color w:val="auto"/>
        </w:rPr>
      </w:pPr>
      <w:r>
        <w:rPr>
          <w:rFonts w:ascii="Arial" w:cs="Arial" w:eastAsia="Arial" w:hAnsi="Arial"/>
          <w:sz w:val="16"/>
          <w:szCs w:val="16"/>
          <w:color w:val="auto"/>
        </w:rPr>
        <w:t>Investment income for the fiscal year ended September 30, 2012 was $113.4 million and was primarily attributable to $42.8 million from senior secured loan investments, $21.2 million from second lien secured debt investments, and $49.4 million from subordinated debt investments. The increase in investment income over the prior year was due to the growth of our portfolio which was also driven by the investment of the proceeds from our equity offerings.</w:t>
      </w:r>
    </w:p>
    <w:p>
      <w:pPr>
        <w:spacing w:after="0" w:line="10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Investment income for the fiscal year ended September 30, 2011 was $91.7 million and was primarily attributable to $37.1 million from senior secured loan investments, $15.2 million from second lien secured debt investments, and $38.8 million from subordinated debt investments. The increase in investment income over the prior year was due to the growth of our portfolio which was also driven by investment of the proceeds from our equity offering and rotation out of lower yielding assets.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131" w:right="3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Expenses for the fiscal year ended September 30, 2013 totaled $62.2 million. Base management fees for the same period totaled $21.3 million, incentive fees totaled $16.8 million, debt related interest and expenses totaled $18.1 million (including $2.8 million associated with the 2025 Notes and expanding our Credit Facility) and general and administrative expenses totaled $6.0 million. The increase in expenses over the prior year was primarily due to increased borrowing costs and the growth of our portfolio.</w:t>
      </w:r>
    </w:p>
    <w:p>
      <w:pPr>
        <w:spacing w:after="0" w:line="143"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Expenses for the fiscal year ended September 30, 2012 totaled $56.3 million. Base management fees for the same period totaled $17.5 million, incentive fees totaled $14.2 million, Credit Facility and SBA debentures related expenses totaled $17.1 million (including $5.4 million of upfront fees associated with amending and extending our Credit Facility), general and administrative expenses totaled $7.2 million and an excise tax of $0.3 million was incurred. The increase in expenses over the prior year was primarily due to the upfront costs of amending our Credit Facility, increased borrowing costs and the growth of our portfolio.</w:t>
      </w:r>
    </w:p>
    <w:p>
      <w:pPr>
        <w:spacing w:after="0" w:line="14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Expenses for the fiscal year ended September 30, 2011 totaled $39.1 million. Base management fees for the same period totaled $14.9 million, incentive fees totaled $13.2 million, Credit Facility and SBA debentures related expenses totaled $5.3 million, general and administrative expenses totaled $5.5 million and an excise tax of $0.2 million was incurred. The increase in expenses over the prior year was the result of the growth of our portfolio as well as increased borrowing costs.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Net investment income totaled $67.0 million or $1.01 per share, $57.1 million or $1.08 per share and $52.6 million or $1.25 per share for the fiscal years ended September 30, 2013, 2012 and 2011, respectively. The increase in net investment income was the result of the growth of our portfolio, while the per share net investment income decrease was the result of share issuances.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jc w:val="both"/>
        <w:ind w:right="240" w:firstLine="571"/>
        <w:spacing w:after="0" w:line="259" w:lineRule="auto"/>
        <w:rPr>
          <w:sz w:val="20"/>
          <w:szCs w:val="20"/>
          <w:color w:val="auto"/>
        </w:rPr>
      </w:pPr>
      <w:r>
        <w:rPr>
          <w:rFonts w:ascii="Arial" w:cs="Arial" w:eastAsia="Arial" w:hAnsi="Arial"/>
          <w:sz w:val="18"/>
          <w:szCs w:val="18"/>
          <w:color w:val="auto"/>
        </w:rPr>
        <w:t>Sales and repayments of investments for the fiscal years ended September 30, 2013, 2012 and 2011 totaled $437.1 million, $201.7 million and $304.0 million, respectively, and net realized gains (losses) totaled $17.7 million, $(12.8) million and $16.3 million, respectively. Net realized gains increased over the prior year primarily due to sales, restructurings and repayments of our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or Depreciation on Investments, Credit Facility and 2025 Notes</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Net change in unrealized (depreciation) appreciation on investments totaled $4.8 million, $20.6 million and $(46.8) million for the fiscal years ended September 30, 2013, 2012 and 2011, respectively. Net change in unrealized (appreciation) depreciation on our Credit Facility and 2025 Notes totaled $2.3 million, $(1.6) million and $(11.9) million for the same periods, respectively. The decrease in net unrealized change in appreciation on investments from the fiscal year ended September 30, 2011 to the fiscal year ended September 30, 2013 was due to the overall variations in the leveraged finance markets. The increase in net unrealized change in depreciation (appreciation) on our Credit Facility and 2025 Notes was the result of the fluctuating interest rate environment.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Net increase in net assets resulting from operations totaled $91.8 million or $1.39 per share, $63.4 million or $1.20 per share, and $10.3 million or $0.24 per share for the fiscal years ended September 30, 2013, 2012 and 2011, respectively. The net increase in net assets from operations was higher than in prior years primarily due to realized gains and continued growth in net investment income.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jc w:val="both"/>
        <w:ind w:right="320" w:firstLine="571"/>
        <w:spacing w:after="0" w:line="298" w:lineRule="auto"/>
        <w:rPr>
          <w:sz w:val="20"/>
          <w:szCs w:val="20"/>
          <w:color w:val="auto"/>
        </w:rPr>
      </w:pPr>
      <w:r>
        <w:rPr>
          <w:rFonts w:ascii="Arial" w:cs="Arial" w:eastAsia="Arial" w:hAnsi="Arial"/>
          <w:sz w:val="16"/>
          <w:szCs w:val="16"/>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13"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2016, and a one-year term-out period following its third year. Borrowings under the Credit Facility bear interest at 275 basis points over LIBOR. As of September 30, 2013 and 2012, we had $284.5 million and $235.0 million of unused borrowing capacity, respectively, subject to the regulatory restrictions that the 1940 Act imposes on us as a BDC. The Credit Facility is secured by substantially all of our assets excluding assets held by our SBIC Funds.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Credit Facility contains customary affirmative and restrictive covenants, including maintenance of a minimum stockholders’ equity of the sum of</w:t>
      </w:r>
    </w:p>
    <w:p>
      <w:pPr>
        <w:spacing w:after="0" w:line="38" w:lineRule="exact"/>
        <w:rPr>
          <w:sz w:val="20"/>
          <w:szCs w:val="20"/>
          <w:color w:val="auto"/>
        </w:rPr>
      </w:pPr>
    </w:p>
    <w:p>
      <w:pPr>
        <w:ind w:right="160" w:firstLine="8"/>
        <w:spacing w:after="0" w:line="288"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$220.0 million plus (b) 25% of the net proceeds from the sale of equity interests in us and our subsidiaries after the closing date of the Credit Facility and maintenance of a ratio of total assets (less total liabilities other than indebtedness) to total indebtedness of not less than 2.0:1.0 (before any exemptive relief granted by the SEC with respect to the indebtedness of our SBIC subsidiaries). In addition to the asset coverage ratio described in the preceding sentence, borrowings under our Credit Facility (and the incurrence of certain other permitted debt) are subject to compliance with a borrowing base that applies different advance rates to different types of assets in the Company’s portfolio. For a complete list of covenants contained in the Credit Facility, see our Form 8-K filed on February 22, 2012 and the Credit Facility agreement filed as an exhibit to our Form 10-Q filed on May 2, 2012. As of September 30, 2013, we were in compliance with the terms of our Credit Facility.</w:t>
      </w:r>
    </w:p>
    <w:p>
      <w:pPr>
        <w:spacing w:after="0" w:line="12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In January 2013, we issued $71.3 million in aggregate principal amount of 2025 Notes, after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ectPr>
          <w:pgSz w:w="11900" w:h="16838" w:orient="portrait"/>
          <w:cols w:equalWidth="0" w:num="1">
            <w:col w:w="11420"/>
          </w:cols>
          <w:pgMar w:left="240" w:top="459" w:right="239" w:bottom="70" w:gutter="0" w:footer="0" w:header="0"/>
        </w:sectPr>
      </w:pPr>
    </w:p>
    <w:bookmarkStart w:id="50" w:name="page51"/>
    <w:bookmarkEnd w:id="50"/>
    <w:p>
      <w:pPr>
        <w:ind w:firstLine="571"/>
        <w:spacing w:after="0" w:line="294" w:lineRule="auto"/>
        <w:rPr>
          <w:sz w:val="20"/>
          <w:szCs w:val="20"/>
          <w:color w:val="auto"/>
        </w:rPr>
      </w:pPr>
      <w:r>
        <w:rPr>
          <w:rFonts w:ascii="Arial" w:cs="Arial" w:eastAsia="Arial" w:hAnsi="Arial"/>
          <w:sz w:val="16"/>
          <w:szCs w:val="16"/>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or 2025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w:t>
      </w: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00"/>
          </w:cols>
          <w:pgMar w:left="240" w:top="131" w:right="3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For the fiscal year ended September 30, 2013 we sold 0.7 million shares of common stock pursuant to the underwriters’ exercise of the overallotment option, resulting in net proceeds of $7.3 million. This compares to selling 19.4 million shares of our common stock resulting in net proceeds of $198.9 million for the fiscal year ended September 30, 2012. Any decision to sell shares below the then current NAV per share of our common stock is subject to stockholder approval and a determination by our board of directors that such issuance and sale is in our and our stockholders’ best interests. Any sale or other issuance of shares of our common stock at a price below NAV per share results in immediate dilution to our stockholders’ interests in our common stock and a reduction in our NAV per share.</w:t>
      </w:r>
    </w:p>
    <w:p>
      <w:pPr>
        <w:spacing w:after="0" w:line="14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In accordance with the 1940 Act, with certain limited exceptions, PennantPark Investment is only allowed to borrow amounts such that our asset coverage ratio is met after such borrowing. As of September 30, 2013, we excluded the principal amounts of our SBA debentures from our asset coverage ratio pursuant to SEC exemptive relief. In June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116"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but not limited to an examination by the SBA. We have funded SBIC LP with $75.0 million of equity capital and had SBA debentures outstanding of $150.0 million as of September 30, 2013. Effective January 2013, our wholly-owned subsidiary, SBIC II, received a license from the SBA to operate as an SBIC under the 1958 Act. Our SBIC Funds are subject to a variety of regulations and oversight by the SBA concerning, among other things, the size and nature of the companies in which it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SBA regulations limit the amount that SBIC LP may borrow to a maximum of $150.0 million, which is up to twice its potential regulatory capital, and may borrow to a maximum of $225 million as part of a group of SBICs under common control. SBIC LP has accessed the maximum borrowing with its $75.0 million in regulatory capital.</w:t>
      </w:r>
    </w:p>
    <w:p>
      <w:pPr>
        <w:spacing w:after="0" w:line="120"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As of September 30, 2013 and 2012, our $150.0 million in debt commitments were fully drawn with a weighted average interest rate of 3.70% exclusive of the 3.43% in upfront fees (4.04% after upfront fees). The SBA debentures upfront fees of 3.43% consist of a commitment fee of 1.00% and an issuance at a</w:t>
      </w:r>
    </w:p>
    <w:p>
      <w:pPr>
        <w:spacing w:after="0"/>
        <w:rPr>
          <w:sz w:val="20"/>
          <w:szCs w:val="20"/>
          <w:color w:val="auto"/>
        </w:rPr>
      </w:pPr>
      <w:r>
        <w:rPr>
          <w:rFonts w:ascii="Arial" w:cs="Arial" w:eastAsia="Arial" w:hAnsi="Arial"/>
          <w:sz w:val="16"/>
          <w:szCs w:val="16"/>
          <w:color w:val="auto"/>
        </w:rPr>
        <w:t>2.43% discount to face. Both fees will be amortized over the lives of the loans. Our fixed rate SBA debentures as of September 30, 2013 and 2012 are as follows:</w:t>
      </w:r>
    </w:p>
    <w:p>
      <w:pPr>
        <w:spacing w:after="0" w:line="197"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ind w:left="300"/>
              <w:spacing w:after="0"/>
              <w:rPr>
                <w:sz w:val="20"/>
                <w:szCs w:val="20"/>
                <w:color w:val="auto"/>
              </w:rPr>
            </w:pPr>
            <w:r>
              <w:rPr>
                <w:rFonts w:ascii="Arial" w:cs="Arial" w:eastAsia="Arial" w:hAnsi="Arial"/>
                <w:sz w:val="14"/>
                <w:szCs w:val="14"/>
                <w:b w:val="1"/>
                <w:bCs w:val="1"/>
                <w:color w:val="auto"/>
              </w:rPr>
              <w:t>All-in</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r>
      <w:tr>
        <w:trPr>
          <w:trHeight w:val="176"/>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Issuance Dates</w:t>
            </w:r>
          </w:p>
        </w:tc>
        <w:tc>
          <w:tcPr>
            <w:tcW w:w="26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Maturity</w:t>
            </w:r>
          </w:p>
        </w:tc>
        <w:tc>
          <w:tcPr>
            <w:tcW w:w="3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ind w:left="20"/>
              <w:spacing w:after="0" w:line="176" w:lineRule="exact"/>
              <w:rPr>
                <w:sz w:val="20"/>
                <w:szCs w:val="20"/>
                <w:color w:val="auto"/>
              </w:rPr>
            </w:pPr>
            <w:r>
              <w:rPr>
                <w:rFonts w:ascii="Arial" w:cs="Arial" w:eastAsia="Arial" w:hAnsi="Arial"/>
                <w:sz w:val="13"/>
                <w:szCs w:val="13"/>
                <w:b w:val="1"/>
                <w:bCs w:val="1"/>
                <w:color w:val="auto"/>
                <w:w w:val="89"/>
              </w:rPr>
              <w:t xml:space="preserve">Coupon Rate </w:t>
            </w:r>
            <w:r>
              <w:rPr>
                <w:rFonts w:ascii="Arial" w:cs="Arial" w:eastAsia="Arial" w:hAnsi="Arial"/>
                <w:sz w:val="20"/>
                <w:szCs w:val="20"/>
                <w:b w:val="1"/>
                <w:bCs w:val="1"/>
                <w:color w:val="auto"/>
                <w:w w:val="89"/>
                <w:vertAlign w:val="superscript"/>
              </w:rPr>
              <w:t>(1)</w:t>
            </w:r>
          </w:p>
        </w:tc>
        <w:tc>
          <w:tcPr>
            <w:tcW w:w="4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5"/>
                <w:szCs w:val="15"/>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September 1, 2020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1720" w:type="dxa"/>
            <w:vAlign w:val="bottom"/>
            <w:gridSpan w:val="2"/>
          </w:tcPr>
          <w:p>
            <w:pPr>
              <w:ind w:left="60"/>
              <w:spacing w:after="0"/>
              <w:rPr>
                <w:sz w:val="20"/>
                <w:szCs w:val="20"/>
                <w:color w:val="auto"/>
              </w:rPr>
            </w:pPr>
            <w:r>
              <w:rPr>
                <w:rFonts w:ascii="Arial" w:cs="Arial" w:eastAsia="Arial" w:hAnsi="Arial"/>
                <w:sz w:val="18"/>
                <w:szCs w:val="18"/>
                <w:color w:val="auto"/>
              </w:rPr>
              <w:t>March 1, 2021</w:t>
            </w: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Pr>
          <w:p>
            <w:pPr>
              <w:spacing w:after="0"/>
              <w:rPr>
                <w:sz w:val="18"/>
                <w:szCs w:val="18"/>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September 1, 2021</w:t>
            </w:r>
          </w:p>
        </w:tc>
        <w:tc>
          <w:tcPr>
            <w:tcW w:w="9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79"/>
              </w:rPr>
              <w:t>3.38</w:t>
            </w: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105,000,000</w:t>
            </w:r>
          </w:p>
        </w:tc>
        <w:tc>
          <w:tcPr>
            <w:tcW w:w="100" w:type="dxa"/>
            <w:vAlign w:val="bottom"/>
            <w:shd w:val="clear" w:color="auto" w:fill="CCEEFF"/>
          </w:tcPr>
          <w:p>
            <w:pPr>
              <w:spacing w:after="0"/>
              <w:rPr>
                <w:sz w:val="18"/>
                <w:szCs w:val="18"/>
                <w:color w:val="auto"/>
              </w:rPr>
            </w:pPr>
          </w:p>
        </w:tc>
      </w:tr>
      <w:tr>
        <w:trPr>
          <w:trHeight w:val="222"/>
        </w:trPr>
        <w:tc>
          <w:tcPr>
            <w:tcW w:w="306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ind w:left="640"/>
              <w:spacing w:after="0"/>
              <w:rPr>
                <w:sz w:val="20"/>
                <w:szCs w:val="20"/>
                <w:color w:val="auto"/>
              </w:rPr>
            </w:pPr>
            <w:r>
              <w:rPr>
                <w:rFonts w:ascii="Arial" w:cs="Arial" w:eastAsia="Arial" w:hAnsi="Arial"/>
                <w:sz w:val="18"/>
                <w:szCs w:val="18"/>
                <w:color w:val="auto"/>
              </w:rPr>
              <w:t>3.70%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150,000,000</w:t>
            </w:r>
          </w:p>
        </w:tc>
        <w:tc>
          <w:tcPr>
            <w:tcW w:w="100" w:type="dxa"/>
            <w:vAlign w:val="bottom"/>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2400" w:hanging="339"/>
        <w:spacing w:after="0"/>
        <w:tabs>
          <w:tab w:leader="none" w:pos="2400" w:val="left"/>
        </w:tabs>
        <w:numPr>
          <w:ilvl w:val="0"/>
          <w:numId w:val="23"/>
        </w:numPr>
        <w:rPr>
          <w:rFonts w:ascii="Arial" w:cs="Arial" w:eastAsia="Arial" w:hAnsi="Arial"/>
          <w:sz w:val="22"/>
          <w:szCs w:val="22"/>
          <w:color w:val="auto"/>
          <w:vertAlign w:val="superscript"/>
        </w:rPr>
      </w:pPr>
      <w:r>
        <w:rPr>
          <w:rFonts w:ascii="Arial" w:cs="Arial" w:eastAsia="Arial" w:hAnsi="Arial"/>
          <w:sz w:val="18"/>
          <w:szCs w:val="18"/>
          <w:color w:val="auto"/>
        </w:rPr>
        <w:t>Excludes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-161290</wp:posOffset>
            </wp:positionV>
            <wp:extent cx="18097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6"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September 30, 2013, our SBIC Funds were in compliance with their regulatory requirements.</w:t>
      </w:r>
    </w:p>
    <w:p>
      <w:pPr>
        <w:spacing w:after="0" w:line="120" w:lineRule="exact"/>
        <w:rPr>
          <w:sz w:val="20"/>
          <w:szCs w:val="20"/>
          <w:color w:val="auto"/>
        </w:rPr>
      </w:pPr>
    </w:p>
    <w:p>
      <w:pPr>
        <w:ind w:right="380" w:firstLine="571"/>
        <w:spacing w:after="0" w:line="259" w:lineRule="auto"/>
        <w:rPr>
          <w:sz w:val="20"/>
          <w:szCs w:val="20"/>
          <w:color w:val="auto"/>
        </w:rPr>
      </w:pPr>
      <w:r>
        <w:rPr>
          <w:rFonts w:ascii="Arial" w:cs="Arial" w:eastAsia="Arial" w:hAnsi="Arial"/>
          <w:sz w:val="18"/>
          <w:szCs w:val="18"/>
          <w:color w:val="auto"/>
        </w:rPr>
        <w:t>On September 30, 2013 and September 30, 2012, we had cash equivalents of $58.4 million and $7.6 million, respectively, available for investing and general corporate purposes. This was primarily the result of repayments in SBIC LP. We believe our liquidity and capital resources are sufficient to take advantage of market opportunities.</w:t>
      </w:r>
    </w:p>
    <w:p>
      <w:pPr>
        <w:spacing w:after="0" w:line="14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Our operating activities provided cash of $40.3 million for the fiscal year ended September 30, 2013, and our financing activities provided cash proceeds of $10.6 million for the same period. Our operating activities used cash primarily for investing that was offset by proceeds from sales and repayments on our investments and issuance of the 2025 Notes.</w:t>
      </w:r>
    </w:p>
    <w:p>
      <w:pPr>
        <w:spacing w:after="0" w:line="140"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Our operating activities used cash of $115.3 million for the fiscal year ended September 30, 2012, and our financing activities provided cash proceeds of $51.3 million for the same period. Our operating activities used cash primarily for investing that was provided primarily from proceeds from our follow-on public offerings of common stock.</w:t>
      </w:r>
    </w:p>
    <w:p>
      <w:pPr>
        <w:spacing w:after="0" w:line="140"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operating activities used cash of $137.8 million for the fiscal year ended September 30, 2011, and our financing activities provided cash proceeds of $207.6 million for the same period. Our operating activities used cash primarily for investing that was provided primarily from proceeds from our follow-on public offering of common stock and draws under our Credit Facility and SBA debentures.</w:t>
      </w:r>
    </w:p>
    <w:p>
      <w:pPr>
        <w:spacing w:after="0" w:line="21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 summary of our significant contractual payment obligations as of September 30, 2013, including borrowings under our multi-currency Credit Facility and other contractual obligations,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75"/>
              <w:spacing w:after="0"/>
              <w:rPr>
                <w:sz w:val="20"/>
                <w:szCs w:val="20"/>
                <w:color w:val="auto"/>
              </w:rPr>
            </w:pPr>
            <w:r>
              <w:rPr>
                <w:rFonts w:ascii="Arial" w:cs="Arial" w:eastAsia="Arial" w:hAnsi="Arial"/>
                <w:sz w:val="14"/>
                <w:szCs w:val="14"/>
                <w:b w:val="1"/>
                <w:bCs w:val="1"/>
                <w:color w:val="auto"/>
                <w:w w:val="97"/>
              </w:rPr>
              <w:t>Payments due by period (millions)</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9"/>
              </w:rPr>
              <w:t>Less than</w:t>
            </w:r>
          </w:p>
        </w:tc>
        <w:tc>
          <w:tcPr>
            <w:tcW w:w="920" w:type="dxa"/>
            <w:vAlign w:val="bottom"/>
            <w:gridSpan w:val="2"/>
          </w:tcPr>
          <w:p>
            <w:pPr>
              <w:jc w:val="right"/>
              <w:ind w:right="77"/>
              <w:spacing w:after="0" w:line="129" w:lineRule="exact"/>
              <w:rPr>
                <w:sz w:val="20"/>
                <w:szCs w:val="20"/>
                <w:color w:val="auto"/>
              </w:rPr>
            </w:pPr>
            <w:r>
              <w:rPr>
                <w:rFonts w:ascii="Arial" w:cs="Arial" w:eastAsia="Arial" w:hAnsi="Arial"/>
                <w:sz w:val="14"/>
                <w:szCs w:val="14"/>
                <w:b w:val="1"/>
                <w:bCs w:val="1"/>
                <w:color w:val="auto"/>
              </w:rPr>
              <w:t>1-3</w:t>
            </w:r>
          </w:p>
        </w:tc>
        <w:tc>
          <w:tcPr>
            <w:tcW w:w="940" w:type="dxa"/>
            <w:vAlign w:val="bottom"/>
            <w:gridSpan w:val="2"/>
          </w:tcPr>
          <w:p>
            <w:pPr>
              <w:jc w:val="right"/>
              <w:ind w:right="95"/>
              <w:spacing w:after="0" w:line="129" w:lineRule="exact"/>
              <w:rPr>
                <w:sz w:val="20"/>
                <w:szCs w:val="20"/>
                <w:color w:val="auto"/>
              </w:rPr>
            </w:pPr>
            <w:r>
              <w:rPr>
                <w:rFonts w:ascii="Arial" w:cs="Arial" w:eastAsia="Arial" w:hAnsi="Arial"/>
                <w:sz w:val="14"/>
                <w:szCs w:val="14"/>
                <w:b w:val="1"/>
                <w:bCs w:val="1"/>
                <w:color w:val="auto"/>
              </w:rPr>
              <w:t>3-5</w:t>
            </w:r>
          </w:p>
        </w:tc>
        <w:tc>
          <w:tcPr>
            <w:tcW w:w="4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Total</w:t>
            </w:r>
          </w:p>
        </w:tc>
        <w:tc>
          <w:tcPr>
            <w:tcW w:w="400" w:type="dxa"/>
            <w:vAlign w:val="bottom"/>
          </w:tcPr>
          <w:p>
            <w:pPr>
              <w:spacing w:after="0"/>
              <w:rPr>
                <w:sz w:val="14"/>
                <w:szCs w:val="14"/>
                <w:color w:val="auto"/>
              </w:rPr>
            </w:pPr>
          </w:p>
        </w:tc>
        <w:tc>
          <w:tcPr>
            <w:tcW w:w="540" w:type="dxa"/>
            <w:vAlign w:val="bottom"/>
          </w:tcPr>
          <w:p>
            <w:pPr>
              <w:jc w:val="right"/>
              <w:ind w:right="1"/>
              <w:spacing w:after="0"/>
              <w:rPr>
                <w:sz w:val="20"/>
                <w:szCs w:val="20"/>
                <w:color w:val="auto"/>
              </w:rPr>
            </w:pPr>
            <w:r>
              <w:rPr>
                <w:rFonts w:ascii="Arial" w:cs="Arial" w:eastAsia="Arial" w:hAnsi="Arial"/>
                <w:sz w:val="14"/>
                <w:szCs w:val="14"/>
                <w:b w:val="1"/>
                <w:bCs w:val="1"/>
                <w:color w:val="auto"/>
              </w:rPr>
              <w:t>1 year</w:t>
            </w:r>
          </w:p>
        </w:tc>
        <w:tc>
          <w:tcPr>
            <w:tcW w:w="42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6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$145.5</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  —</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$145.5</w:t>
            </w:r>
          </w:p>
        </w:tc>
        <w:tc>
          <w:tcPr>
            <w:tcW w:w="4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SBA debentures</w:t>
            </w:r>
          </w:p>
        </w:tc>
        <w:tc>
          <w:tcPr>
            <w:tcW w:w="5100" w:type="dxa"/>
            <w:vAlign w:val="bottom"/>
            <w:gridSpan w:val="3"/>
          </w:tcPr>
          <w:p>
            <w:pPr>
              <w:jc w:val="right"/>
              <w:spacing w:after="0"/>
              <w:rPr>
                <w:sz w:val="20"/>
                <w:szCs w:val="20"/>
                <w:color w:val="auto"/>
              </w:rPr>
            </w:pPr>
            <w:r>
              <w:rPr>
                <w:rFonts w:ascii="Arial" w:cs="Arial" w:eastAsia="Arial" w:hAnsi="Arial"/>
                <w:sz w:val="18"/>
                <w:szCs w:val="18"/>
                <w:color w:val="auto"/>
              </w:rPr>
              <w:t>150.0</w:t>
            </w:r>
          </w:p>
        </w:tc>
        <w:tc>
          <w:tcPr>
            <w:tcW w:w="40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2025 Notes</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Total debt outstanding</w:t>
            </w:r>
            <w:r>
              <w:rPr>
                <w:rFonts w:ascii="Arial" w:cs="Arial" w:eastAsia="Arial" w:hAnsi="Arial"/>
                <w:sz w:val="11"/>
                <w:szCs w:val="11"/>
                <w:color w:val="auto"/>
              </w:rPr>
              <w:t>(1)</w:t>
            </w:r>
          </w:p>
        </w:tc>
        <w:tc>
          <w:tcPr>
            <w:tcW w:w="4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400" w:type="dxa"/>
            <w:vAlign w:val="bottom"/>
            <w:vMerge w:val="continue"/>
          </w:tcPr>
          <w:p>
            <w:pPr>
              <w:spacing w:after="0"/>
              <w:rPr>
                <w:sz w:val="19"/>
                <w:szCs w:val="19"/>
                <w:color w:val="auto"/>
              </w:rPr>
            </w:pPr>
          </w:p>
        </w:tc>
        <w:tc>
          <w:tcPr>
            <w:tcW w:w="46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366.8</w:t>
            </w:r>
          </w:p>
        </w:tc>
        <w:tc>
          <w:tcPr>
            <w:tcW w:w="40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145.5</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r>
              <w:rPr>
                <w:rFonts w:ascii="Arial" w:cs="Arial" w:eastAsia="Arial" w:hAnsi="Arial"/>
                <w:sz w:val="11"/>
                <w:szCs w:val="11"/>
                <w:color w:val="auto"/>
              </w:rPr>
              <w:t>(2)</w:t>
            </w:r>
          </w:p>
        </w:tc>
        <w:tc>
          <w:tcPr>
            <w:tcW w:w="4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Total contractual obligations</w:t>
            </w:r>
          </w:p>
        </w:tc>
        <w:tc>
          <w:tcPr>
            <w:tcW w:w="46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0" w:type="dxa"/>
            <w:vAlign w:val="bottom"/>
            <w:vMerge w:val="continue"/>
          </w:tcPr>
          <w:p>
            <w:pPr>
              <w:spacing w:after="0"/>
              <w:rPr>
                <w:sz w:val="19"/>
                <w:szCs w:val="19"/>
                <w:color w:val="auto"/>
              </w:rPr>
            </w:pPr>
          </w:p>
        </w:tc>
        <w:tc>
          <w:tcPr>
            <w:tcW w:w="460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374.0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147.4</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40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ectPr>
          <w:pgSz w:w="11900" w:h="16838" w:orient="portrait"/>
          <w:cols w:equalWidth="0" w:num="1">
            <w:col w:w="11420"/>
          </w:cols>
          <w:pgMar w:left="240" w:top="459" w:right="239" w:bottom="0" w:gutter="0" w:footer="0" w:header="0"/>
        </w:sectPr>
      </w:pPr>
    </w:p>
    <w:p>
      <w:pPr>
        <w:ind w:left="220" w:right="120" w:hanging="212"/>
        <w:spacing w:after="0" w:line="230"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weighted average interest rate on the total debt outstanding as of September 30, 2013 was 4.05%, exclusive of the fee on the undrawn commitment of 0.50% on the Credit Facility and 3.43% of upfront fees on SBIC LP’s SBA debentures.</w:t>
      </w:r>
    </w:p>
    <w:p>
      <w:pPr>
        <w:ind w:left="220" w:hanging="212"/>
        <w:spacing w:after="0"/>
        <w:tabs>
          <w:tab w:leader="none" w:pos="2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Unfunded investments described in the Consolidated Statement of Assets and Liabilities represent unfunded delayed draws on investments.</w:t>
      </w:r>
    </w:p>
    <w:p>
      <w:pPr>
        <w:sectPr>
          <w:pgSz w:w="11900" w:h="16838" w:orient="portrait"/>
          <w:cols w:equalWidth="0" w:num="1">
            <w:col w:w="11420"/>
          </w:cols>
          <w:pgMar w:left="240" w:top="459" w:right="239" w:bottom="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9019"/>
          </w:cols>
          <w:pgMar w:left="1440" w:top="280"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2013, PennantPark Investment Advisers serves as our Investment Adviser in accordance with the terms of that Investment Management Agreement.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Under our Administration Agreement, which was most recently re-approved by our board of directors, including a majority of our directors who are not interested persons of us, in February 2013.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PennantPark Investment Advisers or PennantPark Investment Administration will be paid an additional amount based on the services provided, which amount will not in any case exceed the amount we receive from the portfolio companies for such services.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18"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in the ordinary course of business, have guaranteed certain obligations of our controlled affiliate, SuttonPark Holdings, Inc. and its subsidiaries, or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realized net capital gains for the one-year period ending on October 31 of the calendar year and (3) any net ordinary income and net capital gains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 For the fiscal years ended September 30, 2013, 2012 and 2011, we elected to retain a portion of our calendar year income and incurred an excise tax of approximately $(0.1) million, $0.3 million and $0.2 million, respectively.</w:t>
      </w:r>
    </w:p>
    <w:p>
      <w:pPr>
        <w:spacing w:after="0" w:line="123"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During the fiscal years ended September 30, 2013, 2012 and 2011, we declared distributions of $1.12, $1.12 and $1.07 per share, respectively, for total distributions of $74.4 million, $60.1 million and $46.3 million, respectively. We monitor available net investment income to determine if a return of capital for taxation purposes may occur for the fiscal year. To the extent our taxable earnings fall below the total amount of our distributions for any given fiscal year, a portion of those distributions may be deemed to be a return of capital to our common stockholders. Tax characteristics of all distributions will be reported to stockholders on Form 1099-DIV after the end of the calendar year and in our periodic reports filed with the SEC.</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intend to continue to make quarterly distributions to our stockholders. Our quarterly distributions, if any, are determined by our board of directors.</w:t>
      </w:r>
    </w:p>
    <w:p>
      <w:pPr>
        <w:spacing w:after="0" w:line="194"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4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7" w:lineRule="exact"/>
        <w:rPr>
          <w:sz w:val="20"/>
          <w:szCs w:val="20"/>
          <w:color w:val="auto"/>
        </w:rPr>
      </w:pPr>
    </w:p>
    <w:p>
      <w:pPr>
        <w:jc w:val="both"/>
        <w:ind w:right="520" w:firstLine="548"/>
        <w:spacing w:after="0" w:line="259" w:lineRule="auto"/>
        <w:rPr>
          <w:sz w:val="20"/>
          <w:szCs w:val="20"/>
          <w:color w:val="auto"/>
        </w:rPr>
      </w:pPr>
      <w:r>
        <w:rPr>
          <w:rFonts w:ascii="Arial" w:cs="Arial" w:eastAsia="Arial" w:hAnsi="Arial"/>
          <w:sz w:val="18"/>
          <w:szCs w:val="18"/>
          <w:color w:val="auto"/>
        </w:rPr>
        <w:t>On November 21, 2013, upon the recommendations of the audit committee, the board of directors dismissed KPMG LLP, and engaged McGladrey LLP, as the Company’s independent registered public accounting firm for the year ending September 30, 2014. For further information, see our Form 8-K filed on November 25, 2013.</w:t>
      </w:r>
    </w:p>
    <w:p>
      <w:pPr>
        <w:sectPr>
          <w:pgSz w:w="11900" w:h="16838" w:orient="portrait"/>
          <w:cols w:equalWidth="0" w:num="1">
            <w:col w:w="11380"/>
          </w:cols>
          <w:pgMar w:left="240" w:top="459" w:right="279" w:bottom="1440" w:gutter="0" w:footer="0" w:header="0"/>
        </w:sectPr>
      </w:pP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380"/>
          </w:cols>
          <w:pgMar w:left="240" w:top="459" w:right="27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7"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September 30, 2013, our debt portfolio consisted of 52% fixed-rate investments and 48% variable-rate investments (including 44% with a LIBOR or prime floor).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56"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Change In Interest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200" w:type="dxa"/>
            <w:vAlign w:val="bottom"/>
            <w:gridSpan w:val="3"/>
          </w:tcPr>
          <w:p>
            <w:pPr>
              <w:jc w:val="center"/>
              <w:ind w:left="77"/>
              <w:spacing w:after="0" w:line="149" w:lineRule="exact"/>
              <w:rPr>
                <w:sz w:val="20"/>
                <w:szCs w:val="20"/>
                <w:color w:val="auto"/>
              </w:rPr>
            </w:pPr>
            <w:r>
              <w:rPr>
                <w:rFonts w:ascii="Arial" w:cs="Arial" w:eastAsia="Arial" w:hAnsi="Arial"/>
                <w:sz w:val="14"/>
                <w:szCs w:val="14"/>
                <w:b w:val="1"/>
                <w:bCs w:val="1"/>
                <w:color w:val="auto"/>
                <w:w w:val="88"/>
              </w:rPr>
              <w:t>Income, Net Of Interest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Change In Interest Rates</w:t>
            </w:r>
          </w:p>
        </w:tc>
        <w:tc>
          <w:tcPr>
            <w:tcW w:w="520" w:type="dxa"/>
            <w:vAlign w:val="bottom"/>
          </w:tcPr>
          <w:p>
            <w:pPr>
              <w:spacing w:after="0"/>
              <w:rPr>
                <w:sz w:val="12"/>
                <w:szCs w:val="12"/>
                <w:color w:val="auto"/>
              </w:rPr>
            </w:pPr>
          </w:p>
        </w:tc>
        <w:tc>
          <w:tcPr>
            <w:tcW w:w="16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Expense (in</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6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thousands)</w:t>
            </w:r>
          </w:p>
        </w:tc>
        <w:tc>
          <w:tcPr>
            <w:tcW w:w="980" w:type="dxa"/>
            <w:vAlign w:val="bottom"/>
            <w:gridSpan w:val="4"/>
          </w:tcPr>
          <w:p>
            <w:pPr>
              <w:ind w:left="28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0"/>
        </w:trPr>
        <w:tc>
          <w:tcPr>
            <w:tcW w:w="1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Up 1%</w:t>
            </w:r>
          </w:p>
        </w:tc>
        <w:tc>
          <w:tcPr>
            <w:tcW w:w="5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(0.02)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spacing w:after="0"/>
              <w:rPr>
                <w:sz w:val="20"/>
                <w:szCs w:val="20"/>
                <w:color w:val="auto"/>
              </w:rPr>
            </w:pPr>
            <w:r>
              <w:rPr>
                <w:rFonts w:ascii="Arial" w:cs="Arial" w:eastAsia="Arial" w:hAnsi="Arial"/>
                <w:sz w:val="18"/>
                <w:szCs w:val="18"/>
                <w:color w:val="auto"/>
                <w:w w:val="92"/>
              </w:rPr>
              <w:t>Up 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Up 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00" w:type="dxa"/>
            <w:vAlign w:val="bottom"/>
          </w:tcPr>
          <w:p>
            <w:pPr>
              <w:jc w:val="center"/>
              <w:spacing w:after="0"/>
              <w:rPr>
                <w:sz w:val="20"/>
                <w:szCs w:val="20"/>
                <w:color w:val="auto"/>
              </w:rPr>
            </w:pPr>
            <w:r>
              <w:rPr>
                <w:rFonts w:ascii="Arial" w:cs="Arial" w:eastAsia="Arial" w:hAnsi="Arial"/>
                <w:sz w:val="18"/>
                <w:szCs w:val="18"/>
                <w:color w:val="auto"/>
                <w:w w:val="92"/>
              </w:rPr>
              <w:t>Up 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6,378</w:t>
            </w:r>
          </w:p>
        </w:tc>
        <w:tc>
          <w:tcPr>
            <w:tcW w:w="32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4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Information about our senior securities is shown in the following table as of September 30, 2013, 2012, 2011, 2010, 2009 and 2008 is from our Consolidated Financial Statements, which has been audited by KPMG LLP,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3"/>
              </w:rPr>
              <w:t>Asset</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r>
      <w:tr>
        <w:trPr>
          <w:trHeight w:val="134"/>
        </w:trPr>
        <w:tc>
          <w:tcPr>
            <w:tcW w:w="94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820"/>
              <w:spacing w:after="0" w:line="135" w:lineRule="exact"/>
              <w:rPr>
                <w:sz w:val="20"/>
                <w:szCs w:val="20"/>
                <w:color w:val="auto"/>
              </w:rPr>
            </w:pPr>
            <w:r>
              <w:rPr>
                <w:rFonts w:ascii="Arial" w:cs="Arial" w:eastAsia="Arial" w:hAnsi="Arial"/>
                <w:sz w:val="14"/>
                <w:szCs w:val="14"/>
                <w:b w:val="1"/>
                <w:bCs w:val="1"/>
                <w:color w:val="auto"/>
                <w:w w:val="87"/>
              </w:rPr>
              <w:t>Coverage</w:t>
            </w: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Market</w:t>
            </w:r>
          </w:p>
        </w:tc>
      </w:tr>
      <w:tr>
        <w:trPr>
          <w:trHeight w:val="149"/>
        </w:trPr>
        <w:tc>
          <w:tcPr>
            <w:tcW w:w="94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6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Total Amount</w:t>
            </w:r>
          </w:p>
        </w:tc>
        <w:tc>
          <w:tcPr>
            <w:tcW w:w="100" w:type="dxa"/>
            <w:vAlign w:val="bottom"/>
          </w:tcPr>
          <w:p>
            <w:pPr>
              <w:spacing w:after="0"/>
              <w:rPr>
                <w:sz w:val="12"/>
                <w:szCs w:val="12"/>
                <w:color w:val="auto"/>
              </w:rPr>
            </w:pPr>
          </w:p>
        </w:tc>
        <w:tc>
          <w:tcPr>
            <w:tcW w:w="1460" w:type="dxa"/>
            <w:vAlign w:val="bottom"/>
            <w:gridSpan w:val="2"/>
          </w:tcPr>
          <w:p>
            <w:pPr>
              <w:jc w:val="center"/>
              <w:ind w:right="82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4"/>
              </w:rPr>
              <w:t>Value Per</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5680" w:type="dxa"/>
            <w:vAlign w:val="bottom"/>
          </w:tcPr>
          <w:p>
            <w:pPr>
              <w:spacing w:after="0"/>
              <w:rPr>
                <w:sz w:val="15"/>
                <w:szCs w:val="15"/>
                <w:color w:val="auto"/>
              </w:rPr>
            </w:pPr>
          </w:p>
        </w:tc>
        <w:tc>
          <w:tcPr>
            <w:tcW w:w="1660" w:type="dxa"/>
            <w:vAlign w:val="bottom"/>
            <w:gridSpan w:val="3"/>
          </w:tcPr>
          <w:p>
            <w:pPr>
              <w:jc w:val="center"/>
              <w:ind w:right="72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56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9"/>
              </w:rPr>
              <w:t>(unaudited)</w:t>
            </w:r>
          </w:p>
        </w:tc>
        <w:tc>
          <w:tcPr>
            <w:tcW w:w="660" w:type="dxa"/>
            <w:vAlign w:val="bottom"/>
            <w:gridSpan w:val="2"/>
          </w:tcPr>
          <w:p>
            <w:pPr>
              <w:jc w:val="center"/>
              <w:ind w:right="100"/>
              <w:spacing w:after="0" w:line="162" w:lineRule="exact"/>
              <w:rPr>
                <w:sz w:val="20"/>
                <w:szCs w:val="20"/>
                <w:color w:val="auto"/>
              </w:rPr>
            </w:pPr>
            <w:r>
              <w:rPr>
                <w:rFonts w:ascii="Arial" w:cs="Arial" w:eastAsia="Arial" w:hAnsi="Arial"/>
                <w:sz w:val="12"/>
                <w:szCs w:val="12"/>
                <w:b w:val="1"/>
                <w:bCs w:val="1"/>
                <w:color w:val="auto"/>
              </w:rPr>
              <w:t>Unit</w:t>
            </w:r>
            <w:r>
              <w:rPr>
                <w:rFonts w:ascii="Arial" w:cs="Arial" w:eastAsia="Arial" w:hAnsi="Arial"/>
                <w:sz w:val="18"/>
                <w:szCs w:val="18"/>
                <w:b w:val="1"/>
                <w:bCs w:val="1"/>
                <w:color w:val="auto"/>
                <w:vertAlign w:val="superscript"/>
              </w:rPr>
              <w:t>(3)</w:t>
            </w:r>
          </w:p>
        </w:tc>
      </w:tr>
      <w:tr>
        <w:trPr>
          <w:trHeight w:val="190"/>
        </w:trPr>
        <w:tc>
          <w:tcPr>
            <w:tcW w:w="6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 SBA debentures and 2025 Notes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Fiscal 2013</w:t>
            </w:r>
            <w:r>
              <w:rPr>
                <w:rFonts w:ascii="Arial" w:cs="Arial" w:eastAsia="Arial" w:hAnsi="Arial"/>
                <w:sz w:val="11"/>
                <w:szCs w:val="11"/>
                <w:color w:val="auto"/>
              </w:rPr>
              <w:t>(4)</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216,750</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4,261</w:t>
            </w:r>
          </w:p>
        </w:tc>
        <w:tc>
          <w:tcPr>
            <w:tcW w:w="560" w:type="dxa"/>
            <w:vAlign w:val="bottom"/>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18"/>
                <w:szCs w:val="18"/>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r>
              <w:rPr>
                <w:rFonts w:ascii="Arial" w:cs="Arial" w:eastAsia="Arial" w:hAnsi="Arial"/>
                <w:sz w:val="11"/>
                <w:szCs w:val="11"/>
                <w:color w:val="auto"/>
              </w:rPr>
              <w:t>(4)</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5,636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Fiscal 2011</w:t>
            </w:r>
            <w:r>
              <w:rPr>
                <w:rFonts w:ascii="Arial" w:cs="Arial" w:eastAsia="Arial" w:hAnsi="Arial"/>
                <w:sz w:val="11"/>
                <w:szCs w:val="11"/>
                <w:color w:val="auto"/>
              </w:rPr>
              <w:t>(4)</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240,900</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2,937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2010</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rPr>
              <w:t>Fiscal 2009</w:t>
            </w:r>
          </w:p>
        </w:tc>
        <w:tc>
          <w:tcPr>
            <w:tcW w:w="220" w:type="dxa"/>
            <w:vAlign w:val="bottom"/>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225,100</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2,713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2008</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202,000</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Total cost of each class of senior securities outstanding at the end of the period presented in thousands (000s).</w:t>
      </w:r>
    </w:p>
    <w:p>
      <w:pPr>
        <w:ind w:left="220" w:hanging="212"/>
        <w:spacing w:after="0" w:line="258" w:lineRule="auto"/>
        <w:tabs>
          <w:tab w:leader="none" w:pos="2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This asset coverage ratio is multiplied by $1,000 to determine the Asset Coverage Per Unit.</w:t>
      </w:r>
    </w:p>
    <w:p>
      <w:pPr>
        <w:ind w:left="220" w:right="140" w:hanging="212"/>
        <w:spacing w:after="0" w:line="221" w:lineRule="auto"/>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ind w:left="220" w:hanging="212"/>
        <w:spacing w:after="0"/>
        <w:tabs>
          <w:tab w:leader="none" w:pos="2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These amounts exclude SBIC LP’s SBA debentures from our asset coverage per unit computation pursuant to an exemptive relief letter provided by the SEC in June 2011.</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RATIO OF EARNINGS TO FIXED CHARGES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years ended September 30, 2013, 2012, 2011, 2010, 2009 and 2008, the ratios of earnings to fixed charges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w w:val="85"/>
              </w:rPr>
              <w:t>For the Fiscal Years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Earnings</w:t>
            </w:r>
            <w:r>
              <w:rPr>
                <w:rFonts w:ascii="Arial" w:cs="Arial" w:eastAsia="Arial" w:hAnsi="Arial"/>
                <w:sz w:val="11"/>
                <w:szCs w:val="11"/>
                <w:b w:val="1"/>
                <w:bCs w:val="1"/>
                <w:color w:val="auto"/>
              </w:rPr>
              <w:t>(1)</w:t>
            </w:r>
          </w:p>
        </w:tc>
        <w:tc>
          <w:tcPr>
            <w:tcW w:w="1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Net investment income (after taxes)</w:t>
            </w:r>
          </w:p>
        </w:tc>
        <w:tc>
          <w:tcPr>
            <w:tcW w:w="1940" w:type="dxa"/>
            <w:vAlign w:val="bottom"/>
            <w:gridSpan w:val="3"/>
          </w:tcPr>
          <w:p>
            <w:pPr>
              <w:jc w:val="right"/>
              <w:ind w:right="140"/>
              <w:spacing w:after="0"/>
              <w:rPr>
                <w:sz w:val="20"/>
                <w:szCs w:val="20"/>
                <w:color w:val="auto"/>
              </w:rPr>
            </w:pPr>
            <w:r>
              <w:rPr>
                <w:rFonts w:ascii="Arial" w:cs="Arial" w:eastAsia="Arial" w:hAnsi="Arial"/>
                <w:sz w:val="18"/>
                <w:szCs w:val="18"/>
                <w:color w:val="auto"/>
              </w:rPr>
              <w:t>$ 66,998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57,069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52,645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32,075</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 Net realized gain (losses) gains on investments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(12,798)</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16,260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(15,417)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Add: Net change in unrealized appreciation (depreciation)</w:t>
            </w:r>
          </w:p>
        </w:tc>
        <w:tc>
          <w:tcPr>
            <w:tcW w:w="1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19,082</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(58,641)</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52,327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$ 91,777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63,353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10,263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16,535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35,802</w:t>
            </w: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Fixed Charges</w:t>
            </w:r>
            <w:r>
              <w:rPr>
                <w:rFonts w:ascii="Arial" w:cs="Arial" w:eastAsia="Arial" w:hAnsi="Arial"/>
                <w:sz w:val="11"/>
                <w:szCs w:val="11"/>
                <w:b w:val="1"/>
                <w:bCs w:val="1"/>
                <w:color w:val="auto"/>
              </w:rPr>
              <w:t>(2)</w:t>
            </w:r>
          </w:p>
        </w:tc>
        <w:tc>
          <w:tcPr>
            <w:tcW w:w="1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debt</w:t>
            </w:r>
          </w:p>
        </w:tc>
        <w:tc>
          <w:tcPr>
            <w:tcW w:w="1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$ 15,384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11,681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Ratio of Total Earnings to Fixed Charges</w:t>
            </w:r>
          </w:p>
        </w:tc>
        <w:tc>
          <w:tcPr>
            <w:tcW w:w="1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00" w:type="dxa"/>
            <w:vAlign w:val="bottom"/>
            <w:gridSpan w:val="2"/>
            <w:vMerge w:val="continue"/>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of Net Investment Income to Fixed Charges</w:t>
            </w:r>
          </w:p>
        </w:tc>
        <w:tc>
          <w:tcPr>
            <w:tcW w:w="1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5176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7" w:lineRule="exact"/>
        <w:rPr>
          <w:sz w:val="20"/>
          <w:szCs w:val="20"/>
          <w:color w:val="auto"/>
        </w:rPr>
      </w:pPr>
    </w:p>
    <w:p>
      <w:pPr>
        <w:ind w:left="220" w:hanging="212"/>
        <w:spacing w:after="0"/>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Earnings include net realized and unrealized gains or losses. Net realized and unrealized gains or losses can vary substantially from period to period.</w:t>
      </w:r>
    </w:p>
    <w:p>
      <w:pPr>
        <w:ind w:left="220" w:right="220" w:hanging="212"/>
        <w:spacing w:after="0" w:line="230" w:lineRule="auto"/>
        <w:tabs>
          <w:tab w:leader="none" w:pos="2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Fixed charges include interest and related expenses on our Credit Facility, which is indexed to LIBOR and fluctuate with changes in interest rates, the 2025 Notes and SBA debentures and amortization of debt issuance costs on our SBA debentures.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5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“PNNT.” The following table lists the high and low closing sale price for our common stock, the closing sale price as a premium or (discount) to our NAV and quarterly distributions per share since October 1, 2008. On December 6, 2013, the last reported closing price of our common stock was $11.93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Premium</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(Discount)</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(Discount)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3"/>
            <w:vMerge w:val="restart"/>
          </w:tcPr>
          <w:p>
            <w:pPr>
              <w:jc w:val="right"/>
              <w:ind w:right="213"/>
              <w:spacing w:after="0"/>
              <w:rPr>
                <w:sz w:val="20"/>
                <w:szCs w:val="20"/>
                <w:color w:val="auto"/>
              </w:rPr>
            </w:pPr>
            <w:r>
              <w:rPr>
                <w:rFonts w:ascii="Arial" w:cs="Arial" w:eastAsia="Arial" w:hAnsi="Arial"/>
                <w:sz w:val="14"/>
                <w:szCs w:val="14"/>
                <w:b w:val="1"/>
                <w:bCs w:val="1"/>
                <w:color w:val="auto"/>
              </w:rPr>
              <w:t>Closing Sales Price</w:t>
            </w: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of High Sales</w:t>
            </w: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of Low Sales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00" w:type="dxa"/>
            <w:vAlign w:val="bottom"/>
            <w:tcBorders>
              <w:bottom w:val="single" w:sz="8" w:color="auto"/>
            </w:tcBorders>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220" w:type="dxa"/>
            <w:vAlign w:val="bottom"/>
            <w:gridSpan w:val="2"/>
          </w:tcPr>
          <w:p>
            <w:pPr>
              <w:jc w:val="center"/>
              <w:ind w:right="440"/>
              <w:spacing w:after="0" w:line="114" w:lineRule="exact"/>
              <w:rPr>
                <w:sz w:val="20"/>
                <w:szCs w:val="20"/>
                <w:color w:val="auto"/>
              </w:rPr>
            </w:pPr>
            <w:r>
              <w:rPr>
                <w:rFonts w:ascii="Arial" w:cs="Arial" w:eastAsia="Arial" w:hAnsi="Arial"/>
                <w:sz w:val="12"/>
                <w:szCs w:val="12"/>
                <w:b w:val="1"/>
                <w:bCs w:val="1"/>
                <w:color w:val="auto"/>
              </w:rPr>
              <w:t>Price to</w:t>
            </w:r>
          </w:p>
        </w:tc>
        <w:tc>
          <w:tcPr>
            <w:tcW w:w="1180" w:type="dxa"/>
            <w:vAlign w:val="bottom"/>
            <w:gridSpan w:val="2"/>
          </w:tcPr>
          <w:p>
            <w:pPr>
              <w:jc w:val="center"/>
              <w:ind w:right="460"/>
              <w:spacing w:after="0" w:line="114" w:lineRule="exact"/>
              <w:rPr>
                <w:sz w:val="20"/>
                <w:szCs w:val="20"/>
                <w:color w:val="auto"/>
              </w:rPr>
            </w:pPr>
            <w:r>
              <w:rPr>
                <w:rFonts w:ascii="Arial" w:cs="Arial" w:eastAsia="Arial" w:hAnsi="Arial"/>
                <w:sz w:val="12"/>
                <w:szCs w:val="12"/>
                <w:b w:val="1"/>
                <w:bCs w:val="1"/>
                <w:color w:val="auto"/>
                <w:w w:val="99"/>
              </w:rPr>
              <w:t>Price to</w:t>
            </w:r>
          </w:p>
        </w:tc>
        <w:tc>
          <w:tcPr>
            <w:tcW w:w="940" w:type="dxa"/>
            <w:vAlign w:val="bottom"/>
            <w:gridSpan w:val="3"/>
          </w:tcPr>
          <w:p>
            <w:pPr>
              <w:spacing w:after="0" w:line="114" w:lineRule="exact"/>
              <w:rPr>
                <w:sz w:val="20"/>
                <w:szCs w:val="20"/>
                <w:color w:val="auto"/>
              </w:rPr>
            </w:pPr>
            <w:r>
              <w:rPr>
                <w:rFonts w:ascii="Arial" w:cs="Arial" w:eastAsia="Arial" w:hAnsi="Arial"/>
                <w:sz w:val="12"/>
                <w:szCs w:val="12"/>
                <w:b w:val="1"/>
                <w:bCs w:val="1"/>
                <w:color w:val="auto"/>
              </w:rPr>
              <w:t>Distributions</w:t>
            </w:r>
          </w:p>
        </w:tc>
        <w:tc>
          <w:tcPr>
            <w:tcW w:w="0" w:type="dxa"/>
            <w:vAlign w:val="bottom"/>
          </w:tcPr>
          <w:p>
            <w:pPr>
              <w:spacing w:after="0"/>
              <w:rPr>
                <w:sz w:val="1"/>
                <w:szCs w:val="1"/>
                <w:color w:val="auto"/>
              </w:rPr>
            </w:pPr>
          </w:p>
        </w:tc>
      </w:tr>
      <w:tr>
        <w:trPr>
          <w:trHeight w:val="156"/>
        </w:trPr>
        <w:tc>
          <w:tcPr>
            <w:tcW w:w="4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Period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(1)</w:t>
            </w:r>
          </w:p>
        </w:tc>
        <w:tc>
          <w:tcPr>
            <w:tcW w:w="180" w:type="dxa"/>
            <w:vAlign w:val="bottom"/>
          </w:tcPr>
          <w:p>
            <w:pPr>
              <w:spacing w:after="0"/>
              <w:rPr>
                <w:sz w:val="13"/>
                <w:szCs w:val="13"/>
                <w:color w:val="auto"/>
              </w:rPr>
            </w:pPr>
          </w:p>
        </w:tc>
        <w:tc>
          <w:tcPr>
            <w:tcW w:w="10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High</w:t>
            </w:r>
          </w:p>
        </w:tc>
        <w:tc>
          <w:tcPr>
            <w:tcW w:w="680" w:type="dxa"/>
            <w:vAlign w:val="bottom"/>
          </w:tcPr>
          <w:p>
            <w:pPr>
              <w:jc w:val="right"/>
              <w:ind w:right="133"/>
              <w:spacing w:after="0" w:line="155" w:lineRule="exact"/>
              <w:rPr>
                <w:sz w:val="20"/>
                <w:szCs w:val="20"/>
                <w:color w:val="auto"/>
              </w:rPr>
            </w:pPr>
            <w:r>
              <w:rPr>
                <w:rFonts w:ascii="Arial" w:cs="Arial" w:eastAsia="Arial" w:hAnsi="Arial"/>
                <w:sz w:val="14"/>
                <w:szCs w:val="14"/>
                <w:b w:val="1"/>
                <w:bCs w:val="1"/>
                <w:color w:val="auto"/>
              </w:rPr>
              <w:t>Low</w:t>
            </w:r>
          </w:p>
        </w:tc>
        <w:tc>
          <w:tcPr>
            <w:tcW w:w="340" w:type="dxa"/>
            <w:vAlign w:val="bottom"/>
          </w:tcPr>
          <w:p>
            <w:pPr>
              <w:spacing w:after="0"/>
              <w:rPr>
                <w:sz w:val="13"/>
                <w:szCs w:val="13"/>
                <w:color w:val="auto"/>
              </w:rPr>
            </w:pPr>
          </w:p>
        </w:tc>
        <w:tc>
          <w:tcPr>
            <w:tcW w:w="1220" w:type="dxa"/>
            <w:vAlign w:val="bottom"/>
            <w:gridSpan w:val="2"/>
          </w:tcPr>
          <w:p>
            <w:pPr>
              <w:jc w:val="center"/>
              <w:ind w:right="440"/>
              <w:spacing w:after="0" w:line="156" w:lineRule="exact"/>
              <w:rPr>
                <w:sz w:val="20"/>
                <w:szCs w:val="20"/>
                <w:color w:val="auto"/>
              </w:rPr>
            </w:pPr>
            <w:r>
              <w:rPr>
                <w:rFonts w:ascii="Arial" w:cs="Arial" w:eastAsia="Arial" w:hAnsi="Arial"/>
                <w:sz w:val="12"/>
                <w:szCs w:val="12"/>
                <w:b w:val="1"/>
                <w:bCs w:val="1"/>
                <w:color w:val="auto"/>
              </w:rPr>
              <w:t>NAV</w:t>
            </w:r>
            <w:r>
              <w:rPr>
                <w:rFonts w:ascii="Arial" w:cs="Arial" w:eastAsia="Arial" w:hAnsi="Arial"/>
                <w:sz w:val="18"/>
                <w:szCs w:val="18"/>
                <w:b w:val="1"/>
                <w:bCs w:val="1"/>
                <w:color w:val="auto"/>
                <w:vertAlign w:val="superscript"/>
              </w:rPr>
              <w:t>(2)</w:t>
            </w:r>
          </w:p>
        </w:tc>
        <w:tc>
          <w:tcPr>
            <w:tcW w:w="1180" w:type="dxa"/>
            <w:vAlign w:val="bottom"/>
            <w:gridSpan w:val="2"/>
          </w:tcPr>
          <w:p>
            <w:pPr>
              <w:jc w:val="center"/>
              <w:ind w:right="460"/>
              <w:spacing w:after="0" w:line="156" w:lineRule="exact"/>
              <w:rPr>
                <w:sz w:val="20"/>
                <w:szCs w:val="20"/>
                <w:color w:val="auto"/>
              </w:rPr>
            </w:pPr>
            <w:r>
              <w:rPr>
                <w:rFonts w:ascii="Arial" w:cs="Arial" w:eastAsia="Arial" w:hAnsi="Arial"/>
                <w:sz w:val="12"/>
                <w:szCs w:val="12"/>
                <w:b w:val="1"/>
                <w:bCs w:val="1"/>
                <w:color w:val="auto"/>
                <w:w w:val="99"/>
              </w:rPr>
              <w:t>NAV</w:t>
            </w:r>
            <w:r>
              <w:rPr>
                <w:rFonts w:ascii="Arial" w:cs="Arial" w:eastAsia="Arial" w:hAnsi="Arial"/>
                <w:sz w:val="18"/>
                <w:szCs w:val="18"/>
                <w:b w:val="1"/>
                <w:bCs w:val="1"/>
                <w:color w:val="auto"/>
                <w:w w:val="99"/>
                <w:vertAlign w:val="superscript"/>
              </w:rPr>
              <w:t>(2)</w:t>
            </w:r>
          </w:p>
        </w:tc>
        <w:tc>
          <w:tcPr>
            <w:tcW w:w="100" w:type="dxa"/>
            <w:vAlign w:val="bottom"/>
          </w:tcPr>
          <w:p>
            <w:pPr>
              <w:spacing w:after="0"/>
              <w:rPr>
                <w:sz w:val="13"/>
                <w:szCs w:val="13"/>
                <w:color w:val="auto"/>
              </w:rPr>
            </w:pPr>
          </w:p>
        </w:tc>
        <w:tc>
          <w:tcPr>
            <w:tcW w:w="8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Year Ending September 30, 2014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First quarter (through December 6, 2013)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12.17</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10.83</w:t>
            </w:r>
          </w:p>
        </w:tc>
        <w:tc>
          <w:tcPr>
            <w:tcW w:w="340" w:type="dxa"/>
            <w:vAlign w:val="bottom"/>
          </w:tcPr>
          <w:p>
            <w:pPr>
              <w:spacing w:after="0"/>
              <w:rPr>
                <w:sz w:val="24"/>
                <w:szCs w:val="2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w w:val="94"/>
              </w:rPr>
              <w:t>0.28</w:t>
            </w:r>
            <w:r>
              <w:rPr>
                <w:rFonts w:ascii="Arial" w:cs="Arial" w:eastAsia="Arial" w:hAnsi="Arial"/>
                <w:sz w:val="11"/>
                <w:szCs w:val="11"/>
                <w:color w:val="auto"/>
                <w:w w:val="94"/>
              </w:rPr>
              <w:t>(3)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10.97</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10.50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12.18</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11.01</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16</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22"/>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10.16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10.70</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11.02</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8.57</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8.89</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11.30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13.05</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11.21</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10.94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11.84</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11.86</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7.63</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11.85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9.06</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(35)</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82"/>
        </w:trPr>
        <w:tc>
          <w:tcPr>
            <w:tcW w:w="47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12.00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1560" w:type="dxa"/>
            <w:vAlign w:val="bottom"/>
            <w:gridSpan w:val="3"/>
          </w:tcPr>
          <w:p>
            <w:pPr>
              <w:jc w:val="right"/>
              <w:ind w:right="380"/>
              <w:spacing w:after="0"/>
              <w:rPr>
                <w:sz w:val="20"/>
                <w:szCs w:val="20"/>
                <w:color w:val="auto"/>
              </w:rPr>
            </w:pPr>
            <w:r>
              <w:rPr>
                <w:rFonts w:ascii="Arial" w:cs="Arial" w:eastAsia="Arial" w:hAnsi="Arial"/>
                <w:sz w:val="18"/>
                <w:szCs w:val="18"/>
                <w:color w:val="auto"/>
              </w:rPr>
              <w:t>(66)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7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(24)</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3" w:lineRule="exact"/>
        <w:rPr>
          <w:sz w:val="20"/>
          <w:szCs w:val="20"/>
          <w:color w:val="auto"/>
        </w:rPr>
      </w:pPr>
    </w:p>
    <w:p>
      <w:pPr>
        <w:ind w:left="220" w:right="80" w:hanging="212"/>
        <w:spacing w:after="0" w:line="230"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NAV per share is determined as of the last day in the relevant quarter and therefore may not reflect the NAV per share on the date of the high and low sales prices. The NAVs shown are based on outstanding shares at the end of each period.</w:t>
      </w:r>
    </w:p>
    <w:p>
      <w:pPr>
        <w:ind w:left="220" w:hanging="212"/>
        <w:spacing w:after="0" w:line="221" w:lineRule="auto"/>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Calculated as of the respective high or low closing sales price divided by the quarter end NAV.</w:t>
      </w:r>
    </w:p>
    <w:p>
      <w:pPr>
        <w:ind w:left="220" w:hanging="212"/>
        <w:spacing w:after="0"/>
        <w:tabs>
          <w:tab w:leader="none" w:pos="2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Includes distribution of $0.28 per share payable January 2, 2014 to stockholders of record as of December 20, 2013.</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$11.28 and $10.61 as of September 30, 2013 and 2012, respectively. Our NAV per share was $10.49 and $10.22 as of September 30, 2013 and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September 30, 2013, we had 11 stockholders of record.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Our stockholders have in the past and may again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62" w:lineRule="exact"/>
        <w:rPr>
          <w:sz w:val="20"/>
          <w:szCs w:val="20"/>
          <w:color w:val="auto"/>
        </w:rPr>
      </w:pPr>
    </w:p>
    <w:p>
      <w:pPr>
        <w:ind w:left="660" w:right="220" w:hanging="314"/>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amount per share by which the offering price per share and the net proceeds per share are less than the most recently determined NAV per share;</w:t>
      </w:r>
    </w:p>
    <w:p>
      <w:pPr>
        <w:spacing w:after="0" w:line="113" w:lineRule="exact"/>
        <w:rPr>
          <w:rFonts w:ascii="Arial" w:cs="Arial" w:eastAsia="Arial" w:hAnsi="Arial"/>
          <w:sz w:val="16"/>
          <w:szCs w:val="16"/>
          <w:color w:val="auto"/>
        </w:rPr>
      </w:pPr>
    </w:p>
    <w:p>
      <w:pPr>
        <w:ind w:left="660" w:right="60" w:hanging="314"/>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leverage available to us and our SBIC Funds, both before and after the offering and other borrowing terms; and</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Investment or from the offering of common stock at premium to NAV per share.</w:t>
      </w:r>
    </w:p>
    <w:p>
      <w:pPr>
        <w:spacing w:after="0" w:line="140"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will not seek to sell shares under a prospectus supplement to the registration statement, or a post-effective amendment to the registration statement, of</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18"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firstLine="571"/>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offering expenses and commissions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Price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Price per share to public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offering proceeds per share to issuer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Decrease to NAV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Total shares outstanding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NAV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Dilution to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Shares held by stockholder 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Percentage held by stockholder A</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 Values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NAV held by stockholder A</w:t>
      </w:r>
    </w:p>
    <w:p>
      <w:pPr>
        <w:spacing w:after="0" w:line="77" w:lineRule="exact"/>
        <w:rPr>
          <w:sz w:val="20"/>
          <w:szCs w:val="20"/>
          <w:color w:val="auto"/>
        </w:rPr>
      </w:pPr>
    </w:p>
    <w:p>
      <w:pPr>
        <w:ind w:left="440"/>
        <w:spacing w:after="0" w:line="268" w:lineRule="auto"/>
        <w:rPr>
          <w:sz w:val="20"/>
          <w:szCs w:val="20"/>
          <w:color w:val="auto"/>
        </w:rPr>
      </w:pPr>
      <w:r>
        <w:rPr>
          <w:rFonts w:ascii="Arial" w:cs="Arial" w:eastAsia="Arial" w:hAnsi="Arial"/>
          <w:sz w:val="18"/>
          <w:szCs w:val="18"/>
          <w:color w:val="auto"/>
        </w:rPr>
        <w:t>Total investment by stockholder A (assumed to be $10.00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86"/>
              </w:rPr>
              <w:t>Example 1</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Example 2</w:t>
            </w:r>
          </w:p>
        </w:tc>
        <w:tc>
          <w:tcPr>
            <w:tcW w:w="1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5% Offering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00" w:type="dxa"/>
            <w:vAlign w:val="bottom"/>
          </w:tcPr>
          <w:p>
            <w:pPr>
              <w:spacing w:after="0"/>
              <w:rPr>
                <w:sz w:val="12"/>
                <w:szCs w:val="12"/>
                <w:color w:val="auto"/>
              </w:rPr>
            </w:pPr>
          </w:p>
        </w:tc>
        <w:tc>
          <w:tcPr>
            <w:tcW w:w="1740" w:type="dxa"/>
            <w:vAlign w:val="bottom"/>
            <w:gridSpan w:val="3"/>
          </w:tcPr>
          <w:p>
            <w:pPr>
              <w:jc w:val="center"/>
              <w:ind w:right="16"/>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4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87"/>
              </w:rPr>
              <w:t>Prior to Sale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at 5% Discount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at 10% Discount</w:t>
            </w:r>
          </w:p>
        </w:tc>
        <w:tc>
          <w:tcPr>
            <w:tcW w:w="100" w:type="dxa"/>
            <w:vAlign w:val="bottom"/>
          </w:tcPr>
          <w:p>
            <w:pPr>
              <w:spacing w:after="0"/>
              <w:rPr>
                <w:sz w:val="14"/>
                <w:szCs w:val="14"/>
                <w:color w:val="auto"/>
              </w:rPr>
            </w:pPr>
          </w:p>
        </w:tc>
        <w:tc>
          <w:tcPr>
            <w:tcW w:w="1740" w:type="dxa"/>
            <w:vAlign w:val="bottom"/>
            <w:gridSpan w:val="3"/>
          </w:tcPr>
          <w:p>
            <w:pPr>
              <w:jc w:val="center"/>
              <w:ind w:right="16"/>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56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640" w:type="dxa"/>
            <w:vAlign w:val="bottom"/>
            <w:tcBorders>
              <w:top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19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Below NAV</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Sale</w:t>
            </w: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545"/>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9.47</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7.89</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w w:val="84"/>
              </w:rPr>
              <w:t>1,000,000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1,050,000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5.00 %</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w w:val="87"/>
              </w:rPr>
              <w:t>1,100,000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3"/>
              </w:rPr>
              <w:t>10.00 %</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w w:val="84"/>
              </w:rPr>
              <w:t>1,250,000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84"/>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67"/>
        </w:trPr>
        <w:tc>
          <w:tcPr>
            <w:tcW w:w="100" w:type="dxa"/>
            <w:vAlign w:val="bottom"/>
          </w:tcPr>
          <w:p>
            <w:pPr>
              <w:spacing w:after="0"/>
              <w:rPr>
                <w:sz w:val="24"/>
                <w:szCs w:val="24"/>
                <w:color w:val="auto"/>
              </w:rPr>
            </w:pP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0.95%</w:t>
            </w: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(5.00)%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(9.00)%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(20.00)%</w:t>
            </w:r>
          </w:p>
        </w:tc>
        <w:tc>
          <w:tcPr>
            <w:tcW w:w="0" w:type="dxa"/>
            <w:vAlign w:val="bottom"/>
          </w:tcPr>
          <w:p>
            <w:pPr>
              <w:spacing w:after="0"/>
              <w:rPr>
                <w:sz w:val="1"/>
                <w:szCs w:val="1"/>
                <w:color w:val="auto"/>
              </w:rPr>
            </w:pPr>
          </w:p>
        </w:tc>
      </w:tr>
      <w:tr>
        <w:trPr>
          <w:trHeight w:val="567"/>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99,800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(0.20)%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99,100</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(0.90)%</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50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6"/>
              <w:spacing w:after="0"/>
              <w:rPr>
                <w:sz w:val="20"/>
                <w:szCs w:val="20"/>
                <w:color w:val="auto"/>
              </w:rPr>
            </w:pPr>
            <w:r>
              <w:rPr>
                <w:rFonts w:ascii="Arial" w:cs="Arial" w:eastAsia="Arial" w:hAnsi="Arial"/>
                <w:sz w:val="18"/>
                <w:szCs w:val="18"/>
                <w:color w:val="auto"/>
              </w:rPr>
              <w:t>100,000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40"/>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24"/>
                <w:szCs w:val="24"/>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60"/>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24"/>
                <w:szCs w:val="24"/>
                <w:color w:val="auto"/>
              </w:rPr>
            </w:pPr>
          </w:p>
        </w:tc>
        <w:tc>
          <w:tcPr>
            <w:tcW w:w="72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-2296160</wp:posOffset>
            </wp:positionV>
            <wp:extent cx="72466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-1936115</wp:posOffset>
            </wp:positionV>
            <wp:extent cx="7246620" cy="1803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-1576070</wp:posOffset>
            </wp:positionV>
            <wp:extent cx="7246620" cy="1803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-1216025</wp:posOffset>
            </wp:positionV>
            <wp:extent cx="7246620" cy="1803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-855980</wp:posOffset>
            </wp:positionV>
            <wp:extent cx="7246620" cy="1803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-2826385</wp:posOffset>
            </wp:positionH>
            <wp:positionV relativeFrom="paragraph">
              <wp:posOffset>-495300</wp:posOffset>
            </wp:positionV>
            <wp:extent cx="724662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2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38</w:t>
      </w:r>
    </w:p>
    <w:p>
      <w:pPr>
        <w:sectPr>
          <w:pgSz w:w="11900" w:h="16838" w:orient="portrait"/>
          <w:cols w:equalWidth="0" w:num="2">
            <w:col w:w="3960" w:space="500"/>
            <w:col w:w="6920"/>
          </w:cols>
          <w:pgMar w:left="240" w:top="459" w:right="27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0" w:right="60"/>
        <w:spacing w:after="0" w:line="268" w:lineRule="auto"/>
        <w:rPr>
          <w:sz w:val="20"/>
          <w:szCs w:val="20"/>
          <w:color w:val="auto"/>
        </w:rPr>
      </w:pPr>
      <w:r>
        <w:rPr>
          <w:rFonts w:ascii="Arial" w:cs="Arial" w:eastAsia="Arial" w:hAnsi="Arial"/>
          <w:sz w:val="18"/>
          <w:szCs w:val="18"/>
          <w:color w:val="auto"/>
        </w:rPr>
        <w:t>Total dilution to stockholder A (total NAV less total investment)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Amounts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6"/>
              </w:rPr>
              <w:t>Example 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Example 2</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Example 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3"/>
          </w:tcPr>
          <w:p>
            <w:pPr>
              <w:jc w:val="center"/>
              <w:ind w:right="46"/>
              <w:spacing w:after="0" w:line="149" w:lineRule="exact"/>
              <w:rPr>
                <w:sz w:val="20"/>
                <w:szCs w:val="20"/>
                <w:color w:val="auto"/>
              </w:rPr>
            </w:pPr>
            <w:r>
              <w:rPr>
                <w:rFonts w:ascii="Arial" w:cs="Arial" w:eastAsia="Arial" w:hAnsi="Arial"/>
                <w:sz w:val="14"/>
                <w:szCs w:val="14"/>
                <w:b w:val="1"/>
                <w:bCs w:val="1"/>
                <w:color w:val="auto"/>
                <w:w w:val="91"/>
              </w:rPr>
              <w:t>5% Offering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6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560" w:type="dxa"/>
            <w:vAlign w:val="bottom"/>
            <w:gridSpan w:val="3"/>
          </w:tcPr>
          <w:p>
            <w:pPr>
              <w:jc w:val="center"/>
              <w:ind w:right="46"/>
              <w:spacing w:after="0"/>
              <w:rPr>
                <w:sz w:val="20"/>
                <w:szCs w:val="20"/>
                <w:color w:val="auto"/>
              </w:rPr>
            </w:pPr>
            <w:r>
              <w:rPr>
                <w:rFonts w:ascii="Arial" w:cs="Arial" w:eastAsia="Arial" w:hAnsi="Arial"/>
                <w:sz w:val="14"/>
                <w:szCs w:val="14"/>
                <w:b w:val="1"/>
                <w:bCs w:val="1"/>
                <w:color w:val="auto"/>
                <w:w w:val="87"/>
              </w:rPr>
              <w:t>at 5% Discount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at 10% Discount</w:t>
            </w: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106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86"/>
              <w:spacing w:after="0" w:line="129"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8"/>
              </w:rPr>
              <w:t>Following</w:t>
            </w:r>
          </w:p>
        </w:tc>
        <w:tc>
          <w:tcPr>
            <w:tcW w:w="64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Following</w:t>
            </w:r>
          </w:p>
        </w:tc>
        <w:tc>
          <w:tcPr>
            <w:tcW w:w="620" w:type="dxa"/>
            <w:vAlign w:val="bottom"/>
            <w:tcBorders>
              <w:top w:val="single" w:sz="8" w:color="auto"/>
            </w:tcBorders>
          </w:tcPr>
          <w:p>
            <w:pPr>
              <w:jc w:val="right"/>
              <w:ind w:right="166"/>
              <w:spacing w:after="0" w:line="12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1"/>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Below NAV</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9"/>
              <w:spacing w:after="0"/>
              <w:rPr>
                <w:sz w:val="20"/>
                <w:szCs w:val="20"/>
                <w:color w:val="auto"/>
              </w:rPr>
            </w:pPr>
            <w:r>
              <w:rPr>
                <w:rFonts w:ascii="Arial" w:cs="Arial" w:eastAsia="Arial" w:hAnsi="Arial"/>
                <w:sz w:val="14"/>
                <w:szCs w:val="14"/>
                <w:b w:val="1"/>
                <w:bCs w:val="1"/>
                <w:color w:val="auto"/>
                <w:w w:val="83"/>
              </w:rPr>
              <w:t>Sale</w:t>
            </w:r>
          </w:p>
        </w:tc>
        <w:tc>
          <w:tcPr>
            <w:tcW w:w="18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Sale</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478"/>
        </w:trPr>
        <w:tc>
          <w:tcPr>
            <w:tcW w:w="10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29"/>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4"/>
                <w:szCs w:val="24"/>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
              <w:spacing w:after="0"/>
              <w:rPr>
                <w:sz w:val="20"/>
                <w:szCs w:val="20"/>
                <w:color w:val="auto"/>
              </w:rPr>
            </w:pPr>
            <w:r>
              <w:rPr>
                <w:rFonts w:ascii="Arial" w:cs="Arial" w:eastAsia="Arial" w:hAnsi="Arial"/>
                <w:sz w:val="18"/>
                <w:szCs w:val="18"/>
                <w:color w:val="auto"/>
              </w:rPr>
              <w:t>(900)</w:t>
            </w:r>
          </w:p>
        </w:tc>
        <w:tc>
          <w:tcPr>
            <w:tcW w:w="180" w:type="dxa"/>
            <w:vAlign w:val="bottom"/>
          </w:tcPr>
          <w:p>
            <w:pPr>
              <w:spacing w:after="0"/>
              <w:rPr>
                <w:sz w:val="24"/>
                <w:szCs w:val="24"/>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
              <w:spacing w:after="0"/>
              <w:rPr>
                <w:sz w:val="20"/>
                <w:szCs w:val="20"/>
                <w:color w:val="auto"/>
              </w:rPr>
            </w:pPr>
            <w:r>
              <w:rPr>
                <w:rFonts w:ascii="Arial" w:cs="Arial" w:eastAsia="Arial" w:hAnsi="Arial"/>
                <w:sz w:val="18"/>
                <w:szCs w:val="18"/>
                <w:color w:val="auto"/>
                <w:w w:val="95"/>
              </w:rPr>
              <w:t>$  (5,000)</w:t>
            </w:r>
          </w:p>
        </w:tc>
        <w:tc>
          <w:tcPr>
            <w:tcW w:w="200" w:type="dxa"/>
            <w:vAlign w:val="bottom"/>
          </w:tcPr>
          <w:p>
            <w:pPr>
              <w:spacing w:after="0"/>
              <w:rPr>
                <w:sz w:val="24"/>
                <w:szCs w:val="24"/>
                <w:color w:val="auto"/>
              </w:rPr>
            </w:pPr>
          </w:p>
        </w:tc>
        <w:tc>
          <w:tcPr>
            <w:tcW w:w="620" w:type="dxa"/>
            <w:vAlign w:val="bottom"/>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-315595</wp:posOffset>
            </wp:positionV>
            <wp:extent cx="7246620" cy="3175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85" w:lineRule="exact"/>
        <w:rPr>
          <w:sz w:val="20"/>
          <w:szCs w:val="20"/>
          <w:color w:val="auto"/>
        </w:rPr>
      </w:pPr>
    </w:p>
    <w:p>
      <w:pPr>
        <w:sectPr>
          <w:pgSz w:w="11900" w:h="16838" w:orient="portrait"/>
          <w:cols w:equalWidth="0" w:num="2">
            <w:col w:w="4140" w:space="720"/>
            <w:col w:w="65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9.98</w:t>
            </w:r>
          </w:p>
        </w:tc>
        <w:tc>
          <w:tcPr>
            <w:tcW w:w="840" w:type="dxa"/>
            <w:vAlign w:val="bottom"/>
            <w:tcBorders>
              <w:bottom w:val="single" w:sz="8" w:color="CCEEFF"/>
            </w:tcBorders>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9.91</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9.50</w:t>
            </w:r>
          </w:p>
        </w:tc>
        <w:tc>
          <w:tcPr>
            <w:tcW w:w="840" w:type="dxa"/>
            <w:vAlign w:val="bottom"/>
            <w:tcBorders>
              <w:bottom w:val="single" w:sz="8" w:color="CCEEFF"/>
            </w:tcBorders>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1"/>
              </w:rPr>
              <w:t>Investment per share held by stockholder A (assumed to be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$10.00 per share on shares held prior to sale)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   10.00</w:t>
            </w:r>
          </w:p>
        </w:tc>
        <w:tc>
          <w:tcPr>
            <w:tcW w:w="36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w:t>
            </w:r>
          </w:p>
        </w:tc>
        <w:tc>
          <w:tcPr>
            <w:tcW w:w="840" w:type="dxa"/>
            <w:vAlign w:val="bottom"/>
            <w:vMerge w:val="restart"/>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69"/>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0"/>
              </w:rPr>
              <w:t>Dilution per share held by stockholder A (NAV per share less</w:t>
            </w: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 per share)</w:t>
            </w:r>
          </w:p>
        </w:tc>
        <w:tc>
          <w:tcPr>
            <w:tcW w:w="9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92"/>
              <w:spacing w:after="0"/>
              <w:rPr>
                <w:sz w:val="20"/>
                <w:szCs w:val="20"/>
                <w:color w:val="auto"/>
              </w:rPr>
            </w:pPr>
            <w:r>
              <w:rPr>
                <w:rFonts w:ascii="Arial" w:cs="Arial" w:eastAsia="Arial" w:hAnsi="Arial"/>
                <w:sz w:val="18"/>
                <w:szCs w:val="18"/>
                <w:color w:val="auto"/>
              </w:rPr>
              <w:t>(0.02)</w:t>
            </w:r>
          </w:p>
        </w:tc>
        <w:tc>
          <w:tcPr>
            <w:tcW w:w="840" w:type="dxa"/>
            <w:vAlign w:val="bottom"/>
            <w:vMerge w:val="restart"/>
            <w:shd w:val="clear" w:color="auto" w:fill="CCEEFF"/>
          </w:tcPr>
          <w:p>
            <w:pPr>
              <w:jc w:val="center"/>
              <w:ind w:left="12"/>
              <w:spacing w:after="0"/>
              <w:rPr>
                <w:sz w:val="20"/>
                <w:szCs w:val="20"/>
                <w:color w:val="auto"/>
              </w:rPr>
            </w:pPr>
            <w:r>
              <w:rPr>
                <w:rFonts w:ascii="Arial" w:cs="Arial" w:eastAsia="Arial" w:hAnsi="Arial"/>
                <w:sz w:val="18"/>
                <w:szCs w:val="18"/>
                <w:color w:val="auto"/>
                <w:w w:val="99"/>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30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(0.50)</w:t>
            </w:r>
          </w:p>
        </w:tc>
        <w:tc>
          <w:tcPr>
            <w:tcW w:w="840" w:type="dxa"/>
            <w:vAlign w:val="bottom"/>
            <w:vMerge w:val="restart"/>
            <w:shd w:val="clear" w:color="auto" w:fill="CCEEFF"/>
          </w:tcPr>
          <w:p>
            <w:pPr>
              <w:jc w:val="center"/>
              <w:ind w:left="32"/>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70"/>
        </w:trPr>
        <w:tc>
          <w:tcPr>
            <w:tcW w:w="482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4820" w:type="dxa"/>
            <w:vAlign w:val="bottom"/>
          </w:tcPr>
          <w:p>
            <w:pPr>
              <w:ind w:left="440"/>
              <w:spacing w:after="0"/>
              <w:rPr>
                <w:sz w:val="20"/>
                <w:szCs w:val="20"/>
                <w:color w:val="auto"/>
              </w:rPr>
            </w:pPr>
            <w:r>
              <w:rPr>
                <w:rFonts w:ascii="Arial" w:cs="Arial" w:eastAsia="Arial" w:hAnsi="Arial"/>
                <w:sz w:val="18"/>
                <w:szCs w:val="18"/>
                <w:color w:val="auto"/>
                <w:w w:val="99"/>
              </w:rPr>
              <w:t>Percentage dilution to stockholder A (dilution per share</w:t>
            </w: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tcPr>
          <w:p>
            <w:pPr>
              <w:ind w:left="440"/>
              <w:spacing w:after="0"/>
              <w:rPr>
                <w:sz w:val="20"/>
                <w:szCs w:val="20"/>
                <w:color w:val="auto"/>
              </w:rPr>
            </w:pPr>
            <w:r>
              <w:rPr>
                <w:rFonts w:ascii="Arial" w:cs="Arial" w:eastAsia="Arial" w:hAnsi="Arial"/>
                <w:sz w:val="18"/>
                <w:szCs w:val="18"/>
                <w:color w:val="auto"/>
              </w:rPr>
              <w:t>divided by investment per share)</w:t>
            </w:r>
          </w:p>
        </w:tc>
        <w:tc>
          <w:tcPr>
            <w:tcW w:w="94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1"/>
              </w:rPr>
              <w:t>(0.20)%</w:t>
            </w:r>
          </w:p>
        </w:tc>
        <w:tc>
          <w:tcPr>
            <w:tcW w:w="300" w:type="dxa"/>
            <w:vAlign w:val="bottom"/>
          </w:tcPr>
          <w:p>
            <w:pPr>
              <w:spacing w:after="0"/>
              <w:rPr>
                <w:sz w:val="19"/>
                <w:szCs w:val="19"/>
                <w:color w:val="auto"/>
              </w:rPr>
            </w:pPr>
          </w:p>
        </w:tc>
        <w:tc>
          <w:tcPr>
            <w:tcW w:w="720" w:type="dxa"/>
            <w:vAlign w:val="bottom"/>
            <w:vMerge w:val="restart"/>
          </w:tcPr>
          <w:p>
            <w:pPr>
              <w:jc w:val="right"/>
              <w:ind w:right="13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(0.90)%</w:t>
            </w:r>
          </w:p>
        </w:tc>
        <w:tc>
          <w:tcPr>
            <w:tcW w:w="300" w:type="dxa"/>
            <w:vAlign w:val="bottom"/>
          </w:tcPr>
          <w:p>
            <w:pPr>
              <w:spacing w:after="0"/>
              <w:rPr>
                <w:sz w:val="19"/>
                <w:szCs w:val="19"/>
                <w:color w:val="auto"/>
              </w:rPr>
            </w:pP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8"/>
              </w:rPr>
              <w:t>(5.00)%</w:t>
            </w:r>
          </w:p>
        </w:tc>
        <w:tc>
          <w:tcPr>
            <w:tcW w:w="0" w:type="dxa"/>
            <w:vAlign w:val="bottom"/>
          </w:tcPr>
          <w:p>
            <w:pPr>
              <w:spacing w:after="0"/>
              <w:rPr>
                <w:sz w:val="1"/>
                <w:szCs w:val="1"/>
                <w:color w:val="auto"/>
              </w:rPr>
            </w:pPr>
          </w:p>
        </w:tc>
      </w:tr>
      <w:tr>
        <w:trPr>
          <w:trHeight w:val="68"/>
        </w:trPr>
        <w:tc>
          <w:tcPr>
            <w:tcW w:w="48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60" w:firstLine="571"/>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25% discount offering from the prior chart for stockholder A that acquires shares equal to (1) 50% of their proportionate share of the offering (i.e., 1,250 shares which is 0.50% of the offering of 250,000 shares rather than their 1.00% proportionate share) and (2) 150% of their proportionate share of the offering (i.e., 3,750 shares which is 1.50% of the offering of 250,000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7"/>
              </w:rPr>
              <w:t>Prior to Sale</w:t>
            </w:r>
          </w:p>
        </w:tc>
        <w:tc>
          <w:tcPr>
            <w:tcW w:w="120" w:type="dxa"/>
            <w:vAlign w:val="bottom"/>
          </w:tcPr>
          <w:p>
            <w:pPr>
              <w:spacing w:after="0"/>
              <w:rPr>
                <w:sz w:val="14"/>
                <w:szCs w:val="14"/>
                <w:color w:val="auto"/>
              </w:rPr>
            </w:pPr>
          </w:p>
        </w:tc>
        <w:tc>
          <w:tcPr>
            <w:tcW w:w="1680" w:type="dxa"/>
            <w:vAlign w:val="bottom"/>
            <w:gridSpan w:val="3"/>
          </w:tcPr>
          <w:p>
            <w:pPr>
              <w:ind w:left="260"/>
              <w:spacing w:after="0"/>
              <w:rPr>
                <w:sz w:val="20"/>
                <w:szCs w:val="20"/>
                <w:color w:val="auto"/>
              </w:rPr>
            </w:pPr>
            <w:r>
              <w:rPr>
                <w:rFonts w:ascii="Arial" w:cs="Arial" w:eastAsia="Arial" w:hAnsi="Arial"/>
                <w:sz w:val="14"/>
                <w:szCs w:val="14"/>
                <w:b w:val="1"/>
                <w:bCs w:val="1"/>
                <w:color w:val="auto"/>
              </w:rPr>
              <w:t>50% Participation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Below NAV</w:t>
            </w: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ind w:left="80"/>
              <w:spacing w:after="0"/>
              <w:rPr>
                <w:sz w:val="20"/>
                <w:szCs w:val="20"/>
                <w:color w:val="auto"/>
              </w:rPr>
            </w:pPr>
            <w:r>
              <w:rPr>
                <w:rFonts w:ascii="Arial" w:cs="Arial" w:eastAsia="Arial" w:hAnsi="Arial"/>
                <w:sz w:val="14"/>
                <w:szCs w:val="14"/>
                <w:b w:val="1"/>
                <w:bCs w:val="1"/>
                <w:color w:val="auto"/>
                <w:w w:val="93"/>
              </w:rPr>
              <w:t>Change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200" w:type="dxa"/>
            <w:vAlign w:val="bottom"/>
            <w:gridSpan w:val="2"/>
            <w:vMerge w:val="restart"/>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5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64"/>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1200" w:type="dxa"/>
            <w:vAlign w:val="bottom"/>
            <w:gridSpan w:val="2"/>
            <w:vMerge w:val="restart"/>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ind w:right="64"/>
              <w:spacing w:after="0"/>
              <w:rPr>
                <w:sz w:val="20"/>
                <w:szCs w:val="20"/>
                <w:color w:val="auto"/>
              </w:rPr>
            </w:pPr>
            <w:r>
              <w:rPr>
                <w:rFonts w:ascii="Arial" w:cs="Arial" w:eastAsia="Arial" w:hAnsi="Arial"/>
                <w:sz w:val="18"/>
                <w:szCs w:val="18"/>
                <w:color w:val="auto"/>
              </w:rPr>
              <w:t>7.50</w:t>
            </w:r>
          </w:p>
        </w:tc>
        <w:tc>
          <w:tcPr>
            <w:tcW w:w="3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40" w:type="dxa"/>
            <w:vAlign w:val="bottom"/>
            <w:shd w:val="clear" w:color="auto" w:fill="CCEEFF"/>
          </w:tcPr>
          <w:p>
            <w:pPr>
              <w:spacing w:after="0"/>
              <w:rPr>
                <w:sz w:val="5"/>
                <w:szCs w:val="5"/>
                <w:color w:val="auto"/>
              </w:rPr>
            </w:pPr>
          </w:p>
        </w:tc>
        <w:tc>
          <w:tcPr>
            <w:tcW w:w="1200" w:type="dxa"/>
            <w:vAlign w:val="bottom"/>
            <w:gridSpan w:val="2"/>
            <w:vMerge w:val="continue"/>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480" w:type="dxa"/>
            <w:vAlign w:val="bottom"/>
            <w:gridSpan w:val="2"/>
            <w:vMerge w:val="continue"/>
            <w:shd w:val="clear" w:color="auto" w:fill="CCEEFF"/>
          </w:tcPr>
          <w:p>
            <w:pPr>
              <w:spacing w:after="0"/>
              <w:rPr>
                <w:sz w:val="5"/>
                <w:szCs w:val="5"/>
                <w:color w:val="auto"/>
              </w:rPr>
            </w:pPr>
          </w:p>
        </w:tc>
        <w:tc>
          <w:tcPr>
            <w:tcW w:w="740" w:type="dxa"/>
            <w:vAlign w:val="bottom"/>
            <w:vMerge w:val="continue"/>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87"/>
              </w:rPr>
              <w:t>Prior to Sale</w:t>
            </w:r>
          </w:p>
        </w:tc>
        <w:tc>
          <w:tcPr>
            <w:tcW w:w="100" w:type="dxa"/>
            <w:vAlign w:val="bottom"/>
          </w:tcPr>
          <w:p>
            <w:pPr>
              <w:spacing w:after="0"/>
              <w:rPr>
                <w:sz w:val="14"/>
                <w:szCs w:val="14"/>
                <w:color w:val="auto"/>
              </w:rPr>
            </w:pPr>
          </w:p>
        </w:tc>
        <w:tc>
          <w:tcPr>
            <w:tcW w:w="19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50% Participation</w:t>
            </w:r>
          </w:p>
        </w:tc>
        <w:tc>
          <w:tcPr>
            <w:tcW w:w="100" w:type="dxa"/>
            <w:vAlign w:val="bottom"/>
          </w:tcPr>
          <w:p>
            <w:pPr>
              <w:spacing w:after="0"/>
              <w:rPr>
                <w:sz w:val="14"/>
                <w:szCs w:val="14"/>
                <w:color w:val="auto"/>
              </w:rPr>
            </w:pPr>
          </w:p>
        </w:tc>
        <w:tc>
          <w:tcPr>
            <w:tcW w:w="1780" w:type="dxa"/>
            <w:vAlign w:val="bottom"/>
            <w:gridSpan w:val="4"/>
          </w:tcPr>
          <w:p>
            <w:pPr>
              <w:ind w:left="2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7"/>
              </w:rPr>
              <w:t>Following</w:t>
            </w:r>
          </w:p>
        </w:tc>
        <w:tc>
          <w:tcPr>
            <w:tcW w:w="720" w:type="dxa"/>
            <w:vAlign w:val="bottom"/>
            <w:tcBorders>
              <w:top w:val="single" w:sz="8" w:color="auto"/>
            </w:tcBorders>
          </w:tcPr>
          <w:p>
            <w:pPr>
              <w:jc w:val="right"/>
              <w:ind w:right="21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ind w:left="80"/>
              <w:spacing w:after="0" w:line="129" w:lineRule="exact"/>
              <w:rPr>
                <w:sz w:val="20"/>
                <w:szCs w:val="20"/>
                <w:color w:val="auto"/>
              </w:rPr>
            </w:pPr>
            <w:r>
              <w:rPr>
                <w:rFonts w:ascii="Arial" w:cs="Arial" w:eastAsia="Arial" w:hAnsi="Arial"/>
                <w:sz w:val="14"/>
                <w:szCs w:val="14"/>
                <w:b w:val="1"/>
                <w:bCs w:val="1"/>
                <w:color w:val="auto"/>
              </w:rPr>
              <w:t>Following</w:t>
            </w:r>
          </w:p>
        </w:tc>
        <w:tc>
          <w:tcPr>
            <w:tcW w:w="6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3"/>
              </w:rPr>
              <w:t>Below NAV</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Sale</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Sale</w:t>
            </w: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shares outstanding</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w w:val="87"/>
              </w:rPr>
              <w:t>1,000,000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w w:val="87"/>
              </w:rPr>
              <w:t>1,250,000</w:t>
            </w: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25.00 %</w:t>
            </w:r>
          </w:p>
        </w:tc>
        <w:tc>
          <w:tcPr>
            <w:tcW w:w="1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w w:val="84"/>
              </w:rPr>
              <w:t>1,250,000</w:t>
            </w:r>
          </w:p>
        </w:tc>
        <w:tc>
          <w:tcPr>
            <w:tcW w:w="20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25.00 %</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NAV per share</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(5.00)%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11,250</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12.50 %</w:t>
            </w:r>
          </w:p>
        </w:tc>
        <w:tc>
          <w:tcPr>
            <w:tcW w:w="100" w:type="dxa"/>
            <w:vAlign w:val="bottom"/>
          </w:tcPr>
          <w:p>
            <w:pPr>
              <w:spacing w:after="0"/>
              <w:rPr>
                <w:sz w:val="19"/>
                <w:szCs w:val="19"/>
                <w:color w:val="auto"/>
              </w:rPr>
            </w:pP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13,750</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37.50 %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0.90%</w:t>
            </w: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w w:val="95"/>
              </w:rPr>
              <w:t>(10.00)%</w:t>
            </w: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106,875</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6.88 %</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130,625</w:t>
            </w:r>
          </w:p>
        </w:tc>
        <w:tc>
          <w:tcPr>
            <w:tcW w:w="200" w:type="dxa"/>
            <w:vAlign w:val="bottom"/>
            <w:shd w:val="clear" w:color="auto" w:fill="CCEEFF"/>
          </w:tcPr>
          <w:p>
            <w:pPr>
              <w:spacing w:after="0"/>
              <w:rPr>
                <w:sz w:val="19"/>
                <w:szCs w:val="1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30.63 %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87"/>
              </w:rPr>
              <w:t>Total investment by stockholder A (assumed to be $10.00 per share on shares held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prior to sale)</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109,863</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9.86 %</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129,588</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3"/>
              </w:rPr>
              <w:t>29.59 %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Total (dilution)/accretion to stockholder A (total NAV less total investment)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1,037</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2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840" w:type="dxa"/>
            <w:vAlign w:val="bottom"/>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0"/>
              </w:rPr>
              <w:t>Investment per share held by stockholder A (assumed to be $10.00 per share on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shares held prior to sale)</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35"/>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37"/>
              <w:spacing w:after="0"/>
              <w:rPr>
                <w:sz w:val="20"/>
                <w:szCs w:val="20"/>
                <w:color w:val="auto"/>
              </w:rPr>
            </w:pPr>
            <w:r>
              <w:rPr>
                <w:rFonts w:ascii="Arial" w:cs="Arial" w:eastAsia="Arial" w:hAnsi="Arial"/>
                <w:sz w:val="18"/>
                <w:szCs w:val="18"/>
                <w:color w:val="auto"/>
              </w:rPr>
              <w:t>9.77</w:t>
            </w:r>
          </w:p>
        </w:tc>
        <w:tc>
          <w:tcPr>
            <w:tcW w:w="200" w:type="dxa"/>
            <w:vAlign w:val="bottom"/>
          </w:tcPr>
          <w:p>
            <w:pPr>
              <w:spacing w:after="0"/>
              <w:rPr>
                <w:sz w:val="19"/>
                <w:szCs w:val="19"/>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(2.30)%</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tcPr>
          <w:p>
            <w:pPr>
              <w:jc w:val="right"/>
              <w:ind w:right="57"/>
              <w:spacing w:after="0"/>
              <w:rPr>
                <w:sz w:val="20"/>
                <w:szCs w:val="20"/>
                <w:color w:val="auto"/>
              </w:rPr>
            </w:pPr>
            <w:r>
              <w:rPr>
                <w:rFonts w:ascii="Arial" w:cs="Arial" w:eastAsia="Arial" w:hAnsi="Arial"/>
                <w:sz w:val="18"/>
                <w:szCs w:val="18"/>
                <w:color w:val="auto"/>
              </w:rPr>
              <w:t>9.42</w:t>
            </w:r>
          </w:p>
        </w:tc>
        <w:tc>
          <w:tcPr>
            <w:tcW w:w="20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8"/>
              </w:rPr>
              <w:t>(5.80)%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(Dilution)/accretion per share held by stockholder A (NAV per share less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per share)</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0.08</w:t>
            </w:r>
          </w:p>
        </w:tc>
        <w:tc>
          <w:tcPr>
            <w:tcW w:w="200" w:type="dxa"/>
            <w:vAlign w:val="bottom"/>
            <w:shd w:val="clear" w:color="auto" w:fill="CCEEFF"/>
          </w:tcPr>
          <w:p>
            <w:pPr>
              <w:spacing w:after="0"/>
              <w:rPr>
                <w:sz w:val="19"/>
                <w:szCs w:val="19"/>
                <w:color w:val="auto"/>
              </w:rPr>
            </w:pPr>
          </w:p>
        </w:tc>
        <w:tc>
          <w:tcPr>
            <w:tcW w:w="7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2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7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w w:val="96"/>
              </w:rPr>
              <w:t>Percentage (dilution)/accretion to stockholder A (dilution/accretion per share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divided by investment per share)</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80" w:firstLine="571"/>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90" w:lineRule="auto"/>
        <w:rPr>
          <w:sz w:val="20"/>
          <w:szCs w:val="20"/>
          <w:color w:val="auto"/>
        </w:rPr>
      </w:pPr>
      <w:r>
        <w:rPr>
          <w:rFonts w:ascii="Arial" w:cs="Arial" w:eastAsia="Arial" w:hAnsi="Arial"/>
          <w:sz w:val="16"/>
          <w:szCs w:val="16"/>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250,000 shares (25% of the outstanding shares) at $7.50 per share after offering expenses and commissions (a 25% discount from NAV).</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1</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left="398"/>
              <w:spacing w:after="0"/>
              <w:rPr>
                <w:sz w:val="20"/>
                <w:szCs w:val="20"/>
                <w:color w:val="auto"/>
              </w:rPr>
            </w:pPr>
            <w:r>
              <w:rPr>
                <w:rFonts w:ascii="Arial" w:cs="Arial" w:eastAsia="Arial" w:hAnsi="Arial"/>
                <w:sz w:val="14"/>
                <w:szCs w:val="14"/>
                <w:b w:val="1"/>
                <w:bCs w:val="1"/>
                <w:color w:val="auto"/>
                <w:w w:val="89"/>
              </w:rPr>
              <w:t>Example 2</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w w:val="89"/>
              </w:rPr>
              <w:t>Example 3</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94"/>
              </w:rPr>
              <w:t>5% Offering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10% Offering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25% Offering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68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89"/>
              </w:rPr>
              <w:t>at 5% Discount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15"/>
              <w:spacing w:after="0"/>
              <w:rPr>
                <w:sz w:val="20"/>
                <w:szCs w:val="20"/>
                <w:color w:val="auto"/>
              </w:rPr>
            </w:pPr>
            <w:r>
              <w:rPr>
                <w:rFonts w:ascii="Arial" w:cs="Arial" w:eastAsia="Arial" w:hAnsi="Arial"/>
                <w:sz w:val="14"/>
                <w:szCs w:val="14"/>
                <w:b w:val="1"/>
                <w:bCs w:val="1"/>
                <w:color w:val="auto"/>
                <w:w w:val="88"/>
              </w:rPr>
              <w:t>at 10% Discount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at 25% Discount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58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5"/>
              </w:rPr>
              <w:t>Following</w:t>
            </w:r>
          </w:p>
        </w:tc>
        <w:tc>
          <w:tcPr>
            <w:tcW w:w="60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420"/>
              <w:spacing w:after="0" w:line="129" w:lineRule="exact"/>
              <w:rPr>
                <w:sz w:val="20"/>
                <w:szCs w:val="20"/>
                <w:color w:val="auto"/>
              </w:rPr>
            </w:pPr>
            <w:r>
              <w:rPr>
                <w:rFonts w:ascii="Arial" w:cs="Arial" w:eastAsia="Arial" w:hAnsi="Arial"/>
                <w:sz w:val="14"/>
                <w:szCs w:val="14"/>
                <w:b w:val="1"/>
                <w:bCs w:val="1"/>
                <w:color w:val="auto"/>
                <w:w w:val="88"/>
              </w:rPr>
              <w:t>Following</w:t>
            </w:r>
          </w:p>
        </w:tc>
        <w:tc>
          <w:tcPr>
            <w:tcW w:w="580" w:type="dxa"/>
            <w:vAlign w:val="bottom"/>
            <w:tcBorders>
              <w:top w:val="single" w:sz="8" w:color="auto"/>
            </w:tcBorders>
          </w:tcPr>
          <w:p>
            <w:pPr>
              <w:ind w:left="200"/>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58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3"/>
              </w:rPr>
              <w:t>Sale</w:t>
            </w:r>
          </w:p>
        </w:tc>
        <w:tc>
          <w:tcPr>
            <w:tcW w:w="60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3"/>
              </w:rPr>
              <w:t>Sale</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Offering Price</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1,050,000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5.00 %</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10.00 %</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1,250,000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4"/>
              </w:rPr>
              <w:t>25.00 %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NAV per share</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9.98</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(0.20)%</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1"/>
              </w:rPr>
              <w:t>(0.90)%</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9.50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2,500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0.90%</w:t>
            </w: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0.20%</w:t>
            </w: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60" w:type="dxa"/>
            <w:vAlign w:val="bottom"/>
            <w:gridSpan w:val="2"/>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NAV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Total investment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19,725</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Total dilution to stockholder A (total NAV less total</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4,025</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NAV per share held by stockholder A</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00" w:type="dxa"/>
            <w:vAlign w:val="bottom"/>
            <w:shd w:val="clear" w:color="auto" w:fill="CCEEFF"/>
          </w:tcPr>
          <w:p>
            <w:pPr>
              <w:spacing w:after="0"/>
              <w:rPr>
                <w:sz w:val="5"/>
                <w:szCs w:val="5"/>
                <w:color w:val="auto"/>
              </w:rPr>
            </w:pPr>
          </w:p>
        </w:tc>
        <w:tc>
          <w:tcPr>
            <w:tcW w:w="112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vMerge w:val="continue"/>
            <w:shd w:val="clear" w:color="auto" w:fill="CCEEFF"/>
          </w:tcPr>
          <w:p>
            <w:pPr>
              <w:spacing w:after="0"/>
              <w:rPr>
                <w:sz w:val="5"/>
                <w:szCs w:val="5"/>
                <w:color w:val="auto"/>
              </w:rPr>
            </w:pPr>
          </w:p>
        </w:tc>
        <w:tc>
          <w:tcPr>
            <w:tcW w:w="360" w:type="dxa"/>
            <w:vAlign w:val="bottom"/>
            <w:gridSpan w:val="2"/>
            <w:vMerge w:val="continue"/>
            <w:shd w:val="clear" w:color="auto" w:fill="CCEEFF"/>
          </w:tcPr>
          <w:p>
            <w:pPr>
              <w:spacing w:after="0"/>
              <w:rPr>
                <w:sz w:val="5"/>
                <w:szCs w:val="5"/>
                <w:color w:val="auto"/>
              </w:rPr>
            </w:pPr>
          </w:p>
        </w:tc>
        <w:tc>
          <w:tcPr>
            <w:tcW w:w="78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0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68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Investment per share held by stockholder A</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9.47</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Dilution per share held by stockholder A (NAV per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 less investment per share)</w:t>
            </w:r>
          </w:p>
        </w:tc>
        <w:tc>
          <w:tcPr>
            <w:tcW w:w="112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8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0" w:type="dxa"/>
            <w:vAlign w:val="bottom"/>
            <w:vMerge w:val="restart"/>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80" w:type="dxa"/>
            <w:vAlign w:val="bottom"/>
            <w:gridSpan w:val="2"/>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43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36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340" w:type="dxa"/>
            <w:vAlign w:val="bottom"/>
            <w:gridSpan w:val="2"/>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w w:val="99"/>
              </w:rPr>
              <w:t>Percentage dilution to stockholder A (dilution per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share divided by investment per share)</w:t>
            </w:r>
          </w:p>
        </w:tc>
        <w:tc>
          <w:tcPr>
            <w:tcW w:w="1120" w:type="dxa"/>
            <w:vAlign w:val="bottom"/>
            <w:vMerge w:val="restart"/>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88"/>
              </w:rPr>
              <w:t>(0.20)%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4.65 %</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8"/>
                <w:szCs w:val="18"/>
                <w:color w:val="auto"/>
                <w:w w:val="88"/>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1"/>
              </w:rPr>
              <w:t>20.41%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38"/>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15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intend to continue making quarterly distributions to our stockholders. The timing and amount of our quarterly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October 1, 2008:</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5960" w:type="dxa"/>
            <w:vAlign w:val="bottom"/>
            <w:vMerge w:val="restart"/>
          </w:tcPr>
          <w:p>
            <w:pPr>
              <w:spacing w:after="0"/>
              <w:rPr>
                <w:sz w:val="14"/>
                <w:szCs w:val="14"/>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9"/>
              </w:rPr>
              <w:t>Payment Dates</w:t>
            </w:r>
          </w:p>
        </w:tc>
        <w:tc>
          <w:tcPr>
            <w:tcW w:w="4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5960" w:type="dxa"/>
            <w:vAlign w:val="bottom"/>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6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2014</w:t>
            </w:r>
          </w:p>
        </w:tc>
        <w:tc>
          <w:tcPr>
            <w:tcW w:w="92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December 20, 2013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January 2, 2014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40" w:type="dxa"/>
            <w:vAlign w:val="bottom"/>
          </w:tcPr>
          <w:p>
            <w:pPr>
              <w:spacing w:after="0"/>
              <w:rPr>
                <w:sz w:val="5"/>
                <w:szCs w:val="5"/>
                <w:color w:val="auto"/>
              </w:rPr>
            </w:pPr>
          </w:p>
        </w:tc>
        <w:tc>
          <w:tcPr>
            <w:tcW w:w="59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2013</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September 20, 2013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October 1, 2013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1, 2013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January 2, 2013</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5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September 20, 2012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October 1, 2012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2, 2012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March 22, 2012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April 2, 2012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2011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January 3, 2012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5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October 3, 2011</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20, 2011</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1, 2011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March 15, 2011</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17, 2010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January 3, 2011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5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2010</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September 14, 2010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October 1, 2010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2010</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1, 2010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March 25, 2010</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24, 2009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January 4, 2010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840" w:type="dxa"/>
            <w:vAlign w:val="bottom"/>
          </w:tcPr>
          <w:p>
            <w:pPr>
              <w:spacing w:after="0"/>
              <w:rPr>
                <w:sz w:val="6"/>
                <w:szCs w:val="6"/>
                <w:color w:val="auto"/>
              </w:rPr>
            </w:pPr>
          </w:p>
        </w:tc>
        <w:tc>
          <w:tcPr>
            <w:tcW w:w="5960" w:type="dxa"/>
            <w:vAlign w:val="bottom"/>
          </w:tcPr>
          <w:p>
            <w:pPr>
              <w:spacing w:after="0"/>
              <w:rPr>
                <w:sz w:val="6"/>
                <w:szCs w:val="6"/>
                <w:color w:val="auto"/>
              </w:rPr>
            </w:pPr>
          </w:p>
        </w:tc>
        <w:tc>
          <w:tcPr>
            <w:tcW w:w="9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2009</w:t>
            </w: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September 8, 2009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October 1, 2009</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2009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July 1, 2009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ind w:left="440"/>
              <w:spacing w:after="0"/>
              <w:rPr>
                <w:sz w:val="20"/>
                <w:szCs w:val="20"/>
                <w:color w:val="auto"/>
              </w:rPr>
            </w:pPr>
            <w:r>
              <w:rPr>
                <w:rFonts w:ascii="Arial" w:cs="Arial" w:eastAsia="Arial" w:hAnsi="Arial"/>
                <w:sz w:val="18"/>
                <w:szCs w:val="18"/>
                <w:color w:val="auto"/>
              </w:rPr>
              <w:t>March 25, 2009</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April 1, 2009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2008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January 4, 2009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8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ectPr>
          <w:pgSz w:w="11900" w:h="16838" w:orient="portrait"/>
          <w:cols w:equalWidth="0" w:num="1">
            <w:col w:w="11240"/>
          </w:cols>
          <w:pgMar w:left="240" w:top="459" w:right="419" w:bottom="1440" w:gutter="0" w:footer="0" w:header="0"/>
        </w:sectPr>
      </w:pPr>
    </w:p>
    <w:bookmarkStart w:id="64" w:name="page65"/>
    <w:bookmarkEnd w:id="64"/>
    <w:p>
      <w:pPr>
        <w:ind w:firstLine="571"/>
        <w:spacing w:after="0" w:line="294" w:lineRule="auto"/>
        <w:rPr>
          <w:sz w:val="20"/>
          <w:szCs w:val="20"/>
          <w:color w:val="auto"/>
        </w:rPr>
      </w:pPr>
      <w:r>
        <w:rPr>
          <w:rFonts w:ascii="Arial" w:cs="Arial" w:eastAsia="Arial" w:hAnsi="Arial"/>
          <w:sz w:val="16"/>
          <w:szCs w:val="16"/>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ratio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or dividends and distributions at a particular level.</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of Unregistered Securities</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did not engage in any sales of unregistered securities during the fiscal years ended September 30, 2013, 2012 and 2011, respectively.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131"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6"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PennantPark Investment Corporation is a BDC whose objectives are to generate both current income and capital appreciation through debt and equity investments primarily in U.S. middle-market companies in the form of senior secured loans, mezzanine debt and equity investments.</w:t>
      </w:r>
    </w:p>
    <w:p>
      <w:pPr>
        <w:spacing w:after="0" w:line="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believe middle-market companies offer attractive risk-reward to investors due to the limited amount of capital available for such companies. We seek to create a diversified portfolio that includes senior secured loans,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Our debt investments may generally range in maturity from three to ten years and are made to U.S. and to a limited extent, non-U.S. corporations, partnerships and other business entities which operate in various industries and geographic regions.</w:t>
      </w:r>
    </w:p>
    <w:p>
      <w:pPr>
        <w:spacing w:after="0" w:line="37" w:lineRule="exact"/>
        <w:rPr>
          <w:sz w:val="20"/>
          <w:szCs w:val="20"/>
          <w:color w:val="auto"/>
        </w:rPr>
      </w:pPr>
    </w:p>
    <w:p>
      <w:pPr>
        <w:ind w:right="220" w:firstLine="571"/>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Investment Corporation</w:t>
      </w:r>
    </w:p>
    <w:p>
      <w:pPr>
        <w:spacing w:after="0" w:line="96"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PennantPark Investment Corporation was organized under the Maryland General Corporation Law in January 2007. We are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39"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Our wholly owned subsidiaries, SBIC LP and SBIC II, were organized as Delaware limited partnerships in May 2010 and July 2012, respectively. SBIC LP and SBIC II received licenses from the SBA to operate as SBICs, under Section 301(c) of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$1.8 billion in debt and equity capital and has invested approximately $3.0 billion in almost 300 companies with 125 different financial sponsors through its managed funds.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and the SBA.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660" w:right="280" w:hanging="314"/>
        <w:spacing w:after="0" w:line="25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55" w:lineRule="exact"/>
        <w:rPr>
          <w:rFonts w:ascii="Arial" w:cs="Arial" w:eastAsia="Arial" w:hAnsi="Arial"/>
          <w:sz w:val="18"/>
          <w:szCs w:val="18"/>
          <w:color w:val="auto"/>
        </w:rPr>
      </w:pPr>
    </w:p>
    <w:p>
      <w:pPr>
        <w:ind w:left="660" w:right="260" w:hanging="314"/>
        <w:spacing w:after="0" w:line="357" w:lineRule="auto"/>
        <w:tabs>
          <w:tab w:leader="none" w:pos="660"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 xml:space="preserve">We believe middle-market companies have faced difficulty raising debt in private markets. </w:t>
      </w:r>
      <w:r>
        <w:rPr>
          <w:rFonts w:ascii="Arial" w:cs="Arial" w:eastAsia="Arial" w:hAnsi="Arial"/>
          <w:sz w:val="15"/>
          <w:szCs w:val="15"/>
          <w:color w:val="auto"/>
        </w:rPr>
        <w:t>From time to time, banks, finance companies, hedge</w:t>
      </w:r>
      <w:r>
        <w:rPr>
          <w:rFonts w:ascii="Arial" w:cs="Arial" w:eastAsia="Arial" w:hAnsi="Arial"/>
          <w:sz w:val="15"/>
          <w:szCs w:val="15"/>
          <w:b w:val="1"/>
          <w:bCs w:val="1"/>
          <w:color w:val="auto"/>
        </w:rPr>
        <w:t xml:space="preserve"> </w:t>
      </w:r>
      <w:r>
        <w:rPr>
          <w:rFonts w:ascii="Arial" w:cs="Arial" w:eastAsia="Arial" w:hAnsi="Arial"/>
          <w:sz w:val="15"/>
          <w:szCs w:val="15"/>
          <w:color w:val="auto"/>
        </w:rPr>
        <w:t>funds and CLO funds have, and may again, withdraw capital from the middle-market, resulting in opportunities for alternative funding sources.</w:t>
      </w:r>
    </w:p>
    <w:p>
      <w:pPr>
        <w:ind w:left="660" w:hanging="314"/>
        <w:spacing w:after="0" w:line="310"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w:t>
      </w:r>
      <w:r>
        <w:rPr>
          <w:rFonts w:ascii="Arial" w:cs="Arial" w:eastAsia="Arial" w:hAnsi="Arial"/>
          <w:sz w:val="16"/>
          <w:szCs w:val="16"/>
          <w:b w:val="1"/>
          <w:bCs w:val="1"/>
          <w:color w:val="auto"/>
        </w:rPr>
        <w:t xml:space="preserve"> </w:t>
      </w:r>
      <w:r>
        <w:rPr>
          <w:rFonts w:ascii="Arial" w:cs="Arial" w:eastAsia="Arial" w:hAnsi="Arial"/>
          <w:sz w:val="16"/>
          <w:szCs w:val="16"/>
          <w:color w:val="auto"/>
        </w:rPr>
        <w:t>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660" w:right="120" w:hanging="314"/>
        <w:spacing w:after="0" w:line="29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660" w:right="120" w:hanging="314"/>
        <w:spacing w:after="0" w:line="296"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 believe</w:t>
      </w:r>
      <w:r>
        <w:rPr>
          <w:rFonts w:ascii="Arial" w:cs="Arial" w:eastAsia="Arial" w:hAnsi="Arial"/>
          <w:sz w:val="16"/>
          <w:szCs w:val="16"/>
          <w:b w:val="1"/>
          <w:bCs w:val="1"/>
          <w:color w:val="auto"/>
        </w:rPr>
        <w:t xml:space="preserve"> </w:t>
      </w:r>
      <w:r>
        <w:rPr>
          <w:rFonts w:ascii="Arial" w:cs="Arial" w:eastAsia="Arial" w:hAnsi="Arial"/>
          <w:sz w:val="16"/>
          <w:szCs w:val="16"/>
          <w:color w:val="auto"/>
        </w:rPr>
        <w:t>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Competitive Advantages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25" w:lineRule="exact"/>
        <w:rPr>
          <w:sz w:val="20"/>
          <w:szCs w:val="20"/>
          <w:color w:val="auto"/>
        </w:rPr>
      </w:pPr>
    </w:p>
    <w:p>
      <w:pPr>
        <w:ind w:left="1140" w:hanging="335"/>
        <w:spacing w:after="0"/>
        <w:tabs>
          <w:tab w:leader="none" w:pos="114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Experienced Management Team</w:t>
      </w:r>
    </w:p>
    <w:p>
      <w:pPr>
        <w:spacing w:after="0" w:line="90" w:lineRule="exact"/>
        <w:rPr>
          <w:sz w:val="20"/>
          <w:szCs w:val="20"/>
          <w:color w:val="auto"/>
        </w:rPr>
      </w:pPr>
    </w:p>
    <w:p>
      <w:pPr>
        <w:ind w:right="320" w:firstLine="571"/>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25 years of experience in mezzanine lending, leveraged finance, distressed debt and private equity businesses. These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86"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Lending to middle-market companies requires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40" w:hanging="335"/>
        <w:spacing w:after="0"/>
        <w:tabs>
          <w:tab w:leader="none" w:pos="114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Disciplined Investment Approach with Strong Value Orientation</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this approach continues to enable us to build an attractive investment portfolio that meets our return and value criteria over the long-term.</w:t>
      </w:r>
    </w:p>
    <w:p>
      <w:pPr>
        <w:spacing w:after="0" w:line="86"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for more information.</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158"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25" w:lineRule="exact"/>
        <w:rPr>
          <w:sz w:val="20"/>
          <w:szCs w:val="20"/>
          <w:color w:val="auto"/>
        </w:rPr>
      </w:pPr>
    </w:p>
    <w:p>
      <w:pPr>
        <w:ind w:left="1140" w:hanging="335"/>
        <w:spacing w:after="0"/>
        <w:tabs>
          <w:tab w:leader="none" w:pos="1140"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Ability to Source and Evaluate Transactions through our Investment Adviser’s Research Capability and Established Network</w:t>
      </w:r>
    </w:p>
    <w:p>
      <w:pPr>
        <w:spacing w:after="0" w:line="113" w:lineRule="exact"/>
        <w:rPr>
          <w:sz w:val="20"/>
          <w:szCs w:val="20"/>
          <w:color w:val="auto"/>
        </w:rPr>
      </w:pPr>
    </w:p>
    <w:p>
      <w:pPr>
        <w:ind w:right="240" w:firstLine="571"/>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professionals of our Investment Adviser have long-term relationships.</w:t>
      </w:r>
    </w:p>
    <w:p>
      <w:pPr>
        <w:spacing w:after="0" w:line="197" w:lineRule="exact"/>
        <w:rPr>
          <w:sz w:val="20"/>
          <w:szCs w:val="20"/>
          <w:color w:val="auto"/>
        </w:rPr>
      </w:pPr>
    </w:p>
    <w:p>
      <w:pPr>
        <w:ind w:left="1140" w:hanging="335"/>
        <w:spacing w:after="0"/>
        <w:tabs>
          <w:tab w:leader="none" w:pos="1140"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Flexible Transaction Structuring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13"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05"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firstLine="571"/>
        <w:spacing w:after="0" w:line="28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1"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Leverage</w:t>
      </w:r>
    </w:p>
    <w:p>
      <w:pPr>
        <w:spacing w:after="0" w:line="90"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We maintain a multi-currency $430.0 million Credit Facility which matures in February 2016 and is secured by substantially all of our investment portfolio assets (excluding the assets of our SBIC Funds), under which we had $145.5 million (including a $28.0 million temporary draw) and $145.0 million (including a $35.5 million temporary draw) of debt outstanding with a weighted average interest rate of 3.33% and 3.49% as of September 30, 2013 and 2012, respectively. Pricing of borrowings under our current Credit Facility is set at 275 basis points over LIBOR. As of September 30, 2013 and 2012, we had $284.5 million and $235.0 million, respectively, available to us under our Credit Facility. We believe that our capital resources will provide us with the flexibility to take advantage of market opportunities when they arise. Our use of leverage, as calculated under the asset coverage requirements of the 1940 Act, may generally range between 60% to 80% of our net assets.</w:t>
      </w:r>
    </w:p>
    <w:p>
      <w:pPr>
        <w:spacing w:after="0" w:line="120"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As of September 30, 2013 and 2012, SBIC LP had drawn $150.0 million in SBA debentures, with a weighted average interest rate of 3.70%, exclusive of 3.43% of upfront fees (4.04% inclusive of the upfront fees), and had no remaining borrowing capacity. SBA debentures offer competitive terms such as being non-recourse to us, a 10-year maturity, semi-annual interest payments, not requiring principal payments prior to maturity and may be prepaid at any time without penalty. The SBA debentures are secured by all the investment portfolio assets of SBIC LP and have a priority claim over such assets relative to all other creditors. See “Regulation” for more information.</w:t>
      </w:r>
    </w:p>
    <w:p>
      <w:pPr>
        <w:spacing w:after="0" w:line="143"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In January 2013, we issued $71.3 million in aggregate principal amount of 2025 Notes. Interest on the 2025 Notes accrues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00" w:firstLine="571"/>
        <w:spacing w:after="0" w:line="294" w:lineRule="auto"/>
        <w:rPr>
          <w:sz w:val="20"/>
          <w:szCs w:val="20"/>
          <w:color w:val="auto"/>
        </w:rPr>
      </w:pPr>
      <w:r>
        <w:rPr>
          <w:rFonts w:ascii="Arial" w:cs="Arial" w:eastAsia="Arial" w:hAnsi="Arial"/>
          <w:sz w:val="16"/>
          <w:szCs w:val="16"/>
          <w:color w:val="auto"/>
        </w:rPr>
        <w:t>We seek to create a diversified portfolio that includes senior secured loans, mezzanine debt and equity by targeting an investment size of $10 million to $50 million in securities, on average, of middle-market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89" w:lineRule="exact"/>
        <w:rPr>
          <w:sz w:val="20"/>
          <w:szCs w:val="20"/>
          <w:color w:val="auto"/>
        </w:rPr>
      </w:pPr>
    </w:p>
    <w:p>
      <w:pPr>
        <w:ind w:right="100" w:firstLine="565"/>
        <w:spacing w:after="0" w:line="291" w:lineRule="auto"/>
        <w:rPr>
          <w:sz w:val="20"/>
          <w:szCs w:val="20"/>
          <w:color w:val="auto"/>
        </w:rPr>
      </w:pPr>
      <w:r>
        <w:rPr>
          <w:rFonts w:ascii="Arial" w:cs="Arial" w:eastAsia="Arial" w:hAnsi="Arial"/>
          <w:sz w:val="16"/>
          <w:szCs w:val="16"/>
          <w:color w:val="auto"/>
        </w:rPr>
        <w:t>Over time, we expect that our portfolio will continue to consist primarily of senior secured loans, mezzanine debt and, to a lesser extent, equity investments in qualifying assets such as private or thinly traded or small market-capitalization, U.S. middle 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Selection Criteria” for more information.</w:t>
      </w:r>
    </w:p>
    <w:p>
      <w:pPr>
        <w:spacing w:after="0" w:line="93" w:lineRule="exact"/>
        <w:rPr>
          <w:sz w:val="20"/>
          <w:szCs w:val="20"/>
          <w:color w:val="auto"/>
        </w:rPr>
      </w:pPr>
    </w:p>
    <w:p>
      <w:pPr>
        <w:ind w:right="120" w:firstLine="571"/>
        <w:spacing w:after="0" w:line="294"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of changes to our operating policies and strategies may adversely affect our business, our ability to make distributions and the value of our stock.</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Senior Secured Debt</w:t>
      </w:r>
    </w:p>
    <w:p>
      <w:pPr>
        <w:spacing w:after="0" w:line="9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Structurally, senior secured debt (which we define to include first lien debt) ranks senior in priority of payment to mezzanine debt and equity, and benefits from a senior security interest in the assets of the borrower. As such, other creditors rank junior to our investments in these securities in the event of insolvency. Due to its lower risk profile and often more restrictive covenants as compared to mezzanine debt, senior secured debt generally earns a lower return than mezzanine debt. In some cases senior secured lenders receive opportunities to invest directly in the equity securities of borrowers and from time to time may also receive warrants to purchase equity securities. We evaluate these investment opportunities on a case-by-case basis.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Mezzanine Debt</w:t>
      </w:r>
    </w:p>
    <w:p>
      <w:pPr>
        <w:spacing w:after="0" w:line="96"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Structurally, mezzanine debt (which we define to include second lien secured debt and subordinated debt) usually ranks subordinate in priority of payment to senior secured loans. Our second lien secured debt is subordinated debt that benefits from a security interest in the borrower. As such, other creditors may rank senior to us in the event of insolvency. Mezzanine debt ranks senior to common and preferred equity in borrowers’ capital structures. Due to its higher risk profile and often less restrictive covenants as compared to senior secured loans, mezzanine debt generally earns a higher return than senior secured loans. In many cases mezzanine investors receive opportunities to invest directly in the equity securities of borrowers and from time to time may also receive warrants to purchase equity securities. We evaluate these investment opportunities on a case-by-case basis.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are committed to a value-oriented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efficiently and effectively.</w:t>
      </w:r>
    </w:p>
    <w:p>
      <w:pPr>
        <w:spacing w:after="0" w:line="184" w:lineRule="exact"/>
        <w:rPr>
          <w:sz w:val="20"/>
          <w:szCs w:val="20"/>
          <w:color w:val="auto"/>
        </w:rPr>
      </w:pPr>
    </w:p>
    <w:p>
      <w:pPr>
        <w:ind w:left="1120" w:hanging="437"/>
        <w:spacing w:after="0"/>
        <w:tabs>
          <w:tab w:leader="none" w:pos="1120" w:val="left"/>
        </w:tabs>
        <w:numPr>
          <w:ilvl w:val="0"/>
          <w:numId w:val="3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also seeks portfolio companies that it believes possess competitive advantages in scale, scope, customer loyalty, product pricing or product quality as compared to their competitors to protect their market position.</w:t>
      </w:r>
    </w:p>
    <w:p>
      <w:pPr>
        <w:spacing w:after="0" w:line="184" w:lineRule="exact"/>
        <w:rPr>
          <w:sz w:val="20"/>
          <w:szCs w:val="20"/>
          <w:color w:val="auto"/>
        </w:rPr>
      </w:pPr>
    </w:p>
    <w:p>
      <w:pPr>
        <w:ind w:left="1120" w:hanging="437"/>
        <w:spacing w:after="0"/>
        <w:tabs>
          <w:tab w:leader="none" w:pos="1120"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100" w:firstLine="571"/>
        <w:spacing w:after="0" w:line="294" w:lineRule="auto"/>
        <w:rPr>
          <w:sz w:val="20"/>
          <w:szCs w:val="20"/>
          <w:color w:val="auto"/>
        </w:rPr>
      </w:pPr>
      <w:r>
        <w:rPr>
          <w:rFonts w:ascii="Arial" w:cs="Arial" w:eastAsia="Arial" w:hAnsi="Arial"/>
          <w:sz w:val="16"/>
          <w:szCs w:val="16"/>
          <w:color w:val="auto"/>
        </w:rPr>
        <w:t>Our investment philosophy places a premium on fundamental analysis and has a distinct value-orientation. 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 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56" w:lineRule="exact"/>
        <w:rPr>
          <w:sz w:val="20"/>
          <w:szCs w:val="20"/>
          <w:color w:val="auto"/>
        </w:rPr>
      </w:pPr>
    </w:p>
    <w:p>
      <w:pPr>
        <w:ind w:left="1120" w:hanging="437"/>
        <w:spacing w:after="0"/>
        <w:tabs>
          <w:tab w:leader="none" w:pos="1120" w:val="left"/>
        </w:tabs>
        <w:numPr>
          <w:ilvl w:val="0"/>
          <w:numId w:val="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 including having equity interests.</w:t>
      </w:r>
    </w:p>
    <w:p>
      <w:pPr>
        <w:spacing w:after="0" w:line="181" w:lineRule="exact"/>
        <w:rPr>
          <w:sz w:val="20"/>
          <w:szCs w:val="20"/>
          <w:color w:val="auto"/>
        </w:rPr>
      </w:pPr>
    </w:p>
    <w:p>
      <w:pPr>
        <w:ind w:left="1120" w:hanging="437"/>
        <w:spacing w:after="0"/>
        <w:tabs>
          <w:tab w:leader="none" w:pos="1120"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sponsorship</w:t>
      </w:r>
    </w:p>
    <w:p>
      <w:pPr>
        <w:spacing w:after="0" w:line="90"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financial sponsors. The Investment Adviser believes that a financial sponsor’s willingness to invest significant equity capital in a portfolio company is an implicit endorsement of the quality of that portfolio company. Further, financial sponsors of portfolio companies with significant investments at risk may have ability, and a strong incentive, to contribute additional capital in difficult economic times should financial or operational issues arise so as to maintain their ownership position.</w:t>
      </w:r>
    </w:p>
    <w:p>
      <w:pPr>
        <w:spacing w:after="0" w:line="153" w:lineRule="exact"/>
        <w:rPr>
          <w:sz w:val="20"/>
          <w:szCs w:val="20"/>
          <w:color w:val="auto"/>
        </w:rPr>
      </w:pPr>
    </w:p>
    <w:p>
      <w:pPr>
        <w:ind w:left="1120" w:hanging="437"/>
        <w:spacing w:after="0"/>
        <w:tabs>
          <w:tab w:leader="none" w:pos="11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The Investment Adviser seeks to invest our assets broadly among portfolio companies and across industries. The Investment Adviser believes that this diversified approach may reduce the risk that a downturn in any one portfolio company or industry will have a disproportionate impact on the value of our portfolio.</w:t>
      </w:r>
    </w:p>
    <w:p>
      <w:pPr>
        <w:spacing w:after="0" w:line="181" w:lineRule="exact"/>
        <w:rPr>
          <w:sz w:val="20"/>
          <w:szCs w:val="20"/>
          <w:color w:val="auto"/>
        </w:rPr>
      </w:pPr>
    </w:p>
    <w:p>
      <w:pPr>
        <w:ind w:left="1120" w:hanging="437"/>
        <w:spacing w:after="0"/>
        <w:tabs>
          <w:tab w:leader="none" w:pos="11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The Investment Adviser seeks to invest in portfolio companies that we believe will provide a steady stream of cash flow to repay our loans while also reinvesting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also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refinancing or other capital markets transaction.</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Due Diligence</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due diligence typically includes:</w:t>
      </w:r>
    </w:p>
    <w:p>
      <w:pPr>
        <w:spacing w:after="0" w:line="158"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loan documents; and</w:t>
      </w:r>
    </w:p>
    <w:p>
      <w:pPr>
        <w:spacing w:after="0" w:line="157"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background checks.</w:t>
      </w:r>
    </w:p>
    <w:p>
      <w:pPr>
        <w:spacing w:after="0" w:line="14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05"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portfolio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ectPr>
          <w:pgSz w:w="11900" w:h="16838" w:orient="portrait"/>
          <w:cols w:equalWidth="0" w:num="1">
            <w:col w:w="11400"/>
          </w:cols>
          <w:pgMar w:left="240" w:top="459" w:right="259" w:bottom="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9019"/>
          </w:cols>
          <w:pgMar w:left="1440" w:top="280" w:right="1440"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exiting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4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Structure</w:t>
      </w:r>
    </w:p>
    <w:p>
      <w:pPr>
        <w:spacing w:after="0" w:line="90"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1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expect our senior secured loans to have terms of three to ten years. We generally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13"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Typically, our mezzanine debt has maturities of three to ten years. Mezzanine debt may have interest-only payments in the early years with cash or PIK payments with amortization of principal deferred to the later years. In some cases, we may invest in debt securities that, by their terms, convert into equity or additional debt securities or defers payment of interest for the first few years after our investment. Also, in some cases our mezzanine debt may be collateralized by a subordinated lien on some or all of the assets of the borrower.</w:t>
      </w:r>
    </w:p>
    <w:p>
      <w:pPr>
        <w:spacing w:after="0" w:line="116" w:lineRule="exact"/>
        <w:rPr>
          <w:sz w:val="20"/>
          <w:szCs w:val="20"/>
          <w:color w:val="auto"/>
        </w:rPr>
      </w:pPr>
    </w:p>
    <w:p>
      <w:pPr>
        <w:ind w:firstLine="342"/>
        <w:spacing w:after="0" w:line="335" w:lineRule="auto"/>
        <w:rPr>
          <w:sz w:val="20"/>
          <w:szCs w:val="20"/>
          <w:color w:val="auto"/>
        </w:rPr>
      </w:pPr>
      <w:r>
        <w:rPr>
          <w:rFonts w:ascii="Arial" w:cs="Arial" w:eastAsia="Arial" w:hAnsi="Arial"/>
          <w:sz w:val="15"/>
          <w:szCs w:val="15"/>
          <w:color w:val="auto"/>
        </w:rPr>
        <w:t>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75" w:lineRule="exact"/>
        <w:rPr>
          <w:sz w:val="20"/>
          <w:szCs w:val="20"/>
          <w:color w:val="auto"/>
        </w:rPr>
      </w:pPr>
    </w:p>
    <w:p>
      <w:pPr>
        <w:ind w:left="900" w:right="220" w:hanging="67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requiring a total return on our investments (including both interest in the form of a floor and potential equity appreciation) that compensates us for credit risk;</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157" w:lineRule="exact"/>
        <w:rPr>
          <w:rFonts w:ascii="Arial" w:cs="Arial" w:eastAsia="Arial" w:hAnsi="Arial"/>
          <w:sz w:val="18"/>
          <w:szCs w:val="18"/>
          <w:color w:val="auto"/>
        </w:rPr>
      </w:pPr>
    </w:p>
    <w:p>
      <w:pPr>
        <w:jc w:val="both"/>
        <w:ind w:left="900" w:right="320" w:hanging="676"/>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our focus of preserving capital. Such restrictions may include affirmative and negative covenants, default penalties, lien protection, change of control provisions and board rights, including either observation or participation rights.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89"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we may sell certain investments earlier if a liquidity event takes place, such as the sale or refinancing of a portfolio company. We also may turn over investments to better position the portfolio in light of market conditions.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560" w:firstLine="571"/>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also monitors the financial trends of each portfolio company to determine if it is meeting its business plan and to assess the appropriate course of action for each portfolio company.</w:t>
      </w:r>
    </w:p>
    <w:p>
      <w:pPr>
        <w:spacing w:after="0" w:line="58"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118" w:lineRule="exact"/>
        <w:rPr>
          <w:sz w:val="20"/>
          <w:szCs w:val="20"/>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157" w:lineRule="exact"/>
        <w:rPr>
          <w:rFonts w:ascii="Arial" w:cs="Arial" w:eastAsia="Arial" w:hAnsi="Arial"/>
          <w:sz w:val="18"/>
          <w:szCs w:val="18"/>
          <w:color w:val="auto"/>
        </w:rPr>
      </w:pPr>
    </w:p>
    <w:p>
      <w:pPr>
        <w:ind w:left="900" w:right="100" w:hanging="676"/>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118"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157" w:lineRule="exact"/>
        <w:rPr>
          <w:rFonts w:ascii="Arial" w:cs="Arial" w:eastAsia="Arial" w:hAnsi="Arial"/>
          <w:sz w:val="18"/>
          <w:szCs w:val="18"/>
          <w:color w:val="auto"/>
        </w:rPr>
      </w:pPr>
    </w:p>
    <w:p>
      <w:pPr>
        <w:ind w:left="900" w:hanging="67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right="120" w:firstLine="571"/>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We do not currently have any employees. Our Investment Adviser and Administrator have hired and expect to continue to hire professionals with skills applicable to our business plan, including experience in middle-market investing, mezzanine lending, leveraged finance, distressed debt and private equity businesses.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Our Consolidated Portfolio</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principal investment focus is to provide senior secured loans and mezzanine debt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pacing w:after="0" w:line="19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Aerospace and Defense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Environmental Services</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Auto Sector</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Financial Services</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Beverage, Food and Tobacco</w:t>
            </w:r>
          </w:p>
        </w:tc>
        <w:tc>
          <w:tcPr>
            <w:tcW w:w="6060" w:type="dxa"/>
            <w:vAlign w:val="bottom"/>
            <w:gridSpan w:val="2"/>
          </w:tcPr>
          <w:p>
            <w:pPr>
              <w:ind w:left="740"/>
              <w:spacing w:after="0"/>
              <w:rPr>
                <w:sz w:val="20"/>
                <w:szCs w:val="20"/>
                <w:color w:val="auto"/>
              </w:rPr>
            </w:pPr>
            <w:r>
              <w:rPr>
                <w:rFonts w:ascii="Arial" w:cs="Arial" w:eastAsia="Arial" w:hAnsi="Arial"/>
                <w:sz w:val="18"/>
                <w:szCs w:val="18"/>
                <w:color w:val="auto"/>
              </w:rPr>
              <w:t>• Grocery</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Broadcasting and Entertainment</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Healthcare, Education and Childcare</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Buildings and Real Estate</w:t>
            </w:r>
          </w:p>
        </w:tc>
        <w:tc>
          <w:tcPr>
            <w:tcW w:w="6060" w:type="dxa"/>
            <w:vAlign w:val="bottom"/>
            <w:gridSpan w:val="2"/>
          </w:tcPr>
          <w:p>
            <w:pPr>
              <w:ind w:left="740"/>
              <w:spacing w:after="0"/>
              <w:rPr>
                <w:sz w:val="20"/>
                <w:szCs w:val="20"/>
                <w:color w:val="auto"/>
              </w:rPr>
            </w:pPr>
            <w:r>
              <w:rPr>
                <w:rFonts w:ascii="Arial" w:cs="Arial" w:eastAsia="Arial" w:hAnsi="Arial"/>
                <w:sz w:val="18"/>
                <w:szCs w:val="18"/>
                <w:color w:val="auto"/>
                <w:w w:val="90"/>
              </w:rPr>
              <w:t>• Home &amp; Office Furnishings, Housewares &amp; Durable Consumer Products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Business Services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Hotels, Motels, Inns and Gaming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Cable Television</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Insurance</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Cargo Transportation</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Leisure, Amusement, Motion Picture, Entertainment</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Chemicals, Plastics and Rubber</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Logistics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Manufacturing/Basic Industries</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 Consumer Products</w:t>
            </w:r>
          </w:p>
        </w:tc>
        <w:tc>
          <w:tcPr>
            <w:tcW w:w="6060" w:type="dxa"/>
            <w:vAlign w:val="bottom"/>
            <w:gridSpan w:val="2"/>
          </w:tcPr>
          <w:p>
            <w:pPr>
              <w:ind w:left="740"/>
              <w:spacing w:after="0"/>
              <w:rPr>
                <w:sz w:val="20"/>
                <w:szCs w:val="20"/>
                <w:color w:val="auto"/>
              </w:rPr>
            </w:pPr>
            <w:r>
              <w:rPr>
                <w:rFonts w:ascii="Arial" w:cs="Arial" w:eastAsia="Arial" w:hAnsi="Arial"/>
                <w:sz w:val="18"/>
                <w:szCs w:val="18"/>
                <w:color w:val="auto"/>
              </w:rPr>
              <w:t>•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Containers Packaging &amp; Glass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Mining, Steel, Iron and Non-Precious Metals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Distribution</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Oil and Gas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Diversified/Conglomerate Manufacturing</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Other Media</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Diversified/Conglomerate Services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Personal, Food and Miscellaneous Services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Diversified Natural Resources, Precious Metals and Minerals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Printing and Publishing</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Education</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Retail Stores</w:t>
            </w:r>
          </w:p>
        </w:tc>
      </w:tr>
      <w:tr>
        <w:trPr>
          <w:trHeight w:val="216"/>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Electronics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tcPr>
          <w:p>
            <w:pPr>
              <w:ind w:left="40"/>
              <w:spacing w:after="0"/>
              <w:rPr>
                <w:sz w:val="20"/>
                <w:szCs w:val="20"/>
                <w:color w:val="auto"/>
              </w:rPr>
            </w:pPr>
            <w:r>
              <w:rPr>
                <w:rFonts w:ascii="Arial" w:cs="Arial" w:eastAsia="Arial" w:hAnsi="Arial"/>
                <w:sz w:val="18"/>
                <w:szCs w:val="18"/>
                <w:color w:val="auto"/>
              </w:rPr>
              <w:t>Telecommunications</w:t>
            </w:r>
          </w:p>
        </w:tc>
      </w:tr>
      <w:tr>
        <w:trPr>
          <w:trHeight w:val="222"/>
        </w:trPr>
        <w:tc>
          <w:tcPr>
            <w:tcW w:w="100" w:type="dxa"/>
            <w:vAlign w:val="bottom"/>
          </w:tcPr>
          <w:p>
            <w:pPr>
              <w:spacing w:after="0"/>
              <w:rPr>
                <w:sz w:val="20"/>
                <w:szCs w:val="20"/>
                <w:color w:val="auto"/>
              </w:rPr>
            </w:pPr>
            <w:r>
              <w:rPr>
                <w:rFonts w:ascii="Arial" w:cs="Arial" w:eastAsia="Arial" w:hAnsi="Arial"/>
                <w:sz w:val="18"/>
                <w:szCs w:val="18"/>
                <w:color w:val="auto"/>
              </w:rPr>
              <w:t>•</w:t>
            </w:r>
          </w:p>
        </w:tc>
        <w:tc>
          <w:tcPr>
            <w:tcW w:w="5100" w:type="dxa"/>
            <w:vAlign w:val="bottom"/>
          </w:tcPr>
          <w:p>
            <w:pPr>
              <w:ind w:left="40"/>
              <w:spacing w:after="0"/>
              <w:rPr>
                <w:sz w:val="20"/>
                <w:szCs w:val="20"/>
                <w:color w:val="auto"/>
              </w:rPr>
            </w:pPr>
            <w:r>
              <w:rPr>
                <w:rFonts w:ascii="Arial" w:cs="Arial" w:eastAsia="Arial" w:hAnsi="Arial"/>
                <w:sz w:val="18"/>
                <w:szCs w:val="18"/>
                <w:color w:val="auto"/>
              </w:rPr>
              <w:t>Energy/Utilities</w:t>
            </w:r>
          </w:p>
        </w:tc>
        <w:tc>
          <w:tcPr>
            <w:tcW w:w="840" w:type="dxa"/>
            <w:vAlign w:val="bottom"/>
          </w:tcPr>
          <w:p>
            <w:pPr>
              <w:spacing w:after="0"/>
              <w:rPr>
                <w:sz w:val="19"/>
                <w:szCs w:val="19"/>
                <w:color w:val="auto"/>
              </w:rPr>
            </w:pPr>
          </w:p>
        </w:tc>
        <w:tc>
          <w:tcPr>
            <w:tcW w:w="5220" w:type="dxa"/>
            <w:vAlign w:val="bottom"/>
          </w:tcPr>
          <w:p>
            <w:pPr>
              <w:spacing w:after="0"/>
              <w:rPr>
                <w:sz w:val="19"/>
                <w:szCs w:val="19"/>
                <w:color w:val="auto"/>
              </w:rPr>
            </w:pPr>
          </w:p>
        </w:tc>
      </w:tr>
    </w:tbl>
    <w:p>
      <w:pPr>
        <w:spacing w:after="0" w:line="129"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Portfolio Company</w:t>
            </w:r>
          </w:p>
        </w:tc>
        <w:tc>
          <w:tcPr>
            <w:tcW w:w="34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Portfolio Company</w:t>
            </w:r>
          </w:p>
        </w:tc>
        <w:tc>
          <w:tcPr>
            <w:tcW w:w="26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Pre-Paid Legal Services, Inc.</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Last Mile Funding, Corp. (3 PD, Inc.)</w:t>
            </w:r>
          </w:p>
        </w:tc>
        <w:tc>
          <w:tcPr>
            <w:tcW w:w="860" w:type="dxa"/>
            <w:vAlign w:val="bottom"/>
            <w:vMerge w:val="restart"/>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340" w:type="dxa"/>
            <w:vAlign w:val="bottom"/>
            <w:vMerge w:val="continue"/>
          </w:tcPr>
          <w:p>
            <w:pPr>
              <w:spacing w:after="0"/>
              <w:rPr>
                <w:sz w:val="17"/>
                <w:szCs w:val="17"/>
                <w:color w:val="auto"/>
              </w:rPr>
            </w:pPr>
          </w:p>
        </w:tc>
        <w:tc>
          <w:tcPr>
            <w:tcW w:w="412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8"/>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Magnum Hunter Resources Corporation</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Magnum Hunter Resources Corporation</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(Eureka Hunter Pipeline, LLC)</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20"/>
                <w:szCs w:val="20"/>
                <w:color w:val="auto"/>
              </w:rPr>
            </w:pPr>
          </w:p>
        </w:tc>
        <w:tc>
          <w:tcPr>
            <w:tcW w:w="4120" w:type="dxa"/>
            <w:vAlign w:val="bottom"/>
            <w:gridSpan w:val="2"/>
          </w:tcPr>
          <w:p>
            <w:pPr>
              <w:ind w:left="220"/>
              <w:spacing w:after="0"/>
              <w:rPr>
                <w:sz w:val="20"/>
                <w:szCs w:val="20"/>
                <w:color w:val="auto"/>
              </w:rPr>
            </w:pPr>
            <w:r>
              <w:rPr>
                <w:rFonts w:ascii="Arial" w:cs="Arial" w:eastAsia="Arial" w:hAnsi="Arial"/>
                <w:sz w:val="18"/>
                <w:szCs w:val="18"/>
                <w:color w:val="auto"/>
              </w:rPr>
              <w:t>(Eureka Hunter Pipeline, LLC)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Brand Energy and Infrastructure Services, Inc.</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LTI Flexible Products, Inc.</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920" w:type="dxa"/>
            <w:vAlign w:val="bottom"/>
            <w:gridSpan w:val="2"/>
          </w:tcPr>
          <w:p>
            <w:pPr>
              <w:ind w:left="20"/>
              <w:spacing w:after="0" w:line="188" w:lineRule="exact"/>
              <w:rPr>
                <w:sz w:val="20"/>
                <w:szCs w:val="20"/>
                <w:color w:val="auto"/>
              </w:rPr>
            </w:pPr>
            <w:r>
              <w:rPr>
                <w:rFonts w:ascii="Arial" w:cs="Arial" w:eastAsia="Arial" w:hAnsi="Arial"/>
                <w:sz w:val="18"/>
                <w:szCs w:val="18"/>
                <w:color w:val="auto"/>
              </w:rPr>
              <w:t>Jacobs Entertainment, Inc.</w:t>
            </w:r>
          </w:p>
        </w:tc>
        <w:tc>
          <w:tcPr>
            <w:tcW w:w="560" w:type="dxa"/>
            <w:vAlign w:val="bottom"/>
            <w:gridSpan w:val="2"/>
          </w:tcPr>
          <w:p>
            <w:pPr>
              <w:jc w:val="right"/>
              <w:ind w:right="200"/>
              <w:spacing w:after="0" w:line="188"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6"/>
                <w:szCs w:val="16"/>
                <w:color w:val="auto"/>
              </w:rPr>
            </w:pPr>
          </w:p>
        </w:tc>
        <w:tc>
          <w:tcPr>
            <w:tcW w:w="4120" w:type="dxa"/>
            <w:vAlign w:val="bottom"/>
            <w:gridSpan w:val="2"/>
          </w:tcPr>
          <w:p>
            <w:pPr>
              <w:spacing w:after="0" w:line="188" w:lineRule="exact"/>
              <w:rPr>
                <w:sz w:val="20"/>
                <w:szCs w:val="20"/>
                <w:color w:val="auto"/>
              </w:rPr>
            </w:pPr>
            <w:r>
              <w:rPr>
                <w:rFonts w:ascii="Arial" w:cs="Arial" w:eastAsia="Arial" w:hAnsi="Arial"/>
                <w:sz w:val="18"/>
                <w:szCs w:val="18"/>
                <w:color w:val="auto"/>
              </w:rPr>
              <w:t>New Service Champ Holdings, Inc.</w:t>
            </w: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1500" w:type="dxa"/>
            <w:vAlign w:val="bottom"/>
          </w:tcPr>
          <w:p>
            <w:pPr>
              <w:spacing w:after="0"/>
              <w:rPr>
                <w:sz w:val="3"/>
                <w:szCs w:val="3"/>
                <w:color w:val="auto"/>
              </w:rPr>
            </w:pPr>
          </w:p>
        </w:tc>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4120" w:type="dxa"/>
            <w:vAlign w:val="bottom"/>
            <w:gridSpan w:val="2"/>
            <w:vMerge w:val="restart"/>
          </w:tcPr>
          <w:p>
            <w:pPr>
              <w:ind w:left="220"/>
              <w:spacing w:after="0"/>
              <w:rPr>
                <w:sz w:val="20"/>
                <w:szCs w:val="20"/>
                <w:color w:val="auto"/>
              </w:rPr>
            </w:pPr>
            <w:r>
              <w:rPr>
                <w:rFonts w:ascii="Arial" w:cs="Arial" w:eastAsia="Arial" w:hAnsi="Arial"/>
                <w:sz w:val="18"/>
                <w:szCs w:val="18"/>
                <w:color w:val="auto"/>
              </w:rPr>
              <w:t>(Service Champ Inc.)</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1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LTI Flexible Products, Inc.</w:t>
            </w:r>
          </w:p>
        </w:tc>
        <w:tc>
          <w:tcPr>
            <w:tcW w:w="560" w:type="dxa"/>
            <w:vAlign w:val="bottom"/>
            <w:tcBorders>
              <w:bottom w:val="single" w:sz="8" w:color="CCEEFF"/>
            </w:tcBorders>
            <w:gridSpan w:val="2"/>
            <w:shd w:val="clear" w:color="auto" w:fill="CCEEFF"/>
          </w:tcPr>
          <w:p>
            <w:pPr>
              <w:jc w:val="right"/>
              <w:ind w:right="200"/>
              <w:spacing w:after="0" w:line="189" w:lineRule="exact"/>
              <w:rPr>
                <w:sz w:val="20"/>
                <w:szCs w:val="20"/>
                <w:color w:val="auto"/>
              </w:rPr>
            </w:pPr>
            <w:r>
              <w:rPr>
                <w:rFonts w:ascii="Arial" w:cs="Arial" w:eastAsia="Arial" w:hAnsi="Arial"/>
                <w:sz w:val="18"/>
                <w:szCs w:val="18"/>
                <w:color w:val="auto"/>
              </w:rPr>
              <w:t>4</w:t>
            </w:r>
          </w:p>
        </w:tc>
        <w:tc>
          <w:tcPr>
            <w:tcW w:w="340" w:type="dxa"/>
            <w:vAlign w:val="bottom"/>
            <w:vMerge w:val="continue"/>
          </w:tcPr>
          <w:p>
            <w:pPr>
              <w:spacing w:after="0"/>
              <w:rPr>
                <w:sz w:val="18"/>
                <w:szCs w:val="18"/>
                <w:color w:val="auto"/>
              </w:rPr>
            </w:pPr>
          </w:p>
        </w:tc>
        <w:tc>
          <w:tcPr>
            <w:tcW w:w="4120" w:type="dxa"/>
            <w:vAlign w:val="bottom"/>
            <w:tcBorders>
              <w:bottom w:val="single" w:sz="8" w:color="CCEEFF"/>
            </w:tcBorders>
            <w:gridSpan w:val="2"/>
            <w:vMerge w:val="continue"/>
          </w:tcPr>
          <w:p>
            <w:pPr>
              <w:spacing w:after="0"/>
              <w:rPr>
                <w:sz w:val="18"/>
                <w:szCs w:val="18"/>
                <w:color w:val="auto"/>
              </w:rPr>
            </w:pPr>
          </w:p>
        </w:tc>
        <w:tc>
          <w:tcPr>
            <w:tcW w:w="1200" w:type="dxa"/>
            <w:vAlign w:val="bottom"/>
            <w:tcBorders>
              <w:bottom w:val="single" w:sz="8" w:color="CCEEFF"/>
            </w:tcBorders>
            <w:gridSpan w:val="2"/>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920" w:type="dxa"/>
            <w:vAlign w:val="bottom"/>
            <w:gridSpan w:val="2"/>
          </w:tcPr>
          <w:p>
            <w:pPr>
              <w:ind w:left="20"/>
              <w:spacing w:after="0" w:line="156" w:lineRule="exact"/>
              <w:rPr>
                <w:sz w:val="20"/>
                <w:szCs w:val="20"/>
                <w:color w:val="auto"/>
              </w:rPr>
            </w:pPr>
            <w:r>
              <w:rPr>
                <w:rFonts w:ascii="Arial" w:cs="Arial" w:eastAsia="Arial" w:hAnsi="Arial"/>
                <w:sz w:val="18"/>
                <w:szCs w:val="18"/>
                <w:color w:val="auto"/>
              </w:rPr>
              <w:t>Vestcom International, Inc.</w:t>
            </w:r>
          </w:p>
        </w:tc>
        <w:tc>
          <w:tcPr>
            <w:tcW w:w="560" w:type="dxa"/>
            <w:vAlign w:val="bottom"/>
            <w:gridSpan w:val="2"/>
          </w:tcPr>
          <w:p>
            <w:pPr>
              <w:jc w:val="right"/>
              <w:ind w:right="200"/>
              <w:spacing w:after="0" w:line="156" w:lineRule="exact"/>
              <w:rPr>
                <w:sz w:val="20"/>
                <w:szCs w:val="20"/>
                <w:color w:val="auto"/>
              </w:rPr>
            </w:pPr>
            <w:r>
              <w:rPr>
                <w:rFonts w:ascii="Arial" w:cs="Arial" w:eastAsia="Arial" w:hAnsi="Arial"/>
                <w:sz w:val="18"/>
                <w:szCs w:val="18"/>
                <w:color w:val="auto"/>
              </w:rPr>
              <w:t>4</w:t>
            </w:r>
          </w:p>
        </w:tc>
        <w:tc>
          <w:tcPr>
            <w:tcW w:w="340" w:type="dxa"/>
            <w:vAlign w:val="bottom"/>
          </w:tcPr>
          <w:p>
            <w:pPr>
              <w:spacing w:after="0"/>
              <w:rPr>
                <w:sz w:val="15"/>
                <w:szCs w:val="15"/>
                <w:color w:val="auto"/>
              </w:rPr>
            </w:pPr>
          </w:p>
        </w:tc>
        <w:tc>
          <w:tcPr>
            <w:tcW w:w="41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Pre-Paid Legal Services, Inc.</w:t>
            </w:r>
          </w:p>
        </w:tc>
        <w:tc>
          <w:tcPr>
            <w:tcW w:w="12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60" w:type="dxa"/>
            <w:vAlign w:val="bottom"/>
            <w:gridSpan w:val="3"/>
            <w:vMerge w:val="restart"/>
          </w:tcPr>
          <w:p>
            <w:pPr>
              <w:ind w:left="340"/>
              <w:spacing w:after="0" w:line="196" w:lineRule="exact"/>
              <w:rPr>
                <w:sz w:val="20"/>
                <w:szCs w:val="20"/>
                <w:color w:val="auto"/>
              </w:rPr>
            </w:pPr>
            <w:r>
              <w:rPr>
                <w:rFonts w:ascii="Arial" w:cs="Arial" w:eastAsia="Arial" w:hAnsi="Arial"/>
                <w:sz w:val="18"/>
                <w:szCs w:val="18"/>
                <w:color w:val="auto"/>
              </w:rPr>
              <w:t>American Gilsonite Company</w:t>
            </w:r>
          </w:p>
        </w:tc>
        <w:tc>
          <w:tcPr>
            <w:tcW w:w="120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auto"/>
              </w:rPr>
              <w:t>3</w:t>
            </w:r>
          </w:p>
        </w:tc>
        <w:tc>
          <w:tcPr>
            <w:tcW w:w="1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Instant Web, Inc.</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920" w:type="dxa"/>
            <w:vAlign w:val="bottom"/>
            <w:gridSpan w:val="2"/>
            <w:vMerge w:val="continue"/>
            <w:shd w:val="clear" w:color="auto" w:fill="CCEEFF"/>
          </w:tcPr>
          <w:p>
            <w:pPr>
              <w:spacing w:after="0"/>
              <w:rPr>
                <w:sz w:val="5"/>
                <w:szCs w:val="5"/>
                <w:color w:val="auto"/>
              </w:rPr>
            </w:pPr>
          </w:p>
        </w:tc>
        <w:tc>
          <w:tcPr>
            <w:tcW w:w="560" w:type="dxa"/>
            <w:vAlign w:val="bottom"/>
            <w:gridSpan w:val="2"/>
            <w:vMerge w:val="continue"/>
            <w:shd w:val="clear" w:color="auto" w:fill="CCEEFF"/>
          </w:tcPr>
          <w:p>
            <w:pPr>
              <w:spacing w:after="0"/>
              <w:rPr>
                <w:sz w:val="5"/>
                <w:szCs w:val="5"/>
                <w:color w:val="auto"/>
              </w:rPr>
            </w:pPr>
          </w:p>
        </w:tc>
        <w:tc>
          <w:tcPr>
            <w:tcW w:w="340" w:type="dxa"/>
            <w:vAlign w:val="bottom"/>
          </w:tcPr>
          <w:p>
            <w:pPr>
              <w:spacing w:after="0"/>
              <w:rPr>
                <w:sz w:val="5"/>
                <w:szCs w:val="5"/>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Brand Energy and Infrastructure Services, Inc.</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Penton Media, Inc.</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2"/>
                <w:szCs w:val="12"/>
                <w:color w:val="auto"/>
              </w:rPr>
            </w:pPr>
          </w:p>
        </w:tc>
        <w:tc>
          <w:tcPr>
            <w:tcW w:w="4120" w:type="dxa"/>
            <w:vAlign w:val="bottom"/>
            <w:gridSpan w:val="2"/>
            <w:vMerge w:val="continue"/>
            <w:shd w:val="clear" w:color="auto" w:fill="CCEEFF"/>
          </w:tcPr>
          <w:p>
            <w:pPr>
              <w:spacing w:after="0"/>
              <w:rPr>
                <w:sz w:val="12"/>
                <w:szCs w:val="12"/>
                <w:color w:val="auto"/>
              </w:rPr>
            </w:pPr>
          </w:p>
        </w:tc>
        <w:tc>
          <w:tcPr>
            <w:tcW w:w="1200" w:type="dxa"/>
            <w:vAlign w:val="bottom"/>
            <w:gridSpan w:val="2"/>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4920" w:type="dxa"/>
            <w:vAlign w:val="bottom"/>
            <w:gridSpan w:val="2"/>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4460" w:type="dxa"/>
            <w:vAlign w:val="bottom"/>
            <w:gridSpan w:val="3"/>
            <w:vMerge w:val="restart"/>
          </w:tcPr>
          <w:p>
            <w:pPr>
              <w:ind w:left="340"/>
              <w:spacing w:after="0"/>
              <w:rPr>
                <w:sz w:val="20"/>
                <w:szCs w:val="20"/>
                <w:color w:val="auto"/>
              </w:rPr>
            </w:pPr>
            <w:r>
              <w:rPr>
                <w:rFonts w:ascii="Arial" w:cs="Arial" w:eastAsia="Arial" w:hAnsi="Arial"/>
                <w:sz w:val="18"/>
                <w:szCs w:val="18"/>
                <w:color w:val="auto"/>
              </w:rPr>
              <w:t>Learning Care Group, Inc.</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TRAK Acquisition Corp.</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446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920" w:type="dxa"/>
            <w:vAlign w:val="bottom"/>
            <w:gridSpan w:val="2"/>
            <w:vMerge w:val="continue"/>
            <w:shd w:val="clear" w:color="auto" w:fill="CCEEFF"/>
          </w:tcPr>
          <w:p>
            <w:pPr>
              <w:spacing w:after="0"/>
              <w:rPr>
                <w:sz w:val="8"/>
                <w:szCs w:val="8"/>
                <w:color w:val="auto"/>
              </w:rPr>
            </w:pPr>
          </w:p>
        </w:tc>
        <w:tc>
          <w:tcPr>
            <w:tcW w:w="560" w:type="dxa"/>
            <w:vAlign w:val="bottom"/>
            <w:gridSpan w:val="2"/>
            <w:vMerge w:val="continue"/>
            <w:shd w:val="clear" w:color="auto" w:fill="CCEEFF"/>
          </w:tcPr>
          <w:p>
            <w:pPr>
              <w:spacing w:after="0"/>
              <w:rPr>
                <w:sz w:val="8"/>
                <w:szCs w:val="8"/>
                <w:color w:val="auto"/>
              </w:rPr>
            </w:pPr>
          </w:p>
        </w:tc>
        <w:tc>
          <w:tcPr>
            <w:tcW w:w="340" w:type="dxa"/>
            <w:vAlign w:val="bottom"/>
          </w:tcPr>
          <w:p>
            <w:pPr>
              <w:spacing w:after="0"/>
              <w:rPr>
                <w:sz w:val="8"/>
                <w:szCs w:val="8"/>
                <w:color w:val="auto"/>
              </w:rPr>
            </w:pPr>
          </w:p>
        </w:tc>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1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Varel International Energy Mezzanine Funding Corp.</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0"/>
                <w:szCs w:val="10"/>
                <w:color w:val="auto"/>
              </w:rPr>
            </w:pPr>
          </w:p>
        </w:tc>
        <w:tc>
          <w:tcPr>
            <w:tcW w:w="4120" w:type="dxa"/>
            <w:vAlign w:val="bottom"/>
            <w:gridSpan w:val="2"/>
            <w:vMerge w:val="continue"/>
            <w:shd w:val="clear" w:color="auto" w:fill="CCEEFF"/>
          </w:tcPr>
          <w:p>
            <w:pPr>
              <w:spacing w:after="0"/>
              <w:rPr>
                <w:sz w:val="10"/>
                <w:szCs w:val="10"/>
                <w:color w:val="auto"/>
              </w:rPr>
            </w:pPr>
          </w:p>
        </w:tc>
        <w:tc>
          <w:tcPr>
            <w:tcW w:w="12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460" w:type="dxa"/>
            <w:vAlign w:val="bottom"/>
            <w:gridSpan w:val="3"/>
            <w:vMerge w:val="restart"/>
          </w:tcPr>
          <w:p>
            <w:pPr>
              <w:ind w:left="340"/>
              <w:spacing w:after="0"/>
              <w:rPr>
                <w:sz w:val="20"/>
                <w:szCs w:val="20"/>
                <w:color w:val="auto"/>
              </w:rPr>
            </w:pPr>
            <w:r>
              <w:rPr>
                <w:rFonts w:ascii="Arial" w:cs="Arial" w:eastAsia="Arial" w:hAnsi="Arial"/>
                <w:sz w:val="18"/>
                <w:szCs w:val="18"/>
                <w:color w:val="auto"/>
              </w:rPr>
              <w:t>Prince Mineral Holdings Corp.</w:t>
            </w: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50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64"/>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51</w:t>
            </w:r>
          </w:p>
        </w:tc>
        <w:tc>
          <w:tcPr>
            <w:tcW w:w="14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0"/>
              </w:rPr>
              <w:t>Industry</w:t>
            </w:r>
          </w:p>
        </w:tc>
        <w:tc>
          <w:tcPr>
            <w:tcW w:w="424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2013</w:t>
            </w:r>
          </w:p>
        </w:tc>
        <w:tc>
          <w:tcPr>
            <w:tcW w:w="34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Industry</w:t>
            </w:r>
          </w:p>
        </w:tc>
        <w:tc>
          <w:tcPr>
            <w:tcW w:w="33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Personal, Food and Miscellaneous Services</w:t>
            </w: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Healthcare, Education &amp; Childcare</w:t>
            </w:r>
          </w:p>
        </w:tc>
        <w:tc>
          <w:tcPr>
            <w:tcW w:w="9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w:t>
            </w:r>
          </w:p>
        </w:tc>
        <w:tc>
          <w:tcPr>
            <w:tcW w:w="340" w:type="dxa"/>
            <w:vAlign w:val="bottom"/>
            <w:vMerge w:val="continue"/>
          </w:tcPr>
          <w:p>
            <w:pPr>
              <w:spacing w:after="0"/>
              <w:rPr>
                <w:sz w:val="17"/>
                <w:szCs w:val="17"/>
                <w:color w:val="auto"/>
              </w:rPr>
            </w:pPr>
          </w:p>
        </w:tc>
        <w:tc>
          <w:tcPr>
            <w:tcW w:w="3980" w:type="dxa"/>
            <w:vAlign w:val="bottom"/>
            <w:gridSpan w:val="2"/>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20" w:type="dxa"/>
            <w:vAlign w:val="bottom"/>
            <w:gridSpan w:val="2"/>
          </w:tcPr>
          <w:p>
            <w:pPr>
              <w:ind w:left="20"/>
              <w:spacing w:after="0"/>
              <w:rPr>
                <w:sz w:val="20"/>
                <w:szCs w:val="20"/>
                <w:color w:val="auto"/>
              </w:rPr>
            </w:pPr>
            <w:r>
              <w:rPr>
                <w:rFonts w:ascii="Arial" w:cs="Arial" w:eastAsia="Arial" w:hAnsi="Arial"/>
                <w:sz w:val="18"/>
                <w:szCs w:val="18"/>
                <w:color w:val="auto"/>
              </w:rPr>
              <w:t>Printing and Publishing</w:t>
            </w: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Business Services</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9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Energy / Utilities</w:t>
            </w:r>
          </w:p>
        </w:tc>
        <w:tc>
          <w:tcPr>
            <w:tcW w:w="5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8</w:t>
            </w:r>
          </w:p>
        </w:tc>
        <w:tc>
          <w:tcPr>
            <w:tcW w:w="340" w:type="dxa"/>
            <w:vAlign w:val="bottom"/>
          </w:tcPr>
          <w:p>
            <w:pPr>
              <w:spacing w:after="0"/>
              <w:rPr>
                <w:sz w:val="16"/>
                <w:szCs w:val="16"/>
                <w:color w:val="auto"/>
              </w:rPr>
            </w:pPr>
          </w:p>
        </w:tc>
        <w:tc>
          <w:tcPr>
            <w:tcW w:w="3980" w:type="dxa"/>
            <w:vAlign w:val="bottom"/>
            <w:gridSpan w:val="2"/>
          </w:tcPr>
          <w:p>
            <w:pPr>
              <w:spacing w:after="0" w:line="189" w:lineRule="exact"/>
              <w:rPr>
                <w:sz w:val="20"/>
                <w:szCs w:val="20"/>
                <w:color w:val="auto"/>
              </w:rPr>
            </w:pPr>
            <w:r>
              <w:rPr>
                <w:rFonts w:ascii="Arial" w:cs="Arial" w:eastAsia="Arial" w:hAnsi="Arial"/>
                <w:sz w:val="18"/>
                <w:szCs w:val="18"/>
                <w:color w:val="auto"/>
              </w:rPr>
              <w:t>Auto Sector</w:t>
            </w:r>
          </w:p>
        </w:tc>
        <w:tc>
          <w:tcPr>
            <w:tcW w:w="13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4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3980" w:type="dxa"/>
            <w:vAlign w:val="bottom"/>
            <w:gridSpan w:val="2"/>
            <w:vMerge w:val="restart"/>
            <w:shd w:val="clear" w:color="auto" w:fill="CCEEFF"/>
          </w:tcPr>
          <w:p>
            <w:pPr>
              <w:spacing w:after="0" w:line="196" w:lineRule="exact"/>
              <w:rPr>
                <w:sz w:val="20"/>
                <w:szCs w:val="20"/>
                <w:color w:val="auto"/>
              </w:rPr>
            </w:pPr>
            <w:r>
              <w:rPr>
                <w:rFonts w:ascii="Arial" w:cs="Arial" w:eastAsia="Arial" w:hAnsi="Arial"/>
                <w:sz w:val="18"/>
                <w:szCs w:val="18"/>
                <w:color w:val="auto"/>
              </w:rPr>
              <w:t>Business Services</w:t>
            </w:r>
          </w:p>
        </w:tc>
        <w:tc>
          <w:tcPr>
            <w:tcW w:w="1300" w:type="dxa"/>
            <w:vAlign w:val="bottom"/>
            <w:gridSpan w:val="2"/>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0" w:type="dxa"/>
            <w:vAlign w:val="bottom"/>
            <w:vMerge w:val="restart"/>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CCEEFF"/>
            </w:tcBorders>
            <w:gridSpan w:val="2"/>
            <w:shd w:val="clear" w:color="auto" w:fill="CCEEFF"/>
          </w:tcPr>
          <w:p>
            <w:pPr>
              <w:ind w:left="20"/>
              <w:spacing w:after="0" w:line="156" w:lineRule="exact"/>
              <w:rPr>
                <w:sz w:val="20"/>
                <w:szCs w:val="20"/>
                <w:color w:val="auto"/>
              </w:rPr>
            </w:pPr>
            <w:r>
              <w:rPr>
                <w:rFonts w:ascii="Arial" w:cs="Arial" w:eastAsia="Arial" w:hAnsi="Arial"/>
                <w:sz w:val="18"/>
                <w:szCs w:val="18"/>
                <w:color w:val="auto"/>
              </w:rPr>
              <w:t>Electronics</w:t>
            </w:r>
          </w:p>
        </w:tc>
        <w:tc>
          <w:tcPr>
            <w:tcW w:w="560" w:type="dxa"/>
            <w:vAlign w:val="bottom"/>
            <w:tcBorders>
              <w:bottom w:val="single" w:sz="8" w:color="CCEEFF"/>
            </w:tcBorders>
            <w:gridSpan w:val="2"/>
            <w:shd w:val="clear" w:color="auto" w:fill="CCEEFF"/>
          </w:tcPr>
          <w:p>
            <w:pPr>
              <w:jc w:val="right"/>
              <w:ind w:right="200"/>
              <w:spacing w:after="0" w:line="156" w:lineRule="exact"/>
              <w:rPr>
                <w:sz w:val="20"/>
                <w:szCs w:val="20"/>
                <w:color w:val="auto"/>
              </w:rPr>
            </w:pPr>
            <w:r>
              <w:rPr>
                <w:rFonts w:ascii="Arial" w:cs="Arial" w:eastAsia="Arial" w:hAnsi="Arial"/>
                <w:sz w:val="18"/>
                <w:szCs w:val="18"/>
                <w:color w:val="auto"/>
              </w:rPr>
              <w:t>7</w:t>
            </w:r>
          </w:p>
        </w:tc>
        <w:tc>
          <w:tcPr>
            <w:tcW w:w="340" w:type="dxa"/>
            <w:vAlign w:val="bottom"/>
            <w:vMerge w:val="continue"/>
          </w:tcPr>
          <w:p>
            <w:pPr>
              <w:spacing w:after="0"/>
              <w:rPr>
                <w:sz w:val="18"/>
                <w:szCs w:val="18"/>
                <w:color w:val="auto"/>
              </w:rPr>
            </w:pPr>
          </w:p>
        </w:tc>
        <w:tc>
          <w:tcPr>
            <w:tcW w:w="3980" w:type="dxa"/>
            <w:vAlign w:val="bottom"/>
            <w:gridSpan w:val="2"/>
            <w:vMerge w:val="continue"/>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Healthcare, Education &amp; Childcare</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w:t>
            </w:r>
          </w:p>
        </w:tc>
        <w:tc>
          <w:tcPr>
            <w:tcW w:w="4320" w:type="dxa"/>
            <w:vAlign w:val="bottom"/>
            <w:gridSpan w:val="3"/>
          </w:tcPr>
          <w:p>
            <w:pPr>
              <w:ind w:left="340"/>
              <w:spacing w:after="0" w:line="142" w:lineRule="exact"/>
              <w:rPr>
                <w:sz w:val="20"/>
                <w:szCs w:val="20"/>
                <w:color w:val="auto"/>
              </w:rPr>
            </w:pPr>
            <w:r>
              <w:rPr>
                <w:rFonts w:ascii="Arial" w:cs="Arial" w:eastAsia="Arial" w:hAnsi="Arial"/>
                <w:sz w:val="16"/>
                <w:szCs w:val="16"/>
                <w:color w:val="auto"/>
              </w:rPr>
              <w:t>Cargo Transport</w:t>
            </w:r>
          </w:p>
        </w:tc>
        <w:tc>
          <w:tcPr>
            <w:tcW w:w="1300" w:type="dxa"/>
            <w:vAlign w:val="bottom"/>
            <w:gridSpan w:val="2"/>
          </w:tcPr>
          <w:p>
            <w:pPr>
              <w:jc w:val="right"/>
              <w:spacing w:after="0" w:line="142" w:lineRule="exact"/>
              <w:rPr>
                <w:sz w:val="20"/>
                <w:szCs w:val="20"/>
                <w:color w:val="auto"/>
              </w:rPr>
            </w:pPr>
            <w:r>
              <w:rPr>
                <w:rFonts w:ascii="Arial" w:cs="Arial" w:eastAsia="Arial" w:hAnsi="Arial"/>
                <w:sz w:val="16"/>
                <w:szCs w:val="16"/>
                <w:color w:val="auto"/>
              </w:rPr>
              <w:t>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4920" w:type="dxa"/>
            <w:vAlign w:val="bottom"/>
            <w:gridSpan w:val="2"/>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Oil and Gas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3"/>
                <w:szCs w:val="13"/>
                <w:color w:val="auto"/>
              </w:rPr>
            </w:pPr>
          </w:p>
        </w:tc>
        <w:tc>
          <w:tcPr>
            <w:tcW w:w="3980" w:type="dxa"/>
            <w:vAlign w:val="bottom"/>
            <w:gridSpan w:val="2"/>
            <w:vMerge w:val="continue"/>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4920" w:type="dxa"/>
            <w:vAlign w:val="bottom"/>
            <w:gridSpan w:val="2"/>
            <w:vMerge w:val="continue"/>
            <w:shd w:val="clear" w:color="auto" w:fill="CCEEFF"/>
          </w:tcPr>
          <w:p>
            <w:pPr>
              <w:spacing w:after="0"/>
              <w:rPr>
                <w:sz w:val="7"/>
                <w:szCs w:val="7"/>
                <w:color w:val="auto"/>
              </w:rPr>
            </w:pPr>
          </w:p>
        </w:tc>
        <w:tc>
          <w:tcPr>
            <w:tcW w:w="560" w:type="dxa"/>
            <w:vAlign w:val="bottom"/>
            <w:gridSpan w:val="2"/>
            <w:vMerge w:val="continue"/>
            <w:shd w:val="clear" w:color="auto" w:fill="CCEEFF"/>
          </w:tcPr>
          <w:p>
            <w:pPr>
              <w:spacing w:after="0"/>
              <w:rPr>
                <w:sz w:val="7"/>
                <w:szCs w:val="7"/>
                <w:color w:val="auto"/>
              </w:rPr>
            </w:pPr>
          </w:p>
        </w:tc>
        <w:tc>
          <w:tcPr>
            <w:tcW w:w="4320" w:type="dxa"/>
            <w:vAlign w:val="bottom"/>
            <w:gridSpan w:val="3"/>
            <w:vMerge w:val="restart"/>
          </w:tcPr>
          <w:p>
            <w:pPr>
              <w:ind w:left="340"/>
              <w:spacing w:after="0"/>
              <w:rPr>
                <w:sz w:val="20"/>
                <w:szCs w:val="20"/>
                <w:color w:val="auto"/>
              </w:rPr>
            </w:pPr>
            <w:r>
              <w:rPr>
                <w:rFonts w:ascii="Arial" w:cs="Arial" w:eastAsia="Arial" w:hAnsi="Arial"/>
                <w:sz w:val="18"/>
                <w:szCs w:val="18"/>
                <w:color w:val="auto"/>
              </w:rPr>
              <w:t>Consumer Products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Chemicals, Plastics and Rubber</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w:t>
            </w:r>
          </w:p>
        </w:tc>
        <w:tc>
          <w:tcPr>
            <w:tcW w:w="4320" w:type="dxa"/>
            <w:vAlign w:val="bottom"/>
            <w:gridSpan w:val="3"/>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920" w:type="dxa"/>
            <w:vAlign w:val="bottom"/>
            <w:gridSpan w:val="2"/>
            <w:vMerge w:val="continue"/>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Distribution</w:t>
            </w:r>
          </w:p>
        </w:tc>
        <w:tc>
          <w:tcPr>
            <w:tcW w:w="1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492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0"/>
                <w:szCs w:val="10"/>
                <w:color w:val="auto"/>
              </w:rPr>
            </w:pPr>
          </w:p>
        </w:tc>
        <w:tc>
          <w:tcPr>
            <w:tcW w:w="3980" w:type="dxa"/>
            <w:vAlign w:val="bottom"/>
            <w:gridSpan w:val="2"/>
            <w:vMerge w:val="continue"/>
            <w:shd w:val="clear" w:color="auto" w:fill="CCEEFF"/>
          </w:tcPr>
          <w:p>
            <w:pPr>
              <w:spacing w:after="0"/>
              <w:rPr>
                <w:sz w:val="10"/>
                <w:szCs w:val="10"/>
                <w:color w:val="auto"/>
              </w:rPr>
            </w:pPr>
          </w:p>
        </w:tc>
        <w:tc>
          <w:tcPr>
            <w:tcW w:w="130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2"/>
            <w:vMerge w:val="continue"/>
            <w:shd w:val="clear" w:color="auto" w:fill="CCEEFF"/>
          </w:tcPr>
          <w:p>
            <w:pPr>
              <w:spacing w:after="0"/>
              <w:rPr>
                <w:sz w:val="9"/>
                <w:szCs w:val="9"/>
                <w:color w:val="auto"/>
              </w:rPr>
            </w:pPr>
          </w:p>
        </w:tc>
        <w:tc>
          <w:tcPr>
            <w:tcW w:w="560" w:type="dxa"/>
            <w:vAlign w:val="bottom"/>
            <w:gridSpan w:val="2"/>
            <w:vMerge w:val="continue"/>
            <w:shd w:val="clear" w:color="auto" w:fill="CCEEFF"/>
          </w:tcPr>
          <w:p>
            <w:pPr>
              <w:spacing w:after="0"/>
              <w:rPr>
                <w:sz w:val="9"/>
                <w:szCs w:val="9"/>
                <w:color w:val="auto"/>
              </w:rPr>
            </w:pPr>
          </w:p>
        </w:tc>
        <w:tc>
          <w:tcPr>
            <w:tcW w:w="4320" w:type="dxa"/>
            <w:vAlign w:val="bottom"/>
            <w:gridSpan w:val="3"/>
            <w:vMerge w:val="restart"/>
          </w:tcPr>
          <w:p>
            <w:pPr>
              <w:ind w:left="340"/>
              <w:spacing w:after="0"/>
              <w:rPr>
                <w:sz w:val="20"/>
                <w:szCs w:val="20"/>
                <w:color w:val="auto"/>
              </w:rPr>
            </w:pPr>
            <w:r>
              <w:rPr>
                <w:rFonts w:ascii="Arial" w:cs="Arial" w:eastAsia="Arial" w:hAnsi="Arial"/>
                <w:sz w:val="18"/>
                <w:szCs w:val="18"/>
                <w:color w:val="auto"/>
              </w:rPr>
              <w:t>Personal, Food and Miscellaneous Services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Hotels, Motels, Inns and Gaming</w:t>
            </w:r>
          </w:p>
        </w:tc>
        <w:tc>
          <w:tcPr>
            <w:tcW w:w="5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5</w:t>
            </w:r>
          </w:p>
        </w:tc>
        <w:tc>
          <w:tcPr>
            <w:tcW w:w="4320" w:type="dxa"/>
            <w:vAlign w:val="bottom"/>
            <w:gridSpan w:val="3"/>
            <w:vMerge w:val="continue"/>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49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3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Floating Rate Capital Ltd., a publicly traded BDC, and other managed funds, as applicable. Accordingly, they may have obligations to investors in those entities, the fulfillment of which obligations might not be in the best interest of us or our stockholders. In addition, we note that any affiliated investment vehicle currently existing, or formed in the future, and managed by the Investment Adviser and/or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97" w:lineRule="exact"/>
        <w:rPr>
          <w:sz w:val="20"/>
          <w:szCs w:val="20"/>
          <w:color w:val="auto"/>
        </w:rPr>
      </w:pPr>
    </w:p>
    <w:p>
      <w:pPr>
        <w:ind w:right="60" w:firstLine="571"/>
        <w:spacing w:after="0" w:line="255"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 investment company provided in Section 3(c) of the 1940 Act. We may also co-invest in the future on a concurrent basis with our affiliates, subject to compliance with applicable regulations and our trade allocation procedures. Some types of negotiated co-investments may be made only if we receive an order from the SEC permitting us to do so. We have sought, and there can be no assurance that we will obtain, such an order.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at September 30,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September 30, 2013 Consolidated Financial Statements included elsewhere in this prospectus.</w:t>
      </w:r>
    </w:p>
    <w:p>
      <w:pPr>
        <w:spacing w:after="0" w:line="143"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Substantially all of our investments (except those of our SBIC Funds) are pledged as collateral under our Credit Facility. Unless otherwise noted, we held no voting board membership on any of our portfolio companies.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120" w:type="dxa"/>
            <w:vAlign w:val="bottom"/>
          </w:tcPr>
          <w:p>
            <w:pPr>
              <w:spacing w:after="0"/>
              <w:rPr>
                <w:sz w:val="16"/>
                <w:szCs w:val="16"/>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Companies Less than 5% Owned</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50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Acentia, LLC</w:t>
            </w: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3130 Fairview Park Drive, Ste. 800</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Falls Church, VA 22042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Affinion Group Holdings, Inc.</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6 High Ridge Park</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Stamford, CT 06850</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AHC Mezzanine, LLC (Advanstar Inc.)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350 Park Avenue</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Aircell Business Aviation Services LLC</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1250 North Arlington Heights Road, Ste. 500</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Itasca, IL 60143</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Alegeus Technologies, LLC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Financial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(Alegeus Technologies Holdings Corp.)</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1601 Trapelo Rd.</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Waltham, MA 02451</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American Gilsonite Company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Diversified Natural Resources,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29950 South Bonanza Highway</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Precious Metals and Minerals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Bonanza, UT 84008</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American Surgical Holdings, Inc.</w:t>
            </w:r>
          </w:p>
        </w:tc>
        <w:tc>
          <w:tcPr>
            <w:tcW w:w="120" w:type="dxa"/>
            <w:vAlign w:val="bottom"/>
          </w:tcPr>
          <w:p>
            <w:pPr>
              <w:spacing w:after="0"/>
              <w:rPr>
                <w:sz w:val="18"/>
                <w:szCs w:val="18"/>
                <w:color w:val="auto"/>
              </w:rPr>
            </w:pP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(AH Holdings, Inc.)</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10039 Bissonnet Street, Ste. 250</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Houston, TX 77036</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Autumn Games, LLC</w:t>
            </w:r>
          </w:p>
        </w:tc>
        <w:tc>
          <w:tcPr>
            <w:tcW w:w="12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Broadcasting and Entertainment</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54 Thompson St.</w:t>
            </w:r>
          </w:p>
        </w:tc>
        <w:tc>
          <w:tcPr>
            <w:tcW w:w="1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New York, NY 10012</w:t>
            </w:r>
          </w:p>
        </w:tc>
        <w:tc>
          <w:tcPr>
            <w:tcW w:w="12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Brand Energy and Infrastructure Services, Inc.</w:t>
            </w:r>
          </w:p>
        </w:tc>
        <w:tc>
          <w:tcPr>
            <w:tcW w:w="1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Energy / Utilities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1325 Cobb International Dr., Ste. A-1</w:t>
            </w: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Kennesaw, GA 30152</w:t>
            </w:r>
          </w:p>
        </w:tc>
        <w:tc>
          <w:tcPr>
            <w:tcW w:w="1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760" w:type="dxa"/>
            <w:vAlign w:val="bottom"/>
            <w:gridSpan w:val="2"/>
          </w:tcPr>
          <w:p>
            <w:pPr>
              <w:jc w:val="right"/>
              <w:ind w:right="87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Carolina Beverage Group, LLC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Beverage, Food and Tobacco</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110 Barley Park Lane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Mooresville, NC 28115</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CEVA Group PLC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25 St. George Street</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London W1S 1FS</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United Kingdom</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Columbus International,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Communications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 205-207 Dowell House Cr.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Roebuck &amp; Palmetto Sts.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Bridgetown, Barbados, West Indies</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Convergint Technologies,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(Convergint Technologies Holdings, LLC)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1651 Wilkening Rd.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Schaumburg, IL 60173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Infonet,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4540 Honeywell Court</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Dayton, OH 45424</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CT Technologies Intermediate Holdings,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(CT Technologies Intermediate Holdings,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925 North Point Parkway, Ste. 350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Alpharetta, GA 30005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Cydcor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3011 Townsgate Road,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Westlake Village, CA 91361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Envision Acquisition Company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2181 East Aurora Road, Ste. 201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Twinsburg, OH 44087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Escort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5440 West Chester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 Chester, OH 45069-2950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Eureka Hunter Pipeline, LLC (Magnum Hunter</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Energy/Utilities 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Resources Corporation)</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777 Post Oak Blvd., Ste. 650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77056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Galls, LLC; Quartermaster,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 (Galls) Prime Investment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1340 Russell Cave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Lexington, KY 40505</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Good Sam Enterprises,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250 Parkway Dr., Ste. 270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Lincolnshire, IL 60069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Greatwide Logistics Services,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Cargo Transport</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100 HoldCo,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12404 Park Central Dr., Ste. 300s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Dallas, TX 75251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Hanley-Wood,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Thomas Circle, NW, Ste. 600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Washington, DC 20005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IDQ Holdings,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2901 West Kingsley Road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Garland, TX 75041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ILC Industries,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Electronics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c/o ILC Holdings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 Maritime Plaza, Ste. 1555</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San Francisco, CA 94111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Infusystems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31700 Research Park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Madison Heights, MI 48071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Instant Web,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7951 Powers Boulevard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Chanhassen, MN 55317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Interactive Health Solutions,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3800 North Wilke Road, Ste. 155</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Arlington Heights, IL 60004</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Jackson Hewitt Tax Services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 Sylvan Way, Ste. 301</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Parsippany, NJ 07054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9019"/>
          </w:cols>
          <w:pgMar w:left="1440" w:top="280"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r>
      <w:tr>
        <w:trPr>
          <w:trHeight w:val="189"/>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r>
      <w:tr>
        <w:trPr>
          <w:trHeight w:val="201"/>
        </w:trPr>
        <w:tc>
          <w:tcPr>
            <w:tcW w:w="40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Jacobs Entertainment, Inc.</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Hotels, Motels, Inns and Gaming</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17301 W. Colfax Ave., Ste. 250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Golden, CO 80401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JF Acquisition,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Distribution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2.5%</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1330 St. Mary’s Street, Ste. 210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Raleigh, NC 27605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Kadmon Pharmaceuticals, LLC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2.3%</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(Kadmon Holdings, LLC)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Alexandria Center for Life Sciences</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450 East 29</w:t>
            </w:r>
            <w:r>
              <w:rPr>
                <w:rFonts w:ascii="Arial" w:cs="Arial" w:eastAsia="Arial" w:hAnsi="Arial"/>
                <w:sz w:val="11"/>
                <w:szCs w:val="11"/>
                <w:color w:val="auto"/>
              </w:rPr>
              <w:t>th</w:t>
            </w:r>
            <w:r>
              <w:rPr>
                <w:rFonts w:ascii="Arial" w:cs="Arial" w:eastAsia="Arial" w:hAnsi="Arial"/>
                <w:sz w:val="18"/>
                <w:szCs w:val="18"/>
                <w:color w:val="auto"/>
              </w:rPr>
              <w:t xml:space="preserve"> Street, 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K2 Pure Solutions NoCal, L.P.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Chemicals, Plastics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3515 Massillion Road, Ste. 290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Uniontown, OH 44685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Language Line, LLC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Personal, Food and Miscelleneous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Lower Ragsdale Drive</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Services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2, Ste. 400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Monterey, CA 93940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Learning Care Group (US) No. 2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Education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(Learning Care Group (US),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21333 Haggerty Road, Ste. 300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Novi, MI 48375</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USA GP and</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LINC Energy Finance (USA),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1000 Louisiana Street, Ste. 1500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Houston, TX 77002</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LTI Flexible Products,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Chemical, Plastic and Rubber</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2.8</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600 S. McClure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Stanislaus County, CA 95357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MSpark, Inc. (f/k/a MailSouth,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5901 Highway 52 East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Helena, AL 35080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Paradigm Management Services,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Healthcare, Education and Childcare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(Paradigm Acquisition Corp.)</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1277 Treat Boulevard, Ste. 800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Walnut Creek, CA 94597</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249 W. 17</w:t>
            </w:r>
            <w:r>
              <w:rPr>
                <w:rFonts w:ascii="Arial" w:cs="Arial" w:eastAsia="Arial" w:hAnsi="Arial"/>
                <w:sz w:val="11"/>
                <w:szCs w:val="11"/>
                <w:color w:val="auto"/>
              </w:rPr>
              <w:t>th</w:t>
            </w:r>
            <w:r>
              <w:rPr>
                <w:rFonts w:ascii="Arial" w:cs="Arial" w:eastAsia="Arial" w:hAnsi="Arial"/>
                <w:sz w:val="18"/>
                <w:szCs w:val="18"/>
                <w:color w:val="auto"/>
              </w:rPr>
              <w:t xml:space="preserve"> Street, 4</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10011</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Pre-Paid Legal Services,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Personal, Food and Miscellaneous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2.2%</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(MidOcean PPL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One Pre-Paid Way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Ada, OK 74820</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23"/>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Prince Mineral Holdings Corp.</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Mining, Steel, Iron and Non-</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 East 44th Street</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Precious Metals</w:t>
            </w: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r>
      <w:tr>
        <w:trPr>
          <w:trHeight w:val="238"/>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r>
      <w:tr>
        <w:trPr>
          <w:trHeight w:val="208"/>
        </w:trPr>
        <w:tc>
          <w:tcPr>
            <w:tcW w:w="4120" w:type="dxa"/>
            <w:vAlign w:val="bottom"/>
            <w:gridSpan w:val="2"/>
          </w:tcPr>
          <w:p>
            <w:pPr>
              <w:spacing w:after="0"/>
              <w:rPr>
                <w:sz w:val="20"/>
                <w:szCs w:val="20"/>
                <w:color w:val="auto"/>
              </w:rPr>
            </w:pPr>
            <w:r>
              <w:rPr>
                <w:rFonts w:ascii="Arial" w:cs="Arial" w:eastAsia="Arial" w:hAnsi="Arial"/>
                <w:sz w:val="18"/>
                <w:szCs w:val="18"/>
                <w:color w:val="auto"/>
              </w:rPr>
              <w:t>Questex Media Group LLC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Other Media</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(QMG HoldCo, LLC)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275 Grove Street, Ste. 2-130</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Newton, MA 02466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378"/>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tcPr>
          <w:p>
            <w:pPr>
              <w:jc w:val="right"/>
              <w:ind w:right="873"/>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6"/>
              </w:rPr>
              <w:t>Voting Percentage</w:t>
            </w:r>
          </w:p>
        </w:tc>
        <w:tc>
          <w:tcPr>
            <w:tcW w:w="0" w:type="dxa"/>
            <w:vAlign w:val="bottom"/>
          </w:tcPr>
          <w:p>
            <w:pPr>
              <w:spacing w:after="0"/>
              <w:rPr>
                <w:sz w:val="1"/>
                <w:szCs w:val="1"/>
                <w:color w:val="auto"/>
              </w:rPr>
            </w:pPr>
          </w:p>
        </w:tc>
      </w:tr>
      <w:tr>
        <w:trPr>
          <w:trHeight w:val="189"/>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2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4"/>
              </w:rPr>
              <w:t>Nature of Business</w:t>
            </w:r>
          </w:p>
        </w:tc>
        <w:tc>
          <w:tcPr>
            <w:tcW w:w="2600" w:type="dxa"/>
            <w:vAlign w:val="bottom"/>
            <w:gridSpan w:val="2"/>
          </w:tcPr>
          <w:p>
            <w:pPr>
              <w:ind w:left="680"/>
              <w:spacing w:after="0"/>
              <w:rPr>
                <w:sz w:val="20"/>
                <w:szCs w:val="20"/>
                <w:color w:val="auto"/>
              </w:rPr>
            </w:pPr>
            <w:r>
              <w:rPr>
                <w:rFonts w:ascii="Arial" w:cs="Arial" w:eastAsia="Arial" w:hAnsi="Arial"/>
                <w:sz w:val="14"/>
                <w:szCs w:val="14"/>
                <w:b w:val="1"/>
                <w:bCs w:val="1"/>
                <w:color w:val="auto"/>
              </w:rPr>
              <w:t>Type of Investment</w:t>
            </w:r>
          </w:p>
        </w:tc>
        <w:tc>
          <w:tcPr>
            <w:tcW w:w="194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 xml:space="preserve">Ownership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9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ROC Finance LLC and ROC Finance 1 Corp.</w:t>
            </w:r>
          </w:p>
        </w:tc>
        <w:tc>
          <w:tcPr>
            <w:tcW w:w="120" w:type="dxa"/>
            <w:vAlign w:val="bottom"/>
            <w:tcBorders>
              <w:top w:val="single" w:sz="8" w:color="CCEEFF"/>
            </w:tcBorders>
            <w:shd w:val="clear" w:color="auto" w:fill="CCEEFF"/>
          </w:tcPr>
          <w:p>
            <w:pPr>
              <w:spacing w:after="0"/>
              <w:rPr>
                <w:sz w:val="17"/>
                <w:szCs w:val="17"/>
                <w:color w:val="auto"/>
              </w:rPr>
            </w:pPr>
          </w:p>
        </w:tc>
        <w:tc>
          <w:tcPr>
            <w:tcW w:w="26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Hotels, Motels, Inns and Gaming</w:t>
            </w:r>
          </w:p>
        </w:tc>
        <w:tc>
          <w:tcPr>
            <w:tcW w:w="1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Second Lien Secured Debt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Campus Maritus, 1086 Woodward Avenue,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Detroit, MI 48226</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TRAK Acquisition Corp.</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1001 Brickell Bay Drive, 27</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84"/>
              </w:rPr>
              <w:t>Warrants</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Miami, FL 33131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TZ Holdings, L.P. (Trizetto Group,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567 San Nicolas Drive, Ste. 360</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Newport Beach, CA 92660</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w w:val="97"/>
              </w:rPr>
              <w:t>Varel International Energy Mezzanine Funding Corp.</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Oil and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1625 West Crosby Road, Ste. 124</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Carrolton, TX 75006</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Veritext Corp. (VText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Public Square, 29</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Cleveland, OH 44113</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Vestcom Parent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Printing and Publishing</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2.7%</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(Vestcom International, Inc.)</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7304 Kanis Road</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Little Rock, AR 72204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VRide Holdings,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Personal Transportation</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1220 Rankin Drive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Troy, MI 48083</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Worley Claims Services, LLC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Insurance</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303 Timber Creek,</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Hammond, LA 70403</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AKA Diversified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Retail</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7505 South Louise Avenue,</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Sioux Falls, SD 57108</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Companies 5% to 24% Owned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DirectBuy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Consumer Products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8450 Broadway</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Merrillville, IN 46410</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EnviroSolutions Holdings,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Environmental Services</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13.7%</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11220 Asset Loop, Ste. 201</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Manassas, VA 20109</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Technologies,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Aerospace and Defense</w:t>
            </w: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22.0%</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 Tech Holdings, Inc.)</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1234 Atlantic Street</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Kansas City, MO 64116</w:t>
            </w:r>
          </w:p>
        </w:tc>
        <w:tc>
          <w:tcPr>
            <w:tcW w:w="2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9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Performance Holdings, Inc.</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Leisure, Amusement, Motion</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5.9%</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(NCP-Performance)</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Pictures, Entertainment</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One Performance Way</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Chapel Hill, NC 27514</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27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Auto Sector</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 New Britain Blvd.</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Chalfont, PA 18914</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Companies 25% or More Owned</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20" w:type="dxa"/>
            <w:vAlign w:val="bottom"/>
            <w:vMerge w:val="restart"/>
          </w:tcPr>
          <w:p>
            <w:pPr>
              <w:spacing w:after="0"/>
              <w:rPr>
                <w:sz w:val="13"/>
                <w:szCs w:val="13"/>
                <w:color w:val="auto"/>
              </w:rPr>
            </w:pPr>
          </w:p>
        </w:tc>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SuttonPark Holdings, Inc.</w:t>
            </w:r>
          </w:p>
        </w:tc>
        <w:tc>
          <w:tcPr>
            <w:tcW w:w="27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Business Services</w:t>
            </w: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100.0%</w:t>
            </w:r>
            <w:r>
              <w:rPr>
                <w:rFonts w:ascii="Arial" w:cs="Arial" w:eastAsia="Arial" w:hAnsi="Arial"/>
                <w:sz w:val="11"/>
                <w:szCs w:val="11"/>
                <w:color w:val="auto"/>
                <w:w w:val="92"/>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Subordinated Debt</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10022</w:t>
            </w:r>
          </w:p>
        </w:tc>
        <w:tc>
          <w:tcPr>
            <w:tcW w:w="2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Common Equity</w:t>
            </w: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UP Support Services, Inc.</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Oil &amp; Gas</w:t>
            </w: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First Lien Secured Debt</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30.2%</w:t>
            </w:r>
            <w:r>
              <w:rPr>
                <w:rFonts w:ascii="Arial" w:cs="Arial" w:eastAsia="Arial" w:hAnsi="Arial"/>
                <w:sz w:val="11"/>
                <w:szCs w:val="11"/>
                <w:color w:val="auto"/>
                <w:w w:val="91"/>
              </w:rPr>
              <w:t>(2),(3)</w:t>
            </w:r>
          </w:p>
        </w:tc>
        <w:tc>
          <w:tcPr>
            <w:tcW w:w="0" w:type="dxa"/>
            <w:vAlign w:val="bottom"/>
          </w:tcPr>
          <w:p>
            <w:pPr>
              <w:spacing w:after="0"/>
              <w:rPr>
                <w:sz w:val="1"/>
                <w:szCs w:val="1"/>
                <w:color w:val="auto"/>
              </w:rPr>
            </w:pPr>
          </w:p>
        </w:tc>
      </w:tr>
      <w:tr>
        <w:trPr>
          <w:trHeight w:val="216"/>
        </w:trPr>
        <w:tc>
          <w:tcPr>
            <w:tcW w:w="4120" w:type="dxa"/>
            <w:vAlign w:val="bottom"/>
            <w:gridSpan w:val="3"/>
          </w:tcPr>
          <w:p>
            <w:pPr>
              <w:spacing w:after="0"/>
              <w:rPr>
                <w:sz w:val="20"/>
                <w:szCs w:val="20"/>
                <w:color w:val="auto"/>
              </w:rPr>
            </w:pPr>
            <w:r>
              <w:rPr>
                <w:rFonts w:ascii="Arial" w:cs="Arial" w:eastAsia="Arial" w:hAnsi="Arial"/>
                <w:sz w:val="18"/>
                <w:szCs w:val="18"/>
                <w:color w:val="auto"/>
              </w:rPr>
              <w:t>4848 Loop Central Drive</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Second Lien Secured Debt</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Houston, TX 77081</w:t>
            </w:r>
          </w:p>
        </w:tc>
        <w:tc>
          <w:tcPr>
            <w:tcW w:w="2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Preferred Equity</w:t>
            </w: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151765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where we have voting rights.</w:t>
      </w:r>
    </w:p>
    <w:p>
      <w:pPr>
        <w:ind w:left="340" w:hanging="332"/>
        <w:spacing w:after="0" w:line="221"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hold voting seats on portfolio companies’ boards of directors.</w:t>
      </w:r>
    </w:p>
    <w:p>
      <w:pPr>
        <w:ind w:left="340" w:hanging="332"/>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Indicates that we provide managerial assistance. See “Certain Relationships and Transactions” for more information.</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ectPr>
          <w:pgSz w:w="11900" w:h="16838" w:orient="portrait"/>
          <w:cols w:equalWidth="0" w:num="1">
            <w:col w:w="11420"/>
          </w:cols>
          <w:pgMar w:left="240" w:top="459" w:right="239" w:bottom="144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Classification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0</wp:posOffset>
            </wp:positionV>
            <wp:extent cx="11836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49" w:lineRule="exact"/>
        <w:rPr>
          <w:sz w:val="20"/>
          <w:szCs w:val="20"/>
          <w:color w:val="auto"/>
        </w:rPr>
      </w:pPr>
    </w:p>
    <w:p>
      <w:pPr>
        <w:spacing w:after="0"/>
        <w:tabs>
          <w:tab w:leader="none" w:pos="1460" w:val="left"/>
        </w:tabs>
        <w:rPr>
          <w:sz w:val="20"/>
          <w:szCs w:val="20"/>
          <w:color w:val="auto"/>
        </w:rPr>
      </w:pPr>
      <w:r>
        <w:rPr>
          <w:rFonts w:ascii="Arial" w:cs="Arial" w:eastAsia="Arial" w:hAnsi="Arial"/>
          <w:sz w:val="11"/>
          <w:szCs w:val="11"/>
          <w:b w:val="1"/>
          <w:bCs w:val="1"/>
          <w:color w:val="auto"/>
        </w:rPr>
        <w:t>2013</w:t>
      </w:r>
      <w:r>
        <w:rPr>
          <w:sz w:val="20"/>
          <w:szCs w:val="20"/>
          <w:color w:val="auto"/>
        </w:rPr>
        <w:tab/>
      </w:r>
      <w:r>
        <w:rPr>
          <w:rFonts w:ascii="Arial" w:cs="Arial" w:eastAsia="Arial" w:hAnsi="Arial"/>
          <w:sz w:val="11"/>
          <w:szCs w:val="11"/>
          <w:b w:val="1"/>
          <w:bCs w:val="1"/>
          <w:color w:val="auto"/>
        </w:rPr>
        <w:t>2012</w:t>
      </w:r>
    </w:p>
    <w:p>
      <w:pPr>
        <w:spacing w:after="0" w:line="55" w:lineRule="exact"/>
        <w:rPr>
          <w:sz w:val="20"/>
          <w:szCs w:val="20"/>
          <w:color w:val="auto"/>
        </w:rPr>
      </w:pPr>
    </w:p>
    <w:p>
      <w:pPr>
        <w:sectPr>
          <w:pgSz w:w="11900" w:h="16838" w:orient="portrait"/>
          <w:cols w:equalWidth="0" w:num="2">
            <w:col w:w="8680" w:space="720"/>
            <w:col w:w="20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60" w:type="dxa"/>
            <w:vAlign w:val="bottom"/>
            <w:shd w:val="clear" w:color="auto" w:fill="000000"/>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0"/>
        </w:trPr>
        <w:tc>
          <w:tcPr>
            <w:tcW w:w="49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Personal, Food and Miscellaneous Services</w:t>
            </w:r>
          </w:p>
        </w:tc>
        <w:tc>
          <w:tcPr>
            <w:tcW w:w="39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960"/>
              <w:spacing w:after="0" w:line="189" w:lineRule="exact"/>
              <w:rPr>
                <w:sz w:val="20"/>
                <w:szCs w:val="20"/>
                <w:color w:val="auto"/>
              </w:rPr>
            </w:pPr>
            <w:r>
              <w:rPr>
                <w:rFonts w:ascii="Arial" w:cs="Arial" w:eastAsia="Arial" w:hAnsi="Arial"/>
                <w:sz w:val="18"/>
                <w:szCs w:val="18"/>
                <w:color w:val="auto"/>
              </w:rPr>
              <w:t>11%</w:t>
            </w: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Printing and Publishing</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Electronics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Healthcare, Education and Childcare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Chemicals, Plastics and Rubber</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Hotels, Motels, Inns and Gaming</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Media</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Auto Sector</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Distribution</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Environmental Services</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Education</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Insurance</w:t>
            </w:r>
          </w:p>
        </w:tc>
        <w:tc>
          <w:tcPr>
            <w:tcW w:w="47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3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Buildings and Real Estate</w:t>
            </w:r>
          </w:p>
        </w:tc>
        <w:tc>
          <w:tcPr>
            <w:tcW w:w="3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3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Telecommunications</w:t>
            </w:r>
          </w:p>
        </w:tc>
        <w:tc>
          <w:tcPr>
            <w:tcW w:w="3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0" w:type="dxa"/>
            <w:vAlign w:val="bottom"/>
            <w:gridSpan w:val="2"/>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r>
      <w:tr>
        <w:trPr>
          <w:trHeight w:val="221"/>
        </w:trPr>
        <w:tc>
          <w:tcPr>
            <w:tcW w:w="4960" w:type="dxa"/>
            <w:vAlign w:val="bottom"/>
          </w:tcPr>
          <w:p>
            <w:pPr>
              <w:spacing w:after="0"/>
              <w:rPr>
                <w:sz w:val="20"/>
                <w:szCs w:val="20"/>
                <w:color w:val="auto"/>
              </w:rPr>
            </w:pPr>
            <w:r>
              <w:rPr>
                <w:rFonts w:ascii="Arial" w:cs="Arial" w:eastAsia="Arial" w:hAnsi="Arial"/>
                <w:sz w:val="18"/>
                <w:szCs w:val="18"/>
                <w:color w:val="auto"/>
              </w:rPr>
              <w:t>Total</w:t>
            </w:r>
          </w:p>
        </w:tc>
        <w:tc>
          <w:tcPr>
            <w:tcW w:w="5860" w:type="dxa"/>
            <w:vAlign w:val="bottom"/>
            <w:gridSpan w:val="4"/>
          </w:tcPr>
          <w:p>
            <w:pPr>
              <w:jc w:val="right"/>
              <w:ind w:right="960"/>
              <w:spacing w:after="0"/>
              <w:rPr>
                <w:sz w:val="20"/>
                <w:szCs w:val="20"/>
                <w:color w:val="auto"/>
              </w:rPr>
            </w:pPr>
            <w:r>
              <w:rPr>
                <w:rFonts w:ascii="Arial" w:cs="Arial" w:eastAsia="Arial" w:hAnsi="Arial"/>
                <w:sz w:val="18"/>
                <w:szCs w:val="18"/>
                <w:color w:val="auto"/>
              </w:rPr>
              <w:t>100%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372"/>
        </w:trPr>
        <w:tc>
          <w:tcPr>
            <w:tcW w:w="4960" w:type="dxa"/>
            <w:vAlign w:val="bottom"/>
          </w:tcPr>
          <w:p>
            <w:pPr>
              <w:spacing w:after="0"/>
              <w:rPr>
                <w:sz w:val="24"/>
                <w:szCs w:val="24"/>
                <w:color w:val="auto"/>
              </w:rPr>
            </w:pPr>
          </w:p>
        </w:tc>
        <w:tc>
          <w:tcPr>
            <w:tcW w:w="3980" w:type="dxa"/>
            <w:vAlign w:val="bottom"/>
          </w:tcPr>
          <w:p>
            <w:pPr>
              <w:jc w:val="right"/>
              <w:ind w:right="3052"/>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96" w:lineRule="exact"/>
        <w:rPr>
          <w:sz w:val="20"/>
          <w:szCs w:val="20"/>
          <w:color w:val="auto"/>
        </w:rPr>
      </w:pPr>
    </w:p>
    <w:p>
      <w:pPr>
        <w:ind w:right="280" w:firstLine="571"/>
        <w:spacing w:after="0" w:line="306" w:lineRule="auto"/>
        <w:rPr>
          <w:sz w:val="20"/>
          <w:szCs w:val="20"/>
          <w:color w:val="auto"/>
        </w:rPr>
      </w:pPr>
      <w:r>
        <w:rPr>
          <w:rFonts w:ascii="Arial" w:cs="Arial" w:eastAsia="Arial" w:hAnsi="Arial"/>
          <w:sz w:val="16"/>
          <w:szCs w:val="16"/>
          <w:color w:val="auto"/>
        </w:rPr>
        <w:t>Our business and affairs are managed under the direction of our board of directors. The board of directors currently consists of five members, four of whom are not “interested persons” of PennantPark Investment as defined in Section 2(a)(19) of the 1940 Act. We refer to these individuals as our Independent Directors. Our board of directors elects our officers, who serve at the discretion of the board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6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Director</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Expiration</w:t>
            </w:r>
          </w:p>
        </w:tc>
        <w:tc>
          <w:tcPr>
            <w:tcW w:w="0" w:type="dxa"/>
            <w:vAlign w:val="bottom"/>
          </w:tcPr>
          <w:p>
            <w:pPr>
              <w:spacing w:after="0"/>
              <w:rPr>
                <w:sz w:val="1"/>
                <w:szCs w:val="1"/>
                <w:color w:val="auto"/>
              </w:rPr>
            </w:pPr>
          </w:p>
        </w:tc>
      </w:tr>
      <w:tr>
        <w:trPr>
          <w:trHeight w:val="237"/>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Age</w:t>
            </w:r>
          </w:p>
        </w:tc>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Since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0"/>
              </w:rPr>
              <w:t>of Term</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74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 Katz</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H. Penn</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Chairman of the Board and Chief Executive Officer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Aviv Efrat</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Financial Officer and Treasurer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information pertains to our officer who is not a director of PennantPark Investment.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2"/>
              </w:rPr>
              <w:t>Age</w:t>
            </w:r>
          </w:p>
        </w:tc>
        <w:tc>
          <w:tcPr>
            <w:tcW w:w="5420" w:type="dxa"/>
            <w:vAlign w:val="bottom"/>
            <w:gridSpan w:val="2"/>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217"/>
        </w:trPr>
        <w:tc>
          <w:tcPr>
            <w:tcW w:w="5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Guy F. Talarico</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CEEFF"/>
            </w:tcBorders>
            <w:shd w:val="clear" w:color="auto" w:fill="CCEEFF"/>
          </w:tcPr>
          <w:p>
            <w:pPr>
              <w:spacing w:after="0"/>
              <w:rPr>
                <w:sz w:val="18"/>
                <w:szCs w:val="18"/>
                <w:color w:val="auto"/>
              </w:rPr>
            </w:pPr>
          </w:p>
        </w:tc>
        <w:tc>
          <w:tcPr>
            <w:tcW w:w="5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Compliance Officer</w:t>
            </w:r>
          </w:p>
        </w:tc>
      </w:tr>
      <w:tr>
        <w:trPr>
          <w:trHeight w:val="61"/>
        </w:trPr>
        <w:tc>
          <w:tcPr>
            <w:tcW w:w="5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3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executive office is located at 590 Madison Avenue, 15th Floor, New York, New York 10022.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 of Chief Executive Officer and Chairman of the board of directors results in efficiencies in managing us by eliminating the need to transfer substantial information quickly 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the Administrator, is appropriate in light of the services that the Investment Adviser and the Administrator provide us and the potential conflicts of interest that could arise from these relationships.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three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As described below in more detail under “Audit Committee,” “Nominating and Corporate Governance Committee” and “Compensation Committee,” the board of directors’ Audit Committee, Nominating and Corporate Governance Committee and Compensation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board of directors and our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of directors with matters related to compensation, as directed by the board of directors. The Audit Committee, Nominating and Corporate Governance Committee and Compensation Committee consist solely of Independent Directors.</w:t>
      </w:r>
    </w:p>
    <w:p>
      <w:pPr>
        <w:spacing w:after="0" w:line="46"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the compliance policies and procedures and certain of its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37"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our business and operations. For example, our ability to incur indebtedness is limited by the asset coverage requirements set forth in the 1940 Act (including any relief provided by the SEC thereto),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35"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believe that the extent of the board of directors’ and its committees’ roles in risk oversight complements the board of directors’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our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63"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 their respective risk oversight functions, including through formal annual assessments of performance, to ensure that they meet our needs.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429"/>
        <w:spacing w:after="0" w:line="294" w:lineRule="auto"/>
        <w:rPr>
          <w:sz w:val="20"/>
          <w:szCs w:val="20"/>
          <w:color w:val="auto"/>
        </w:rPr>
      </w:pPr>
      <w:r>
        <w:rPr>
          <w:rFonts w:ascii="Arial" w:cs="Arial" w:eastAsia="Arial" w:hAnsi="Arial"/>
          <w:sz w:val="16"/>
          <w:szCs w:val="16"/>
          <w:color w:val="auto"/>
        </w:rPr>
        <w:t>Adam K. Bernstein (50), Director. Mr. Bernstein became a Director of PennantPark Investment and PennantPark Floating Rate Capital Ltd. in February 2007 and October 2010, respectively. Mr. Bernstein is President of The Bernstein Companies, a Washington, D.C.-based real estate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35"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Marshall Brozost (46), Director. Mr. Brozost became a Director of PennantPark Investment Corporation and PennantPark Floating Rate Capital Ltd. in February 2007 and October 2010, respectively. Since May 2012, Mr. Brozost has been a Partner at Schulte Roth &amp; Zabel LLP, where he practices in the real estate and private equity groups. Prior to Schulte Roth &amp; Zabel, Mr. Brozost practiced law at O’Melveny &amp; Myers LLP from 2001 to 2004; Solomon &amp; Weinberg LLP from 2004 to 2005; and Dewey &amp; LeBoeuf LLP from 2005 to 2012. Mr. Brozost also served as a Vice President of Nomura Asset Capital Corporation from 1997 through 2000.</w:t>
      </w:r>
    </w:p>
    <w:p>
      <w:pPr>
        <w:sectPr>
          <w:pgSz w:w="11900" w:h="16838" w:orient="portrait"/>
          <w:cols w:equalWidth="0" w:num="1">
            <w:col w:w="11420"/>
          </w:cols>
          <w:pgMar w:left="240" w:top="459"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459"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571"/>
        <w:spacing w:after="0" w:line="291" w:lineRule="auto"/>
        <w:rPr>
          <w:sz w:val="20"/>
          <w:szCs w:val="20"/>
          <w:color w:val="auto"/>
        </w:rPr>
      </w:pPr>
      <w:r>
        <w:rPr>
          <w:rFonts w:ascii="Arial" w:cs="Arial" w:eastAsia="Arial" w:hAnsi="Arial"/>
          <w:sz w:val="16"/>
          <w:szCs w:val="16"/>
          <w:color w:val="auto"/>
        </w:rPr>
        <w:t>Jeffrey Flug (51), Director. Mr. Flug became a Director of PennantPark Investment and PennantPark Floating Rate Capital Ltd. in February 2007 and October 2010, respectively. Since October 2012, Mr. Flug has been a director of Sears Hometown and Outlet Stores, Inc.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3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Samuel L. Katz (48), Director. Mr. Katz became a Director of PennantPark Investment and PennantPark Floating Rate Capital Ltd. in February 2007 and October 2010,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140" w:firstLine="571"/>
        <w:spacing w:after="0" w:line="288" w:lineRule="auto"/>
        <w:rPr>
          <w:sz w:val="20"/>
          <w:szCs w:val="20"/>
          <w:color w:val="auto"/>
        </w:rPr>
      </w:pPr>
      <w:r>
        <w:rPr>
          <w:rFonts w:ascii="Arial" w:cs="Arial" w:eastAsia="Arial" w:hAnsi="Arial"/>
          <w:sz w:val="16"/>
          <w:szCs w:val="16"/>
          <w:color w:val="auto"/>
        </w:rPr>
        <w:t>Arthur H. Penn (50), Founder, Chief Executive Officer and Chairman of the board of directors. Mr. Penn became the Chief Executive Officer and a Director of PennantPark Investment and PennantPark Floating Rate Capital Ltd. at their inception in January 2007 and October 2010, respectively. He also founded and became Managing Member of PennantPark Investment Advisers in January 2007.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140" w:firstLine="571"/>
        <w:spacing w:after="0" w:line="254" w:lineRule="auto"/>
        <w:rPr>
          <w:sz w:val="20"/>
          <w:szCs w:val="20"/>
          <w:color w:val="auto"/>
        </w:rPr>
      </w:pPr>
      <w:r>
        <w:rPr>
          <w:rFonts w:ascii="Arial" w:cs="Arial" w:eastAsia="Arial" w:hAnsi="Arial"/>
          <w:sz w:val="18"/>
          <w:szCs w:val="18"/>
          <w:color w:val="auto"/>
        </w:rPr>
        <w:t>Aviv Efrat (49), Chief Financial Officer and Treasurer. Mr. Efrat became Chief Financial Officer and Treasurer of PennantPark Investment and PennantPark Floating Rate Capital Ltd. in February 2007 and October 2010,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6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Guy F. Talarico (58), Chief Compliance Officer. Mr. Talarico became Chief Compliance Officer of PennantPark Investment and PennantPark Floating Rate Capital Ltd. in May 2008 and March 2011, respectively. Mr. Talarico has served as Chief Compliance Officer for investment advisers, private funds and investment companies since 2004 when he founded Alaric Compliance Services, LLC.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For the fiscal year ended September 30, 2013,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 each director to make a diligent effort to attend all board of directors and committee meetings, and encourage directors to attend the annual meeting of stockholders.</w:t>
      </w:r>
    </w:p>
    <w:p>
      <w:pPr>
        <w:sectPr>
          <w:pgSz w:w="11900" w:h="16838" w:orient="portrait"/>
          <w:cols w:equalWidth="0" w:num="1">
            <w:col w:w="11420"/>
          </w:cols>
          <w:pgMar w:left="240" w:top="459"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 xml:space="preserve">The members of the Audit Committee are Messrs. Bernstein, Brozost, Flug and Katz, each of whom is independent for purposes of the 1940 Act and the NASDAQ and NYSE corporate governance rules. Messrs. Flug and Katz serve as Co-Chairmen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the auditors our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 our board of directors in fair value pricing of debt and equity securities. The board of directors and Audit Committee use the services of nationally recognized independent valuation firms to help them determine the fair value of certain securities. Our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6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 xml:space="preserve">The members of the Nominating and Corporate Governance Committee are Messrs. Bernstein, Brozost, Flug and Katz, each of whom is independent for purposes of the 1940 Act and the NASDAQ and NYSE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of directors and our management. The Nominating and Corporate Governance Committee has adopted a written Nominating and Corporate Governance Committee Charter that is available on our website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p>
    <w:p>
      <w:pPr>
        <w:spacing w:after="0" w:line="37"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our bylaws, the Nominating and Corporate Governance Committee Charter and any applicable law, rule or regulation regarding director nominations. Nominations should be sent to Thomas Friedmann, Secretary, c/o PennantPark Investment Corporation, 590 Madison Avenue, 15th Floor, New York, New York 10022. When submitting a nomination to us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37"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Nominating and Corporate Governance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ectPr>
          <w:pgSz w:w="11900" w:h="16838" w:orient="portrait"/>
          <w:cols w:equalWidth="0" w:num="1">
            <w:col w:w="11400"/>
          </w:cols>
          <w:pgMar w:left="240" w:top="459"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60" w:firstLine="571"/>
        <w:spacing w:after="0" w:line="314" w:lineRule="auto"/>
        <w:rPr>
          <w:sz w:val="20"/>
          <w:szCs w:val="20"/>
          <w:color w:val="auto"/>
        </w:rPr>
      </w:pPr>
      <w:r>
        <w:rPr>
          <w:rFonts w:ascii="Arial" w:cs="Arial" w:eastAsia="Arial" w:hAnsi="Arial"/>
          <w:sz w:val="15"/>
          <w:szCs w:val="15"/>
          <w:color w:val="auto"/>
        </w:rPr>
        <w:t xml:space="preserve">The Compensation Committee is responsible for determining, or recommending to the board of directors for determining, the compensation of the Company’s chief executive officer and all other executive officers, paid directly by the Company, if any. The Compensation Committee also assists the board of directors with all matters related to compensation, as directed by the board of directors. The current members of the Compensation Committee are Messrs. Bernstein, Brozost, Flug and Katz, each of whom is not an interested person of us for purposes of the 1940 Act and the NASDAQ corporate governance rules. As discussed below, none of our executive officers is directly compensated by the Company and, as a result, the Compensation Committee does not produce and/or review and report on executive compensation practices. The Compensation Committee Charter is available on the Company’s website </w:t>
      </w:r>
      <w:r>
        <w:rPr>
          <w:rFonts w:ascii="Arial" w:cs="Arial" w:eastAsia="Arial" w:hAnsi="Arial"/>
          <w:sz w:val="15"/>
          <w:szCs w:val="15"/>
          <w:u w:val="single" w:color="auto"/>
          <w:color w:val="auto"/>
        </w:rPr>
        <w:t>(</w:t>
      </w:r>
      <w:r>
        <w:rPr>
          <w:rFonts w:ascii="Arial" w:cs="Arial" w:eastAsia="Arial" w:hAnsi="Arial"/>
          <w:sz w:val="15"/>
          <w:szCs w:val="15"/>
          <w:i w:val="1"/>
          <w:iCs w:val="1"/>
          <w:u w:val="single" w:color="auto"/>
          <w:color w:val="auto"/>
        </w:rPr>
        <w:t>www.pennantpark.com</w:t>
      </w:r>
      <w:r>
        <w:rPr>
          <w:rFonts w:ascii="Arial" w:cs="Arial" w:eastAsia="Arial" w:hAnsi="Arial"/>
          <w:sz w:val="15"/>
          <w:szCs w:val="15"/>
          <w:u w:val="single" w:color="auto"/>
          <w:color w:val="auto"/>
        </w:rPr>
        <w:t>)</w:t>
      </w:r>
      <w:r>
        <w:rPr>
          <w:rFonts w:ascii="Arial" w:cs="Arial" w:eastAsia="Arial" w:hAnsi="Arial"/>
          <w:sz w:val="15"/>
          <w:szCs w:val="15"/>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2013. No compensation is paid directly by us to any interested director or executive officer of the Company.</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ind w:left="500"/>
              <w:spacing w:after="0"/>
              <w:rPr>
                <w:sz w:val="20"/>
                <w:szCs w:val="20"/>
                <w:color w:val="auto"/>
              </w:rPr>
            </w:pPr>
            <w:r>
              <w:rPr>
                <w:rFonts w:ascii="Arial" w:cs="Arial" w:eastAsia="Arial" w:hAnsi="Arial"/>
                <w:sz w:val="14"/>
                <w:szCs w:val="14"/>
                <w:b w:val="1"/>
                <w:bCs w:val="1"/>
                <w:color w:val="auto"/>
                <w:w w:val="88"/>
              </w:rPr>
              <w:t>PennantPark Investment Corporation</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80" w:type="dxa"/>
            <w:vAlign w:val="bottom"/>
            <w:gridSpan w:val="7"/>
          </w:tcPr>
          <w:p>
            <w:pPr>
              <w:ind w:left="260"/>
              <w:spacing w:after="0"/>
              <w:rPr>
                <w:sz w:val="20"/>
                <w:szCs w:val="20"/>
                <w:color w:val="auto"/>
              </w:rPr>
            </w:pPr>
            <w:r>
              <w:rPr>
                <w:rFonts w:ascii="Arial" w:cs="Arial" w:eastAsia="Arial" w:hAnsi="Arial"/>
                <w:sz w:val="14"/>
                <w:szCs w:val="14"/>
                <w:b w:val="1"/>
                <w:bCs w:val="1"/>
                <w:color w:val="auto"/>
              </w:rPr>
              <w:t>PennantPark Floating Rate Capital, Ltd.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Pension or</w:t>
            </w:r>
          </w:p>
        </w:tc>
        <w:tc>
          <w:tcPr>
            <w:tcW w:w="1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Aggregate</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Aggregate</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retirement</w:t>
            </w:r>
          </w:p>
        </w:tc>
        <w:tc>
          <w:tcPr>
            <w:tcW w:w="18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benefits accrued</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1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2"/>
              </w:rPr>
              <w:t>benefits accrued</w:t>
            </w:r>
          </w:p>
        </w:tc>
        <w:tc>
          <w:tcPr>
            <w:tcW w:w="180" w:type="dxa"/>
            <w:vAlign w:val="bottom"/>
          </w:tcPr>
          <w:p>
            <w:pPr>
              <w:spacing w:after="0"/>
              <w:rPr>
                <w:sz w:val="12"/>
                <w:szCs w:val="12"/>
                <w:color w:val="auto"/>
              </w:rPr>
            </w:pPr>
          </w:p>
        </w:tc>
        <w:tc>
          <w:tcPr>
            <w:tcW w:w="6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paid to</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as part of our</w:t>
            </w:r>
          </w:p>
        </w:tc>
        <w:tc>
          <w:tcPr>
            <w:tcW w:w="200" w:type="dxa"/>
            <w:vAlign w:val="bottom"/>
          </w:tcPr>
          <w:p>
            <w:pPr>
              <w:spacing w:after="0"/>
              <w:rPr>
                <w:sz w:val="11"/>
                <w:szCs w:val="11"/>
                <w:color w:val="auto"/>
              </w:rPr>
            </w:pPr>
          </w:p>
        </w:tc>
        <w:tc>
          <w:tcPr>
            <w:tcW w:w="10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Total paid to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from the</w:t>
            </w: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7"/>
              </w:rPr>
              <w:t>as part of our</w:t>
            </w:r>
          </w:p>
        </w:tc>
        <w:tc>
          <w:tcPr>
            <w:tcW w:w="18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9"/>
              </w:rPr>
              <w:t>director/</w:t>
            </w:r>
          </w:p>
        </w:tc>
        <w:tc>
          <w:tcPr>
            <w:tcW w:w="0" w:type="dxa"/>
            <w:vAlign w:val="bottom"/>
          </w:tcPr>
          <w:p>
            <w:pPr>
              <w:spacing w:after="0"/>
              <w:rPr>
                <w:sz w:val="1"/>
                <w:szCs w:val="1"/>
                <w:color w:val="auto"/>
              </w:rPr>
            </w:pPr>
          </w:p>
        </w:tc>
      </w:tr>
      <w:tr>
        <w:trPr>
          <w:trHeight w:val="162"/>
        </w:trPr>
        <w:tc>
          <w:tcPr>
            <w:tcW w:w="4500" w:type="dxa"/>
            <w:vAlign w:val="bottom"/>
            <w:gridSpan w:val="6"/>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Company</w:t>
            </w:r>
          </w:p>
        </w:tc>
        <w:tc>
          <w:tcPr>
            <w:tcW w:w="114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w w:val="95"/>
              </w:rPr>
              <w:t>expense</w:t>
            </w:r>
            <w:r>
              <w:rPr>
                <w:rFonts w:ascii="Arial" w:cs="Arial" w:eastAsia="Arial" w:hAnsi="Arial"/>
                <w:sz w:val="18"/>
                <w:szCs w:val="18"/>
                <w:b w:val="1"/>
                <w:bCs w:val="1"/>
                <w:color w:val="auto"/>
                <w:w w:val="95"/>
                <w:vertAlign w:val="superscript"/>
              </w:rPr>
              <w:t>(1)</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Company</w:t>
            </w: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2"/>
                <w:szCs w:val="12"/>
                <w:b w:val="1"/>
                <w:bCs w:val="1"/>
                <w:color w:val="auto"/>
                <w:w w:val="92"/>
              </w:rPr>
              <w:t>expense</w:t>
            </w:r>
            <w:r>
              <w:rPr>
                <w:rFonts w:ascii="Arial" w:cs="Arial" w:eastAsia="Arial" w:hAnsi="Arial"/>
                <w:sz w:val="18"/>
                <w:szCs w:val="18"/>
                <w:b w:val="1"/>
                <w:bCs w:val="1"/>
                <w:color w:val="auto"/>
                <w:w w:val="92"/>
                <w:vertAlign w:val="superscript"/>
              </w:rPr>
              <w:t>(1)</w:t>
            </w:r>
          </w:p>
        </w:tc>
        <w:tc>
          <w:tcPr>
            <w:tcW w:w="1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480" w:type="dxa"/>
            <w:vAlign w:val="bottom"/>
            <w:gridSpan w:val="5"/>
            <w:shd w:val="clear" w:color="auto" w:fill="CCEEFF"/>
          </w:tcPr>
          <w:p>
            <w:pPr>
              <w:spacing w:after="0" w:line="149" w:lineRule="exact"/>
              <w:rPr>
                <w:sz w:val="20"/>
                <w:szCs w:val="20"/>
                <w:color w:val="auto"/>
              </w:rPr>
            </w:pPr>
            <w:r>
              <w:rPr>
                <w:rFonts w:ascii="Arial" w:cs="Arial" w:eastAsia="Arial" w:hAnsi="Arial"/>
                <w:sz w:val="16"/>
                <w:szCs w:val="16"/>
                <w:b w:val="1"/>
                <w:bCs w:val="1"/>
                <w:color w:val="auto"/>
              </w:rPr>
              <w:t>Independent directors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2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tcPr>
          <w:p>
            <w:pPr>
              <w:jc w:val="right"/>
              <w:ind w:right="380"/>
              <w:spacing w:after="0"/>
              <w:rPr>
                <w:sz w:val="20"/>
                <w:szCs w:val="20"/>
                <w:color w:val="auto"/>
              </w:rPr>
            </w:pPr>
            <w:r>
              <w:rPr>
                <w:rFonts w:ascii="Arial" w:cs="Arial" w:eastAsia="Arial" w:hAnsi="Arial"/>
                <w:sz w:val="18"/>
                <w:szCs w:val="18"/>
                <w:color w:val="auto"/>
              </w:rPr>
              <w:t>102,500</w:t>
            </w:r>
          </w:p>
        </w:tc>
        <w:tc>
          <w:tcPr>
            <w:tcW w:w="114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tcBorders>
              <w:top w:val="single" w:sz="8" w:color="CCEEFF"/>
            </w:tcBorders>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w w:val="82"/>
              </w:rPr>
              <w:t>102,500</w:t>
            </w:r>
          </w:p>
        </w:tc>
        <w:tc>
          <w:tcPr>
            <w:tcW w:w="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57,500</w:t>
            </w:r>
          </w:p>
        </w:tc>
        <w:tc>
          <w:tcPr>
            <w:tcW w:w="3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tcBorders>
              <w:top w:val="single" w:sz="8" w:color="CCEEFF"/>
            </w:tcBorders>
            <w:gridSpan w:val="2"/>
          </w:tcPr>
          <w:p>
            <w:pPr>
              <w:jc w:val="center"/>
              <w:ind w:left="92"/>
              <w:spacing w:after="0"/>
              <w:rPr>
                <w:sz w:val="20"/>
                <w:szCs w:val="20"/>
                <w:color w:val="auto"/>
              </w:rPr>
            </w:pPr>
            <w:r>
              <w:rPr>
                <w:rFonts w:ascii="Arial" w:cs="Arial" w:eastAsia="Arial" w:hAnsi="Arial"/>
                <w:sz w:val="18"/>
                <w:szCs w:val="18"/>
                <w:color w:val="auto"/>
                <w:w w:val="89"/>
              </w:rPr>
              <w:t>$57,500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Marshall Brozost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82"/>
              </w:rPr>
              <w:t>102,500</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$57,500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tcPr>
          <w:p>
            <w:pPr>
              <w:jc w:val="center"/>
              <w:ind w:left="92"/>
              <w:spacing w:after="0"/>
              <w:rPr>
                <w:sz w:val="20"/>
                <w:szCs w:val="20"/>
                <w:color w:val="auto"/>
              </w:rPr>
            </w:pPr>
            <w:r>
              <w:rPr>
                <w:rFonts w:ascii="Arial" w:cs="Arial" w:eastAsia="Arial" w:hAnsi="Arial"/>
                <w:sz w:val="18"/>
                <w:szCs w:val="18"/>
                <w:color w:val="auto"/>
                <w:w w:val="89"/>
              </w:rPr>
              <w:t>$60,000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Samuel L. Katz</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112,500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112,500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760" w:type="dxa"/>
            <w:vAlign w:val="bottom"/>
            <w:gridSpan w:val="2"/>
            <w:shd w:val="clear" w:color="auto" w:fill="CCEEFF"/>
          </w:tcPr>
          <w:p>
            <w:pPr>
              <w:jc w:val="center"/>
              <w:ind w:left="92"/>
              <w:spacing w:after="0"/>
              <w:rPr>
                <w:sz w:val="20"/>
                <w:szCs w:val="20"/>
                <w:color w:val="auto"/>
              </w:rPr>
            </w:pPr>
            <w:r>
              <w:rPr>
                <w:rFonts w:ascii="Arial" w:cs="Arial" w:eastAsia="Arial" w:hAnsi="Arial"/>
                <w:sz w:val="18"/>
                <w:szCs w:val="18"/>
                <w:color w:val="auto"/>
                <w:w w:val="89"/>
              </w:rPr>
              <w:t>$60,000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Interested director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Arthur H. Penn</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80" w:type="dxa"/>
            <w:vAlign w:val="bottom"/>
            <w:gridSpan w:val="5"/>
          </w:tcPr>
          <w:p>
            <w:pPr>
              <w:spacing w:after="0" w:line="176" w:lineRule="exact"/>
              <w:rPr>
                <w:sz w:val="20"/>
                <w:szCs w:val="20"/>
                <w:color w:val="auto"/>
              </w:rPr>
            </w:pPr>
            <w:r>
              <w:rPr>
                <w:rFonts w:ascii="Arial" w:cs="Arial" w:eastAsia="Arial" w:hAnsi="Arial"/>
                <w:sz w:val="18"/>
                <w:szCs w:val="18"/>
                <w:b w:val="1"/>
                <w:bCs w:val="1"/>
                <w:color w:val="auto"/>
              </w:rPr>
              <w:t>Executive officer</w:t>
            </w: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None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None</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None</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220" w:hanging="212"/>
        <w:spacing w:after="0"/>
        <w:tabs>
          <w:tab w:leader="none" w:pos="2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We do not have a profit sharing or retirement plan, and directors do not receive any pension or retirement benefits from us.</w:t>
      </w:r>
    </w:p>
    <w:p>
      <w:pPr>
        <w:ind w:left="180" w:hanging="172"/>
        <w:spacing w:after="0"/>
        <w:tabs>
          <w:tab w:leader="none" w:pos="1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Mr. Efrat is an employee of the Administrator.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Each Independent Director receives an annual payment of $90,000 for services performed on behalf of us as a director. The Independent Directors also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receive $2,500 plus reimbursement of reasonable out-of-pocket expenses incurred in connection with attending each board of directors meeting and receive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 plus reimbursement of reasonable out-of-pocket expenses incurred in connection with attending each committee meeting (unless combined with a board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directors meeting). In addition, each Co-Chairman of the Audit Committee receives an annual fee of $12,500 and each Co-Chairman of any other committee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receives an annual fee of $2,500 for his additional services in these capacities. Also, we have purchased directors’ and officers’ liability insurance on behalf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directors and officers. Independent Directors have the option to receive their directors’ fees paid in shares of our common stock issued at a price per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equal to the greater of NAV or the market price at the time of payment. No compensation is expected to be paid to directors who are “interested persons”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defined in the 1940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571"/>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40" w:firstLine="571"/>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addition to managing our investments, as of September 30, 2013, our portfolio managers also managed investments on behalf of the following entity:</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Name</w:t>
            </w:r>
          </w:p>
        </w:tc>
        <w:tc>
          <w:tcPr>
            <w:tcW w:w="1620" w:type="dxa"/>
            <w:vAlign w:val="bottom"/>
          </w:tcPr>
          <w:p>
            <w:pPr>
              <w:ind w:left="60"/>
              <w:spacing w:after="0"/>
              <w:rPr>
                <w:sz w:val="20"/>
                <w:szCs w:val="20"/>
                <w:color w:val="auto"/>
              </w:rPr>
            </w:pPr>
            <w:r>
              <w:rPr>
                <w:rFonts w:ascii="Arial" w:cs="Arial" w:eastAsia="Arial" w:hAnsi="Arial"/>
                <w:sz w:val="18"/>
                <w:szCs w:val="18"/>
                <w:b w:val="1"/>
                <w:bCs w:val="1"/>
                <w:color w:val="auto"/>
              </w:rPr>
              <w:t>Entity</w:t>
            </w:r>
          </w:p>
        </w:tc>
      </w:tr>
      <w:tr>
        <w:trPr>
          <w:trHeight w:val="43"/>
        </w:trPr>
        <w:tc>
          <w:tcPr>
            <w:tcW w:w="2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r>
      <w:tr>
        <w:trPr>
          <w:trHeight w:val="201"/>
        </w:trPr>
        <w:tc>
          <w:tcPr>
            <w:tcW w:w="270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4"/>
              </w:rPr>
              <w:t>PennantPark Floating Rate Capital</w:t>
            </w:r>
          </w:p>
        </w:tc>
        <w:tc>
          <w:tcPr>
            <w:tcW w:w="1620" w:type="dxa"/>
            <w:vAlign w:val="bottom"/>
          </w:tcPr>
          <w:p>
            <w:pPr>
              <w:ind w:left="60"/>
              <w:spacing w:after="0" w:line="201" w:lineRule="exact"/>
              <w:rPr>
                <w:sz w:val="20"/>
                <w:szCs w:val="20"/>
                <w:color w:val="auto"/>
              </w:rPr>
            </w:pPr>
            <w:r>
              <w:rPr>
                <w:rFonts w:ascii="Arial" w:cs="Arial" w:eastAsia="Arial" w:hAnsi="Arial"/>
                <w:sz w:val="18"/>
                <w:szCs w:val="18"/>
                <w:color w:val="auto"/>
                <w:w w:val="85"/>
              </w:rPr>
              <w:t>Business development</w:t>
            </w:r>
          </w:p>
        </w:tc>
      </w:tr>
      <w:tr>
        <w:trPr>
          <w:trHeight w:val="230"/>
        </w:trPr>
        <w:tc>
          <w:tcPr>
            <w:tcW w:w="2700" w:type="dxa"/>
            <w:vAlign w:val="bottom"/>
            <w:gridSpan w:val="2"/>
          </w:tcPr>
          <w:p>
            <w:pPr>
              <w:ind w:left="220"/>
              <w:spacing w:after="0"/>
              <w:rPr>
                <w:sz w:val="20"/>
                <w:szCs w:val="20"/>
                <w:color w:val="auto"/>
              </w:rPr>
            </w:pPr>
            <w:r>
              <w:rPr>
                <w:rFonts w:ascii="Arial" w:cs="Arial" w:eastAsia="Arial" w:hAnsi="Arial"/>
                <w:sz w:val="18"/>
                <w:szCs w:val="18"/>
                <w:color w:val="auto"/>
              </w:rPr>
              <w:t>Ltd.</w:t>
            </w:r>
          </w:p>
        </w:tc>
        <w:tc>
          <w:tcPr>
            <w:tcW w:w="1620" w:type="dxa"/>
            <w:vAlign w:val="bottom"/>
          </w:tcPr>
          <w:p>
            <w:pPr>
              <w:ind w:left="60"/>
              <w:spacing w:after="0"/>
              <w:rPr>
                <w:sz w:val="20"/>
                <w:szCs w:val="20"/>
                <w:color w:val="auto"/>
              </w:rPr>
            </w:pPr>
            <w:r>
              <w:rPr>
                <w:rFonts w:ascii="Arial" w:cs="Arial" w:eastAsia="Arial" w:hAnsi="Arial"/>
                <w:sz w:val="18"/>
                <w:szCs w:val="18"/>
                <w:color w:val="auto"/>
              </w:rPr>
              <w:t>company</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ind w:left="60"/>
              <w:spacing w:after="0"/>
              <w:rPr>
                <w:sz w:val="20"/>
                <w:szCs w:val="20"/>
                <w:color w:val="auto"/>
              </w:rPr>
            </w:pPr>
            <w:r>
              <w:rPr>
                <w:rFonts w:ascii="Arial" w:cs="Arial" w:eastAsia="Arial" w:hAnsi="Arial"/>
                <w:sz w:val="18"/>
                <w:szCs w:val="18"/>
                <w:color w:val="auto"/>
              </w:rPr>
              <w:t>Private Investment</w:t>
            </w:r>
          </w:p>
        </w:tc>
      </w:tr>
      <w:tr>
        <w:trPr>
          <w:trHeight w:val="222"/>
        </w:trPr>
        <w:tc>
          <w:tcPr>
            <w:tcW w:w="2700" w:type="dxa"/>
            <w:vAlign w:val="bottom"/>
            <w:gridSpan w:val="2"/>
          </w:tcPr>
          <w:p>
            <w:pPr>
              <w:ind w:left="60"/>
              <w:spacing w:after="0"/>
              <w:rPr>
                <w:sz w:val="20"/>
                <w:szCs w:val="20"/>
                <w:color w:val="auto"/>
              </w:rPr>
            </w:pPr>
            <w:r>
              <w:rPr>
                <w:rFonts w:ascii="Arial" w:cs="Arial" w:eastAsia="Arial" w:hAnsi="Arial"/>
                <w:sz w:val="18"/>
                <w:szCs w:val="18"/>
                <w:color w:val="auto"/>
              </w:rPr>
              <w:t>Other Managed Fund</w:t>
            </w:r>
          </w:p>
        </w:tc>
        <w:tc>
          <w:tcPr>
            <w:tcW w:w="1620" w:type="dxa"/>
            <w:vAlign w:val="bottom"/>
          </w:tcPr>
          <w:p>
            <w:pPr>
              <w:ind w:left="60"/>
              <w:spacing w:after="0"/>
              <w:rPr>
                <w:sz w:val="20"/>
                <w:szCs w:val="20"/>
                <w:color w:val="auto"/>
              </w:rPr>
            </w:pPr>
            <w:r>
              <w:rPr>
                <w:rFonts w:ascii="Arial" w:cs="Arial" w:eastAsia="Arial" w:hAnsi="Arial"/>
                <w:sz w:val="18"/>
                <w:szCs w:val="18"/>
                <w:color w:val="auto"/>
              </w:rPr>
              <w:t>Fund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Focus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40640</wp:posOffset>
            </wp:positionV>
            <wp:extent cx="7246620" cy="2914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63" w:lineRule="exact"/>
        <w:rPr>
          <w:sz w:val="20"/>
          <w:szCs w:val="20"/>
          <w:color w:val="auto"/>
        </w:rPr>
      </w:pPr>
    </w:p>
    <w:p>
      <w:pPr>
        <w:ind w:firstLine="44"/>
        <w:spacing w:after="0" w:line="268" w:lineRule="auto"/>
        <w:rPr>
          <w:sz w:val="20"/>
          <w:szCs w:val="20"/>
          <w:color w:val="auto"/>
        </w:rPr>
      </w:pPr>
      <w:r>
        <w:rPr>
          <w:rFonts w:ascii="Arial" w:cs="Arial" w:eastAsia="Arial" w:hAnsi="Arial"/>
          <w:sz w:val="18"/>
          <w:szCs w:val="18"/>
          <w:color w:val="auto"/>
        </w:rPr>
        <w:t>Primarily floating rate loans, with an emphasis on senior secured loans, in middle-market leveraged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Other credit opportunities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Gross Assets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w:t>
      </w:r>
    </w:p>
    <w:p>
      <w:pPr>
        <w:spacing w:after="0" w:line="246"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$329</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$ 49</w:t>
      </w:r>
    </w:p>
    <w:p>
      <w:pPr>
        <w:spacing w:after="0" w:line="171" w:lineRule="exact"/>
        <w:rPr>
          <w:sz w:val="20"/>
          <w:szCs w:val="20"/>
          <w:color w:val="auto"/>
        </w:rPr>
      </w:pPr>
    </w:p>
    <w:p>
      <w:pPr>
        <w:sectPr>
          <w:pgSz w:w="11900" w:h="16838" w:orient="portrait"/>
          <w:cols w:equalWidth="0" w:num="3">
            <w:col w:w="4320" w:space="100"/>
            <w:col w:w="5280" w:space="640"/>
            <w:col w:w="1080"/>
          </w:cols>
          <w:pgMar w:left="240" w:top="459" w:right="239" w:bottom="1440" w:gutter="0" w:footer="0" w:header="0"/>
          <w:type w:val="continuous"/>
        </w:sectPr>
      </w:pPr>
    </w:p>
    <w:p>
      <w:pPr>
        <w:ind w:right="240"/>
        <w:spacing w:after="0" w:line="268" w:lineRule="auto"/>
        <w:rPr>
          <w:sz w:val="20"/>
          <w:szCs w:val="20"/>
          <w:color w:val="auto"/>
        </w:rPr>
      </w:pPr>
      <w:r>
        <w:rPr>
          <w:rFonts w:ascii="Arial" w:cs="Arial" w:eastAsia="Arial" w:hAnsi="Arial"/>
          <w:sz w:val="18"/>
          <w:szCs w:val="18"/>
          <w:color w:val="auto"/>
        </w:rPr>
        <w:t>The management and incentive fees payable by PennantPark Floating Rate Capital Ltd. are based on the gross assets and performance of PennantPark Floating Rate Capital Ltd.,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As of December 11, 2013, to our knowledge, no person would be deemed to “control” us, as such term is defined in the 1940 Act. Our directors consist of an interested director and Independent Directors.</w:t>
      </w:r>
    </w:p>
    <w:p>
      <w:pPr>
        <w:spacing w:after="0" w:line="132" w:lineRule="exact"/>
        <w:rPr>
          <w:sz w:val="20"/>
          <w:szCs w:val="20"/>
          <w:color w:val="auto"/>
        </w:rPr>
      </w:pPr>
    </w:p>
    <w:p>
      <w:pPr>
        <w:ind w:right="120" w:firstLine="571"/>
        <w:spacing w:after="0" w:line="332" w:lineRule="auto"/>
        <w:rPr>
          <w:sz w:val="20"/>
          <w:szCs w:val="20"/>
          <w:color w:val="auto"/>
        </w:rPr>
      </w:pPr>
      <w:r>
        <w:rPr>
          <w:rFonts w:ascii="Arial" w:cs="Arial" w:eastAsia="Arial" w:hAnsi="Arial"/>
          <w:sz w:val="16"/>
          <w:szCs w:val="16"/>
          <w:color w:val="auto"/>
        </w:rPr>
        <w:t>The following table sets forth, as of December 11,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of Common</w:t>
            </w:r>
          </w:p>
        </w:tc>
        <w:tc>
          <w:tcPr>
            <w:tcW w:w="0" w:type="dxa"/>
            <w:vAlign w:val="bottom"/>
          </w:tcPr>
          <w:p>
            <w:pPr>
              <w:spacing w:after="0"/>
              <w:rPr>
                <w:sz w:val="1"/>
                <w:szCs w:val="1"/>
                <w:color w:val="auto"/>
              </w:rPr>
            </w:pPr>
          </w:p>
        </w:tc>
      </w:tr>
      <w:tr>
        <w:trPr>
          <w:trHeight w:val="216"/>
        </w:trPr>
        <w:tc>
          <w:tcPr>
            <w:tcW w:w="71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Name and Address</w:t>
            </w:r>
            <w:r>
              <w:rPr>
                <w:rFonts w:ascii="Arial" w:cs="Arial" w:eastAsia="Arial" w:hAnsi="Arial"/>
                <w:sz w:val="11"/>
                <w:szCs w:val="11"/>
                <w:b w:val="1"/>
                <w:bCs w:val="1"/>
                <w:color w:val="auto"/>
              </w:rPr>
              <w:t>(1)</w:t>
            </w:r>
          </w:p>
        </w:tc>
        <w:tc>
          <w:tcPr>
            <w:tcW w:w="210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Type of Ownership</w:t>
            </w:r>
            <w:r>
              <w:rPr>
                <w:rFonts w:ascii="Arial" w:cs="Arial" w:eastAsia="Arial" w:hAnsi="Arial"/>
                <w:sz w:val="11"/>
                <w:szCs w:val="11"/>
                <w:b w:val="1"/>
                <w:bCs w:val="1"/>
                <w:color w:val="auto"/>
              </w:rPr>
              <w:t>(4)</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Stock</w:t>
            </w:r>
          </w:p>
        </w:tc>
        <w:tc>
          <w:tcPr>
            <w:tcW w:w="0" w:type="dxa"/>
            <w:vAlign w:val="bottom"/>
          </w:tcPr>
          <w:p>
            <w:pPr>
              <w:spacing w:after="0"/>
              <w:rPr>
                <w:sz w:val="1"/>
                <w:szCs w:val="1"/>
                <w:color w:val="auto"/>
              </w:rPr>
            </w:pPr>
          </w:p>
        </w:tc>
      </w:tr>
      <w:tr>
        <w:trPr>
          <w:trHeight w:val="224"/>
        </w:trPr>
        <w:tc>
          <w:tcPr>
            <w:tcW w:w="7120" w:type="dxa"/>
            <w:vAlign w:val="bottom"/>
            <w:gridSpan w:val="3"/>
            <w:vMerge w:val="continue"/>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Owned</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Outstanding</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60" w:type="dxa"/>
            <w:vAlign w:val="bottom"/>
            <w:tcBorders>
              <w:top w:val="single" w:sz="8" w:color="auto"/>
            </w:tcBorders>
          </w:tcPr>
          <w:p>
            <w:pPr>
              <w:spacing w:after="0"/>
              <w:rPr>
                <w:sz w:val="8"/>
                <w:szCs w:val="8"/>
                <w:color w:val="auto"/>
              </w:rPr>
            </w:pPr>
          </w:p>
        </w:tc>
        <w:tc>
          <w:tcPr>
            <w:tcW w:w="554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Independent directors</w:t>
            </w: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88,971</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Marshall Brozost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420"/>
              <w:spacing w:after="0"/>
              <w:rPr>
                <w:sz w:val="20"/>
                <w:szCs w:val="20"/>
                <w:color w:val="auto"/>
              </w:rPr>
            </w:pPr>
            <w:r>
              <w:rPr>
                <w:rFonts w:ascii="Arial" w:cs="Arial" w:eastAsia="Arial" w:hAnsi="Arial"/>
                <w:sz w:val="18"/>
                <w:szCs w:val="18"/>
                <w:color w:val="auto"/>
              </w:rPr>
              <w:t>Jeffrey Flug</w:t>
            </w:r>
          </w:p>
        </w:tc>
        <w:tc>
          <w:tcPr>
            <w:tcW w:w="2100" w:type="dxa"/>
            <w:vAlign w:val="bottom"/>
            <w:gridSpan w:val="2"/>
          </w:tcPr>
          <w:p>
            <w:pPr>
              <w:spacing w:after="0"/>
              <w:rPr>
                <w:sz w:val="20"/>
                <w:szCs w:val="20"/>
                <w:color w:val="auto"/>
              </w:rPr>
            </w:pPr>
            <w:r>
              <w:rPr>
                <w:rFonts w:ascii="Arial" w:cs="Arial" w:eastAsia="Arial" w:hAnsi="Arial"/>
                <w:sz w:val="18"/>
                <w:szCs w:val="18"/>
                <w:color w:val="auto"/>
              </w:rPr>
              <w:t>Record/Beneficial</w:t>
            </w:r>
          </w:p>
        </w:tc>
        <w:tc>
          <w:tcPr>
            <w:tcW w:w="760" w:type="dxa"/>
            <w:vAlign w:val="bottom"/>
          </w:tcPr>
          <w:p>
            <w:pPr>
              <w:jc w:val="right"/>
              <w:spacing w:after="0"/>
              <w:rPr>
                <w:sz w:val="20"/>
                <w:szCs w:val="20"/>
                <w:color w:val="auto"/>
              </w:rPr>
            </w:pPr>
            <w:r>
              <w:rPr>
                <w:rFonts w:ascii="Arial" w:cs="Arial" w:eastAsia="Arial" w:hAnsi="Arial"/>
                <w:sz w:val="18"/>
                <w:szCs w:val="18"/>
                <w:color w:val="auto"/>
              </w:rPr>
              <w:t>227,288</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Samuel L. Katz</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113,482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537,323</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Aviv Efrat</w:t>
            </w: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Record/Beneficial</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44,790</w:t>
            </w:r>
          </w:p>
        </w:tc>
        <w:tc>
          <w:tcPr>
            <w:tcW w:w="4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12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1,025,394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address for each officer and director is c/o PennantPark, 590 Madison Avenue, 15th Floor, New York, New York 10022.</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Bernstein is the President of JAM Investments, LLC and may therefore be deemed to own beneficially the 68,236 shares of PNNT held by JAM Investments, LLC.</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Penn is the Managing Member of the Investment Adviser and may therefore be deemed to own beneficially the 342,611 shares of PNNT held by the Investment Adviser.</w:t>
      </w:r>
    </w:p>
    <w:p>
      <w:pPr>
        <w:ind w:left="420" w:hanging="412"/>
        <w:spacing w:after="0" w:line="221" w:lineRule="auto"/>
        <w:tabs>
          <w:tab w:leader="none" w:pos="4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Sole voting power.</w:t>
      </w:r>
    </w:p>
    <w:p>
      <w:pPr>
        <w:ind w:left="420" w:hanging="412"/>
        <w:spacing w:after="0"/>
        <w:tabs>
          <w:tab w:leader="none" w:pos="4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Less than 1 percent.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880"/>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171"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December 6, 2013. Information as to the beneficial ownerships is based on information furnished to us by such persons. We are not part of a “family of investment companies,” as that term is defined in the 1940 Act.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Directors</w:t>
            </w:r>
          </w:p>
        </w:tc>
        <w:tc>
          <w:tcPr>
            <w:tcW w:w="568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Dollar Range of the Common Stock of the Companies</w:t>
            </w: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5020" w:type="dxa"/>
            <w:vAlign w:val="bottom"/>
          </w:tcPr>
          <w:p>
            <w:pPr>
              <w:spacing w:after="0"/>
              <w:rPr>
                <w:sz w:val="17"/>
                <w:szCs w:val="17"/>
                <w:color w:val="auto"/>
              </w:rPr>
            </w:pPr>
          </w:p>
        </w:tc>
        <w:tc>
          <w:tcPr>
            <w:tcW w:w="1920" w:type="dxa"/>
            <w:vAlign w:val="bottom"/>
            <w:tcBorders>
              <w:top w:val="single" w:sz="8" w:color="auto"/>
            </w:tcBorders>
            <w:gridSpan w:val="2"/>
          </w:tcPr>
          <w:p>
            <w:pPr>
              <w:jc w:val="center"/>
              <w:ind w:right="12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940" w:type="dxa"/>
            <w:vAlign w:val="bottom"/>
            <w:tcBorders>
              <w:top w:val="single" w:sz="8" w:color="auto"/>
            </w:tcBorders>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90"/>
              </w:rPr>
              <w:t>PennantPark</w:t>
            </w:r>
          </w:p>
        </w:tc>
        <w:tc>
          <w:tcPr>
            <w:tcW w:w="10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Investment</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Floating Rate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40" w:type="dxa"/>
            <w:vAlign w:val="bottom"/>
            <w:gridSpan w:val="3"/>
          </w:tcPr>
          <w:p>
            <w:pPr>
              <w:spacing w:after="0"/>
              <w:rPr>
                <w:sz w:val="20"/>
                <w:szCs w:val="20"/>
                <w:color w:val="auto"/>
              </w:rPr>
            </w:pPr>
            <w:r>
              <w:rPr>
                <w:rFonts w:ascii="Arial" w:cs="Arial" w:eastAsia="Arial" w:hAnsi="Arial"/>
                <w:sz w:val="18"/>
                <w:szCs w:val="18"/>
                <w:b w:val="1"/>
                <w:bCs w:val="1"/>
                <w:color w:val="auto"/>
              </w:rPr>
              <w:t>Independent directors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Corporation</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Capital Ltd.</w:t>
            </w:r>
          </w:p>
        </w:tc>
        <w:tc>
          <w:tcPr>
            <w:tcW w:w="1820" w:type="dxa"/>
            <w:vAlign w:val="bottom"/>
            <w:gridSpan w:val="2"/>
          </w:tcPr>
          <w:p>
            <w:pPr>
              <w:jc w:val="right"/>
              <w:ind w:right="6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20" w:type="dxa"/>
            <w:vAlign w:val="bottom"/>
            <w:tcBorders>
              <w:top w:val="single" w:sz="8" w:color="CCEEFF"/>
            </w:tcBorders>
            <w:gridSpan w:val="2"/>
            <w:shd w:val="clear" w:color="auto" w:fill="CCEEFF"/>
          </w:tcPr>
          <w:p>
            <w:pPr>
              <w:ind w:left="420"/>
              <w:spacing w:after="0" w:line="203" w:lineRule="exact"/>
              <w:rPr>
                <w:sz w:val="20"/>
                <w:szCs w:val="20"/>
                <w:color w:val="auto"/>
              </w:rPr>
            </w:pPr>
            <w:r>
              <w:rPr>
                <w:rFonts w:ascii="Arial" w:cs="Arial" w:eastAsia="Arial" w:hAnsi="Arial"/>
                <w:sz w:val="18"/>
                <w:szCs w:val="18"/>
                <w:color w:val="auto"/>
              </w:rPr>
              <w:t>Adam K. Bernstein</w:t>
            </w:r>
            <w:r>
              <w:rPr>
                <w:rFonts w:ascii="Arial" w:cs="Arial" w:eastAsia="Arial" w:hAnsi="Arial"/>
                <w:sz w:val="11"/>
                <w:szCs w:val="11"/>
                <w:color w:val="auto"/>
              </w:rPr>
              <w:t>(2)</w:t>
            </w: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$ 50,001 - $100,000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Marshall Brozost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tcPr>
          <w:p>
            <w:pPr>
              <w:spacing w:after="0"/>
              <w:rPr>
                <w:sz w:val="18"/>
                <w:szCs w:val="18"/>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None</w:t>
            </w: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$100,001 -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Jeffrey Flug</w:t>
            </w:r>
          </w:p>
        </w:tc>
        <w:tc>
          <w:tcPr>
            <w:tcW w:w="19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None</w:t>
            </w:r>
          </w:p>
        </w:tc>
        <w:tc>
          <w:tcPr>
            <w:tcW w:w="182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Samuel L. Katz</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20" w:type="dxa"/>
            <w:vAlign w:val="bottom"/>
          </w:tcPr>
          <w:p>
            <w:pPr>
              <w:spacing w:after="0"/>
              <w:rPr>
                <w:sz w:val="19"/>
                <w:szCs w:val="19"/>
                <w:color w:val="auto"/>
              </w:rPr>
            </w:pP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Over $1,000,000</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Over $1,000,000</w:t>
            </w:r>
          </w:p>
        </w:tc>
        <w:tc>
          <w:tcPr>
            <w:tcW w:w="1820" w:type="dxa"/>
            <w:vAlign w:val="bottom"/>
            <w:gridSpan w:val="2"/>
          </w:tcPr>
          <w:p>
            <w:pPr>
              <w:jc w:val="right"/>
              <w:ind w:right="232"/>
              <w:spacing w:after="0"/>
              <w:rPr>
                <w:sz w:val="20"/>
                <w:szCs w:val="20"/>
                <w:color w:val="auto"/>
              </w:rPr>
            </w:pPr>
            <w:r>
              <w:rPr>
                <w:rFonts w:ascii="Arial" w:cs="Arial" w:eastAsia="Arial" w:hAnsi="Arial"/>
                <w:sz w:val="18"/>
                <w:szCs w:val="18"/>
                <w:color w:val="auto"/>
              </w:rPr>
              <w:t>Over $1,000,000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Jose A. Briones</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$500,001 -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1,000,000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Salvatore Giannetti III</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$100,001 - $500,000</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$100,001 - $</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20" w:type="dxa"/>
            <w:vAlign w:val="bottom"/>
            <w:gridSpan w:val="2"/>
          </w:tcPr>
          <w:p>
            <w:pPr>
              <w:ind w:left="420"/>
              <w:spacing w:after="0"/>
              <w:rPr>
                <w:sz w:val="20"/>
                <w:szCs w:val="20"/>
                <w:color w:val="auto"/>
              </w:rPr>
            </w:pPr>
            <w:r>
              <w:rPr>
                <w:rFonts w:ascii="Arial" w:cs="Arial" w:eastAsia="Arial" w:hAnsi="Arial"/>
                <w:sz w:val="18"/>
                <w:szCs w:val="18"/>
                <w:color w:val="auto"/>
              </w:rPr>
              <w:t>P. Whitridge Williams, Jr.</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$500,001 - $1,000,000</w:t>
            </w:r>
          </w:p>
        </w:tc>
        <w:tc>
          <w:tcPr>
            <w:tcW w:w="100" w:type="dxa"/>
            <w:vAlign w:val="bottom"/>
          </w:tcPr>
          <w:p>
            <w:pPr>
              <w:spacing w:after="0"/>
              <w:rPr>
                <w:sz w:val="19"/>
                <w:szCs w:val="19"/>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$100,001 - $ 500,000</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6"/>
              </w:rPr>
              <w:t>$500,001 - $</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w w:val="84"/>
              </w:rPr>
              <w:t>1,000,000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3152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Dollar ranges are as follows: None; $1-$10,000; $10,001-$50,000; $50,001-$100,000; $100,001-$500,000; $500,001-$1,000,000; or over $1,000,000.</w:t>
      </w:r>
    </w:p>
    <w:p>
      <w:pPr>
        <w:ind w:left="220" w:hanging="212"/>
        <w:spacing w:after="0" w:line="221" w:lineRule="auto"/>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reflects holdings of JAM Investments, LLC.</w:t>
      </w:r>
    </w:p>
    <w:p>
      <w:pPr>
        <w:ind w:left="220" w:hanging="212"/>
        <w:spacing w:after="0"/>
        <w:tabs>
          <w:tab w:leader="none" w:pos="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Also reflects holdings of PennantPark Investment Advisers, LLC.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60" w:firstLine="571"/>
        <w:spacing w:after="0" w:line="291" w:lineRule="auto"/>
        <w:rPr>
          <w:sz w:val="20"/>
          <w:szCs w:val="20"/>
          <w:color w:val="auto"/>
        </w:rPr>
      </w:pPr>
      <w:r>
        <w:rPr>
          <w:rFonts w:ascii="Arial" w:cs="Arial" w:eastAsia="Arial" w:hAnsi="Arial"/>
          <w:sz w:val="16"/>
          <w:szCs w:val="16"/>
          <w:color w:val="auto"/>
        </w:rPr>
        <w:t>PennantPark Investment has entered into the Investment Management Agreement with the Investment Adviser under which the Investment Adviser, subject to the overall supervision of PennantPark Investment’s board of directors, manages the day-to-day operations of, and provides investment advisory services to, us. Mr. Penn, our Chairman and Chief Executive Officer, is the managing member and a senior investment professional of, and has a financial and controlling interest in PennantPark Investment Advisers. PennantPark Investment, through the Investment Adviser, provides similar services to our SBIC Funds under their investment management agreements. Such investment management agreements do not affect the management or incentive fees that we pay to the Investment Adviser on a consolidated basis. Under the terms of our Investment Management Agreement, the Investment Adviser:</w:t>
      </w:r>
    </w:p>
    <w:p>
      <w:pPr>
        <w:spacing w:after="0" w:line="39" w:lineRule="exact"/>
        <w:rPr>
          <w:sz w:val="20"/>
          <w:szCs w:val="20"/>
          <w:color w:val="auto"/>
        </w:rPr>
      </w:pPr>
    </w:p>
    <w:p>
      <w:pPr>
        <w:ind w:left="660" w:hanging="314"/>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86" w:lineRule="exact"/>
        <w:rPr>
          <w:rFonts w:ascii="Arial" w:cs="Arial" w:eastAsia="Arial" w:hAnsi="Arial"/>
          <w:sz w:val="16"/>
          <w:szCs w:val="16"/>
          <w:color w:val="auto"/>
        </w:rPr>
      </w:pPr>
    </w:p>
    <w:p>
      <w:pPr>
        <w:ind w:left="660" w:right="780" w:hanging="314"/>
        <w:spacing w:after="0" w:line="268"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23"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63" w:lineRule="exact"/>
        <w:rPr>
          <w:rFonts w:ascii="Arial" w:cs="Arial" w:eastAsia="Arial" w:hAnsi="Arial"/>
          <w:sz w:val="18"/>
          <w:szCs w:val="18"/>
          <w:color w:val="auto"/>
        </w:rPr>
      </w:pPr>
    </w:p>
    <w:p>
      <w:pPr>
        <w:ind w:left="660" w:hanging="314"/>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provides us with such other investment advisory, research and related services, as we may need from time to time.</w:t>
      </w:r>
    </w:p>
    <w:p>
      <w:pPr>
        <w:spacing w:after="0" w:line="90" w:lineRule="exact"/>
        <w:rPr>
          <w:sz w:val="20"/>
          <w:szCs w:val="20"/>
          <w:color w:val="auto"/>
        </w:rPr>
      </w:pPr>
    </w:p>
    <w:p>
      <w:pPr>
        <w:ind w:right="360" w:firstLine="571"/>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PennantPark Investment, consisting of two components-a base management fee and an incentive fee, or collectively, Management Fees.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The base management fee is calculated at an annual rate of 2.00% of our “average adjusted gross assets”, which equal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(see example below),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w:t>
      </w:r>
      <w:r>
        <w:rPr>
          <w:rFonts w:ascii="Arial" w:cs="Arial" w:eastAsia="Arial" w:hAnsi="Arial"/>
          <w:sz w:val="10"/>
          <w:szCs w:val="10"/>
          <w:color w:val="auto"/>
        </w:rPr>
        <w:t>th</w:t>
      </w:r>
      <w:r>
        <w:rPr>
          <w:rFonts w:ascii="Arial" w:cs="Arial" w:eastAsia="Arial" w:hAnsi="Arial"/>
          <w:sz w:val="16"/>
          <w:szCs w:val="16"/>
          <w:color w:val="auto"/>
        </w:rPr>
        <w:t xml:space="preserve">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right="3920"/>
        <w:spacing w:after="0" w:line="261" w:lineRule="auto"/>
        <w:rPr>
          <w:sz w:val="20"/>
          <w:szCs w:val="20"/>
          <w:color w:val="auto"/>
        </w:rPr>
      </w:pPr>
      <w:r>
        <w:rPr>
          <w:rFonts w:ascii="Arial" w:cs="Arial" w:eastAsia="Arial" w:hAnsi="Arial"/>
          <w:sz w:val="18"/>
          <w:szCs w:val="18"/>
          <w:color w:val="auto"/>
        </w:rPr>
        <w:t>U.S. Treasury bills and temporary draws on credit facilities as of December 31, 20XX = $10 million Adjusted gross assets as of December 31, 20XX = $150 million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8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Average adjusted gross assets as of December 31, 20XX and March 31, 20XX which are the two most recently completed calendar quarter ends, and appropriately adjusted for any share issuances or repurchases during the current calendar quarter = ($150 million + $180 million) / 2 = $165 million</w:t>
      </w:r>
    </w:p>
    <w:p>
      <w:pPr>
        <w:spacing w:after="0" w:line="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(as defined below), and any interest expense and distributions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that we have not yet received in cash. Pre-Incentive Fee Net Investment Income does not include any realized capital gains, computed net of realized capital losses or unrealized capital appreciation or depreciation. Pre-Incentive Fee Net Investment Income, expressed as a percentage of the value of our net assets at the end of the immediately preceding calendar quarter, is compared to a hurdle rate of 1.75% per quarter (7.00% annualized). We pay the Investment Adviser an incentive fee with respect to our Pre-Incentive Fee Net Investment Income in each calendar quarter as follows: (1) no incentive fee in any calendar quarter in which our Pre-Incentive Fee Net Income does not exceed the hurdle rate of 1.75%, (2) 100% of our Pre-Incentive Fee Net Investment Income the hurdle rate of 1.75%, (2) 100% of our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Pre-Incentive Fee Net Investment Income with respect to that portion of such Pre-Incentive Fee Net Investment Income, if any, that exceeds the hurdle but is less than 2.1875% in any calendar quarter (8.75% annualized) (we refer to this portion of our Pre-Incentive Fee Net Investment Income (which exceeds the hurdle but is less than 2.1875%) as the “catch-up” which is meant to provide our Investment Adviser with 20% of our Pre-Incentive Fee Net Investment Income, as if a hurdle did not apply, if this net investment income exceeds 2.1875% in any calendar quarter), and (3) 20% of the amount of our Pre-Incentive Fee Net Investment Income, if any, that exceeds 2.1875% in any calendar quarter (8.75% annualized), once the hurdle is reached and the catch-up is achieved, 20% of the Pre-Incentive Fee Net Investment Income thereafter is allocated to our Investment Adviser. These calculations are prorated for any share issuances or repurchases, if applicable. For the fiscal years ended September 30, 2013, 2012 and 2011, the Investment Adviser earned $16.8 million, $14.2 million and $13.2 million, respectively, in net investment income from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120015</wp:posOffset>
            </wp:positionV>
            <wp:extent cx="2573020" cy="4718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302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Percentage of Pre-Incentive Fee Net Investment Income</w:t>
      </w:r>
    </w:p>
    <w:p>
      <w:pPr>
        <w:jc w:val="center"/>
        <w:ind w:right="-19"/>
        <w:spacing w:after="0"/>
        <w:rPr>
          <w:sz w:val="20"/>
          <w:szCs w:val="20"/>
          <w:color w:val="auto"/>
        </w:rPr>
      </w:pPr>
      <w:r>
        <w:rPr>
          <w:rFonts w:ascii="Arial" w:cs="Arial" w:eastAsia="Arial" w:hAnsi="Arial"/>
          <w:sz w:val="14"/>
          <w:szCs w:val="14"/>
          <w:b w:val="1"/>
          <w:bCs w:val="1"/>
          <w:i w:val="1"/>
          <w:iCs w:val="1"/>
          <w:color w:val="auto"/>
        </w:rPr>
        <w:t>allocated to income-related portion of incentive fee</w:t>
      </w:r>
    </w:p>
    <w:p>
      <w:pPr>
        <w:spacing w:after="0" w:line="140"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116"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therefore resulted in no accrual for capital gains incentive fees under GAAP.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right="3800"/>
        <w:spacing w:after="0" w:line="331" w:lineRule="auto"/>
        <w:rPr>
          <w:sz w:val="20"/>
          <w:szCs w:val="20"/>
          <w:color w:val="auto"/>
        </w:rPr>
      </w:pPr>
      <w:r>
        <w:rPr>
          <w:rFonts w:ascii="Arial" w:cs="Arial" w:eastAsia="Arial" w:hAnsi="Arial"/>
          <w:sz w:val="18"/>
          <w:szCs w:val="18"/>
          <w:color w:val="auto"/>
        </w:rPr>
        <w:t>(investment income—(base management fee + other expenses)) = 0.55% Pre-Incentive Net Investment Income does not exceed the hurdle; therefore there is no incentive fee.</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2.00%</w:t>
      </w:r>
    </w:p>
    <w:p>
      <w:pPr>
        <w:spacing w:after="0" w:line="212" w:lineRule="exact"/>
        <w:rPr>
          <w:sz w:val="20"/>
          <w:szCs w:val="20"/>
          <w:color w:val="auto"/>
        </w:rPr>
      </w:pPr>
    </w:p>
    <w:p>
      <w:pPr>
        <w:jc w:val="right"/>
        <w:ind w:right="3200"/>
        <w:spacing w:after="0"/>
        <w:tabs>
          <w:tab w:leader="none" w:pos="518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20% X Pre-Incentive Fee Net Investment Income, subject to “catch-up”</w:t>
      </w:r>
    </w:p>
    <w:p>
      <w:pPr>
        <w:spacing w:after="0" w:line="36" w:lineRule="exact"/>
        <w:rPr>
          <w:sz w:val="20"/>
          <w:szCs w:val="20"/>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2.00% - 1.75%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 X 0.25%</w:t>
      </w:r>
    </w:p>
    <w:p>
      <w:pPr>
        <w:spacing w:after="0" w:line="49" w:lineRule="exact"/>
        <w:rPr>
          <w:rFonts w:ascii="Arial" w:cs="Arial" w:eastAsia="Arial" w:hAnsi="Arial"/>
          <w:sz w:val="18"/>
          <w:szCs w:val="18"/>
          <w:color w:val="auto"/>
        </w:rPr>
      </w:pPr>
    </w:p>
    <w:p>
      <w:pPr>
        <w:ind w:left="2800" w:hanging="152"/>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 (including interest, distributions, fees, etc.) = 3.00%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0.50%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Other expenses (legal, accounting, custodian, transfer agent, etc.) = 0.20%</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income—(base management fee + other expenses)) = 2.30%</w:t>
      </w:r>
    </w:p>
    <w:p>
      <w:pPr>
        <w:sectPr>
          <w:pgSz w:w="11900" w:h="16838" w:orient="portrait"/>
          <w:cols w:equalWidth="0" w:num="1">
            <w:col w:w="11040"/>
          </w:cols>
          <w:pgMar w:left="240" w:top="459" w:right="619"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Incentive fee</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Catch-up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1049020</wp:posOffset>
            </wp:positionV>
            <wp:extent cx="2914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20% x Pre-Incentive Fee Net Investment Income, subject to “catch-up”</w:t>
      </w:r>
    </w:p>
    <w:p>
      <w:pPr>
        <w:spacing w:after="0" w:line="36"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6"/>
          <w:szCs w:val="16"/>
          <w:color w:val="auto"/>
        </w:rPr>
      </w:pPr>
      <w:r>
        <w:rPr>
          <w:rFonts w:ascii="Arial" w:cs="Arial" w:eastAsia="Arial" w:hAnsi="Arial"/>
          <w:sz w:val="16"/>
          <w:szCs w:val="16"/>
          <w:color w:val="auto"/>
        </w:rPr>
        <w:t>100% x “catch-up” + (20% x (Pre-Incentive Fee Net Investment Income - 2.1875%))</w:t>
      </w:r>
    </w:p>
    <w:p>
      <w:pPr>
        <w:spacing w:after="0" w:line="72" w:lineRule="exact"/>
        <w:rPr>
          <w:rFonts w:ascii="Arial" w:cs="Arial" w:eastAsia="Arial" w:hAnsi="Arial"/>
          <w:sz w:val="16"/>
          <w:szCs w:val="16"/>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2.1875% - 1.75%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(100% x 0.4375%) + (20% x (2.30% - 2.1875%))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 + (20% x 0.1125%)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0.4375% + 0.0225%</w:t>
      </w:r>
    </w:p>
    <w:p>
      <w:pPr>
        <w:spacing w:after="0" w:line="49" w:lineRule="exact"/>
        <w:rPr>
          <w:rFonts w:ascii="Arial" w:cs="Arial" w:eastAsia="Arial" w:hAnsi="Arial"/>
          <w:sz w:val="18"/>
          <w:szCs w:val="18"/>
          <w:color w:val="auto"/>
        </w:rPr>
      </w:pPr>
    </w:p>
    <w:p>
      <w:pPr>
        <w:ind w:left="151" w:hanging="151"/>
        <w:spacing w:after="0"/>
        <w:tabs>
          <w:tab w:leader="none" w:pos="1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0.46%</w:t>
      </w:r>
    </w:p>
    <w:p>
      <w:pPr>
        <w:spacing w:after="0" w:line="200" w:lineRule="exact"/>
        <w:rPr>
          <w:sz w:val="20"/>
          <w:szCs w:val="20"/>
          <w:color w:val="auto"/>
        </w:rPr>
      </w:pPr>
    </w:p>
    <w:p>
      <w:pPr>
        <w:sectPr>
          <w:pgSz w:w="11900" w:h="16838" w:orient="portrait"/>
          <w:cols w:equalWidth="0" w:num="2">
            <w:col w:w="2009" w:space="720"/>
            <w:col w:w="8311"/>
          </w:cols>
          <w:pgMar w:left="240" w:top="459" w:right="619" w:bottom="1440" w:gutter="0" w:footer="0" w:header="0"/>
          <w:type w:val="continuous"/>
        </w:sectPr>
      </w:pPr>
    </w:p>
    <w:p>
      <w:pPr>
        <w:spacing w:after="0" w:line="171" w:lineRule="exact"/>
        <w:rPr>
          <w:sz w:val="20"/>
          <w:szCs w:val="20"/>
          <w:color w:val="auto"/>
        </w:rPr>
      </w:pPr>
    </w:p>
    <w:p>
      <w:pPr>
        <w:ind w:left="380" w:hanging="367"/>
        <w:spacing w:after="0"/>
        <w:tabs>
          <w:tab w:leader="none" w:pos="380" w:val="left"/>
        </w:tabs>
        <w:numPr>
          <w:ilvl w:val="1"/>
          <w:numId w:val="53"/>
        </w:numPr>
        <w:rPr>
          <w:rFonts w:ascii="Arial" w:cs="Arial" w:eastAsia="Arial" w:hAnsi="Arial"/>
          <w:sz w:val="14"/>
          <w:szCs w:val="14"/>
          <w:color w:val="auto"/>
        </w:rPr>
      </w:pPr>
      <w:r>
        <w:rPr>
          <w:rFonts w:ascii="Arial" w:cs="Arial" w:eastAsia="Arial" w:hAnsi="Arial"/>
          <w:sz w:val="14"/>
          <w:szCs w:val="14"/>
          <w:color w:val="auto"/>
        </w:rPr>
        <w:t>The hypothetical amount of Pre-Incentive Fee Net Investment Income shown is based on a percentage of net assets.</w:t>
      </w:r>
    </w:p>
    <w:p>
      <w:pPr>
        <w:spacing w:after="0" w:line="95" w:lineRule="exact"/>
        <w:rPr>
          <w:rFonts w:ascii="Arial" w:cs="Arial" w:eastAsia="Arial" w:hAnsi="Arial"/>
          <w:sz w:val="14"/>
          <w:szCs w:val="14"/>
          <w:color w:val="auto"/>
        </w:rPr>
      </w:pP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7.0% annualized hurdle.</w:t>
      </w:r>
    </w:p>
    <w:p>
      <w:pPr>
        <w:ind w:left="380" w:hanging="372"/>
        <w:spacing w:after="0"/>
        <w:tabs>
          <w:tab w:leader="none" w:pos="3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Represents 2.0% annualized base management fee.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Year 1 = no net realized capital gains or losses</w:t>
      </w:r>
    </w:p>
    <w:p>
      <w:pPr>
        <w:spacing w:after="0" w:line="15" w:lineRule="exact"/>
        <w:rPr>
          <w:sz w:val="20"/>
          <w:szCs w:val="20"/>
          <w:color w:val="auto"/>
        </w:rPr>
      </w:pPr>
    </w:p>
    <w:p>
      <w:pPr>
        <w:ind w:firstLine="571"/>
        <w:spacing w:after="0" w:line="261" w:lineRule="auto"/>
        <w:rPr>
          <w:sz w:val="20"/>
          <w:szCs w:val="20"/>
          <w:color w:val="auto"/>
        </w:rPr>
      </w:pPr>
      <w:r>
        <w:rPr>
          <w:rFonts w:ascii="Arial" w:cs="Arial" w:eastAsia="Arial" w:hAnsi="Arial"/>
          <w:sz w:val="18"/>
          <w:szCs w:val="18"/>
          <w:color w:val="auto"/>
        </w:rPr>
        <w:t>Year 2 = 6% net realized capital gains and 1% realized capital losses and unrealized capital depreciation, capital gain incentive fee = 20% x (realized capital gains for year computed net of all realized capital losses and unrealized capital depreciation at year end)</w:t>
      </w:r>
    </w:p>
    <w:p>
      <w:pPr>
        <w:sectPr>
          <w:pgSz w:w="11900" w:h="16838" w:orient="portrait"/>
          <w:cols w:equalWidth="0" w:num="1">
            <w:col w:w="11040"/>
          </w:cols>
          <w:pgMar w:left="240" w:top="459" w:right="619" w:bottom="1440" w:gutter="0" w:footer="0" w:header="0"/>
          <w:type w:val="continuous"/>
        </w:sectPr>
      </w:pPr>
    </w:p>
    <w:p>
      <w:pPr>
        <w:spacing w:after="0" w:line="259"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1 incentive fee</w:t>
      </w:r>
    </w:p>
    <w:p>
      <w:pPr>
        <w:spacing w:after="0" w:line="200" w:lineRule="exact"/>
        <w:rPr>
          <w:sz w:val="20"/>
          <w:szCs w:val="20"/>
          <w:color w:val="auto"/>
        </w:rPr>
      </w:pPr>
    </w:p>
    <w:p>
      <w:pPr>
        <w:spacing w:after="0" w:line="35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Year 2 incentive fee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(0)</w:t>
      </w:r>
    </w:p>
    <w:p>
      <w:pPr>
        <w:spacing w:after="0" w:line="36"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0</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 incentive fee</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4"/>
        </w:numPr>
        <w:rPr>
          <w:rFonts w:ascii="Arial" w:cs="Arial" w:eastAsia="Arial" w:hAnsi="Arial"/>
          <w:sz w:val="16"/>
          <w:szCs w:val="16"/>
          <w:color w:val="auto"/>
        </w:rPr>
      </w:pPr>
      <w:r>
        <w:rPr>
          <w:rFonts w:ascii="Arial" w:cs="Arial" w:eastAsia="Arial" w:hAnsi="Arial"/>
          <w:sz w:val="16"/>
          <w:szCs w:val="16"/>
          <w:color w:val="auto"/>
        </w:rPr>
        <w:t>20% x (6% -1%)</w:t>
      </w:r>
    </w:p>
    <w:p>
      <w:pPr>
        <w:spacing w:after="0" w:line="72" w:lineRule="exact"/>
        <w:rPr>
          <w:rFonts w:ascii="Arial" w:cs="Arial" w:eastAsia="Arial" w:hAnsi="Arial"/>
          <w:sz w:val="16"/>
          <w:szCs w:val="16"/>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 x 5%</w:t>
      </w:r>
    </w:p>
    <w:p>
      <w:pPr>
        <w:spacing w:after="0" w:line="49" w:lineRule="exact"/>
        <w:rPr>
          <w:rFonts w:ascii="Arial" w:cs="Arial" w:eastAsia="Arial" w:hAnsi="Arial"/>
          <w:sz w:val="18"/>
          <w:szCs w:val="18"/>
          <w:color w:val="auto"/>
        </w:rPr>
      </w:pPr>
    </w:p>
    <w:p>
      <w:pPr>
        <w:ind w:left="136" w:hanging="136"/>
        <w:spacing w:after="0"/>
        <w:tabs>
          <w:tab w:leader="none" w:pos="1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1%</w:t>
      </w:r>
    </w:p>
    <w:p>
      <w:pPr>
        <w:spacing w:after="0" w:line="171" w:lineRule="exact"/>
        <w:rPr>
          <w:sz w:val="20"/>
          <w:szCs w:val="20"/>
          <w:color w:val="auto"/>
        </w:rPr>
      </w:pPr>
    </w:p>
    <w:p>
      <w:pPr>
        <w:sectPr>
          <w:pgSz w:w="11900" w:h="16838" w:orient="portrait"/>
          <w:cols w:equalWidth="0" w:num="2">
            <w:col w:w="2320" w:space="544"/>
            <w:col w:w="8176"/>
          </w:cols>
          <w:pgMar w:left="240" w:top="459" w:right="619" w:bottom="1440" w:gutter="0" w:footer="0" w:header="0"/>
          <w:type w:val="continuous"/>
        </w:sectPr>
      </w:pPr>
    </w:p>
    <w:p>
      <w:pPr>
        <w:jc w:val="center"/>
        <w:ind w:right="-37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040"/>
          </w:cols>
          <w:pgMar w:left="240" w:top="459" w:right="61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PennantPark Investment Advisers is a registered investment adviser under the Investment Advisers Act of 1940, as amended. The principal executive office of PennantPark Investment Advisers is located at 590 Madison Avenue, 15th Floor, New York, NY 10022.</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Investment Management Agreement</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The Investment Management Agreement was re-approved by our board of directors, including a majority of our directors who are not interested persons of us or the Investment Adviser, in February 2013. Unless terminated earlier as described below, our Investment Management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 or the Investment Adviser.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us or the Investment Adviser, concluded that the investment advisory fee rates and terms are fair and reasonable in relation to the services provided and re-approved the Investment Management Agreement as being in the best interests of our stockholders. The Investment Management Agreement will automatically terminate in the event of its assignment.</w:t>
      </w:r>
    </w:p>
    <w:p>
      <w:pPr>
        <w:spacing w:after="0" w:line="43" w:lineRule="exact"/>
        <w:rPr>
          <w:sz w:val="20"/>
          <w:szCs w:val="20"/>
          <w:color w:val="auto"/>
        </w:rPr>
      </w:pPr>
    </w:p>
    <w:p>
      <w:pPr>
        <w:jc w:val="both"/>
        <w:ind w:right="40" w:firstLine="571"/>
        <w:spacing w:after="0" w:line="298" w:lineRule="auto"/>
        <w:rPr>
          <w:sz w:val="20"/>
          <w:szCs w:val="20"/>
          <w:color w:val="auto"/>
        </w:rPr>
      </w:pPr>
      <w:r>
        <w:rPr>
          <w:rFonts w:ascii="Arial" w:cs="Arial" w:eastAsia="Arial" w:hAnsi="Arial"/>
          <w:sz w:val="16"/>
          <w:szCs w:val="16"/>
          <w:color w:val="auto"/>
        </w:rPr>
        <w:t>The Investment Management Agreement may be terminated by either party without penalty upon not more than 60 days’ written notice to the other. See “Risk Factors—Risks Relating to our Business and Structure—We are dependent upon our Investment Adviser’s key personnel for our future success, and if our Investment Adviser is unable to hire and retain qualified personnel or if our Investment Adviser loses any member of its management team, our ability to achieve our investment objectives could be significantly harmed” for more information.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Agreements</w:t>
      </w:r>
    </w:p>
    <w:p>
      <w:pPr>
        <w:spacing w:after="0" w:line="96"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We have entered into an agreement, or the Administration Agreement, with the Administrator, under which the Administrator furnishes us with office facilities, equipment and clerical, bookkeeping and record keeping services at such facilities. Under this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NAV, oversees the preparation and filing of our tax returns and the printing and dissemination of reports to our stockholders, and generally oversees the payment of our expenses and the performance of administrative and professional services rendered to us by others. PennantPark Investment, through the Administrator, provides similar services to our SBIC Funds under their administration agreements.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it incurred on behalf of the Administrator for the services described above.</w:t>
      </w:r>
    </w:p>
    <w:p>
      <w:pPr>
        <w:spacing w:after="0" w:line="47" w:lineRule="exact"/>
        <w:rPr>
          <w:sz w:val="20"/>
          <w:szCs w:val="20"/>
          <w:color w:val="auto"/>
        </w:rPr>
      </w:pPr>
    </w:p>
    <w:p>
      <w:pPr>
        <w:ind w:right="120" w:firstLine="571"/>
        <w:spacing w:after="0" w:line="289" w:lineRule="auto"/>
        <w:rPr>
          <w:sz w:val="20"/>
          <w:szCs w:val="20"/>
          <w:color w:val="auto"/>
        </w:rPr>
      </w:pPr>
      <w:r>
        <w:rPr>
          <w:rFonts w:ascii="Arial" w:cs="Arial" w:eastAsia="Arial" w:hAnsi="Arial"/>
          <w:sz w:val="16"/>
          <w:szCs w:val="16"/>
          <w:color w:val="auto"/>
        </w:rPr>
        <w:t>PennantPark Investment entered into an administration agreement with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the allocable portion of the cost of compensation and related expenses of our Chief Financial Officer and respective staff. For the fiscal years ended September 30, 2013, 2012 and 2011, PennantPark Investment was reimbursed $0.4 million, $0.7 million and $0.5 million, respectively, from SPH, including expenses it incurred on behalf of the Administrator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 of Administration Agreement</w:t>
      </w:r>
    </w:p>
    <w:p>
      <w:pPr>
        <w:spacing w:after="0" w:line="90" w:lineRule="exact"/>
        <w:rPr>
          <w:sz w:val="20"/>
          <w:szCs w:val="20"/>
          <w:color w:val="auto"/>
        </w:rPr>
      </w:pPr>
    </w:p>
    <w:p>
      <w:pPr>
        <w:ind w:right="640" w:firstLine="571"/>
        <w:spacing w:after="0" w:line="268" w:lineRule="auto"/>
        <w:rPr>
          <w:sz w:val="20"/>
          <w:szCs w:val="20"/>
          <w:color w:val="auto"/>
        </w:rPr>
      </w:pPr>
      <w:r>
        <w:rPr>
          <w:rFonts w:ascii="Arial" w:cs="Arial" w:eastAsia="Arial" w:hAnsi="Arial"/>
          <w:sz w:val="18"/>
          <w:szCs w:val="18"/>
          <w:color w:val="auto"/>
        </w:rPr>
        <w:t>The Administration Agreement was re-approved by our board of directors, including a majority of our directors who are not interested persons of PennantPark Investment, in February 2013.</w:t>
      </w:r>
    </w:p>
    <w:p>
      <w:pPr>
        <w:spacing w:after="0" w:line="51"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of us.</w:t>
      </w:r>
    </w:p>
    <w:p>
      <w:pPr>
        <w:spacing w:after="0" w:line="59" w:lineRule="exact"/>
        <w:rPr>
          <w:sz w:val="20"/>
          <w:szCs w:val="20"/>
          <w:color w:val="auto"/>
        </w:rPr>
      </w:pPr>
    </w:p>
    <w:p>
      <w:pPr>
        <w:ind w:right="600" w:firstLine="571"/>
        <w:spacing w:after="0" w:line="268" w:lineRule="auto"/>
        <w:rPr>
          <w:sz w:val="20"/>
          <w:szCs w:val="20"/>
          <w:color w:val="auto"/>
        </w:rPr>
      </w:pPr>
      <w:r>
        <w:rPr>
          <w:rFonts w:ascii="Arial" w:cs="Arial" w:eastAsia="Arial" w:hAnsi="Arial"/>
          <w:sz w:val="18"/>
          <w:szCs w:val="18"/>
          <w:color w:val="auto"/>
        </w:rPr>
        <w:t>The Administration Agreement may not be assigned by either party without the consent of the other party. The Administration Agreement may be terminated by either party upon not more than 60 days’ written notice to the other.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PennantPark Investment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PennantPark Investment.</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96"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51" w:lineRule="exact"/>
        <w:rPr>
          <w:sz w:val="20"/>
          <w:szCs w:val="20"/>
          <w:color w:val="auto"/>
        </w:rPr>
      </w:pPr>
    </w:p>
    <w:p>
      <w:pPr>
        <w:jc w:val="both"/>
        <w:ind w:right="100" w:firstLine="571"/>
        <w:spacing w:after="0" w:line="303" w:lineRule="auto"/>
        <w:rPr>
          <w:sz w:val="20"/>
          <w:szCs w:val="20"/>
          <w:color w:val="auto"/>
        </w:rPr>
      </w:pPr>
      <w:r>
        <w:rPr>
          <w:rFonts w:ascii="Arial" w:cs="Arial" w:eastAsia="Arial" w:hAnsi="Arial"/>
          <w:sz w:val="15"/>
          <w:szCs w:val="15"/>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by a principal market maker or a primary market dealer.</w:t>
      </w:r>
    </w:p>
    <w:p>
      <w:pPr>
        <w:spacing w:after="0" w:line="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3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could be material. See Notes 2 and 5 to the Consolidated Financial Statements.</w:t>
      </w:r>
    </w:p>
    <w:p>
      <w:pPr>
        <w:spacing w:after="0" w:line="39"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800" w:right="58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800" w:hanging="346"/>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800" w:right="40" w:hanging="346"/>
        <w:spacing w:after="0" w:line="256"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jc w:val="both"/>
        <w:ind w:left="800" w:right="280" w:hanging="346"/>
        <w:spacing w:after="0" w:line="306"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 the valuation methodologies of the independent valuation firms, and responds to and supplements the valuation recommendations of the independent valuation firms to reflect any comments; and</w:t>
      </w:r>
    </w:p>
    <w:p>
      <w:pPr>
        <w:spacing w:after="0" w:line="25" w:lineRule="exact"/>
        <w:rPr>
          <w:rFonts w:ascii="Arial" w:cs="Arial" w:eastAsia="Arial" w:hAnsi="Arial"/>
          <w:sz w:val="16"/>
          <w:szCs w:val="16"/>
          <w:color w:val="auto"/>
        </w:rPr>
      </w:pPr>
    </w:p>
    <w:p>
      <w:pPr>
        <w:ind w:left="800" w:right="280" w:hanging="346"/>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 the extent we invest in derivative instruments in the future, such instruments would be valued in accordance with our valuation policy.</w:t>
      </w:r>
    </w:p>
    <w:p>
      <w:pPr>
        <w:spacing w:after="0" w:line="171"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PennantPark Investment. Unobservable inputs reflect the assumptions market participants would use in pricing an asset or liability based on the best information available to us at the reporting period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jc w:val="both"/>
        <w:ind w:right="80" w:firstLine="571"/>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is required to make the determination that we are not selling shares of our common stock at a price below NAV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660" w:hanging="314"/>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76"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45"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32"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Importantly, this determination will not necessarily require that we calculate the NAV of our common stock in connection with each offering of shares of our common stock, but instead it will involve the determination by our board of directors or a committee thereof that we are not selling shares of our common stock at a price below the then current NAV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44"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To the extent that the above procedures result in even a remote possibility that we may (i) in the absence of stockholder approval issue shares of our common stock at a price below the then current NAV of our common stock at the time at which the sale is made or (ii) trigger our undertaking to suspend the offering of shares of our common stock pursuant to this prospectus if the NAV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NAV within two days prior to any such sale to ensure that such sale will not be below our then current NAV, and, in the case of clause (ii) above, to comply with such undertaking or to undertake to determine NAV to ensure that such undertaking has not been triggered.</w:t>
      </w:r>
    </w:p>
    <w:p>
      <w:pPr>
        <w:spacing w:after="0" w:line="14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We may, however, subject to the requirements of the 1940 Act, issue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2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ind w:right="440" w:firstLine="571"/>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NAV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right="120" w:firstLine="571"/>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160" w:firstLine="571"/>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P.O. Box 922, Wall Street Station, New York, New York 10269,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of September 30, 2013, our authorized capital stock consisted of 100,000,000 shares of stock, par value $0.001 per share, all of which is classified as common stock. Our common stock is quoted on the NASDAQ Global Select Market under the ticker symbol “PNNT.”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right="840" w:firstLine="571"/>
        <w:spacing w:after="0" w:line="268" w:lineRule="auto"/>
        <w:rPr>
          <w:sz w:val="20"/>
          <w:szCs w:val="20"/>
          <w:color w:val="auto"/>
        </w:rPr>
      </w:pPr>
      <w:r>
        <w:rPr>
          <w:rFonts w:ascii="Arial" w:cs="Arial" w:eastAsia="Arial" w:hAnsi="Arial"/>
          <w:sz w:val="18"/>
          <w:szCs w:val="18"/>
          <w:color w:val="auto"/>
        </w:rPr>
        <w:t>The last reported closing market price of our common stock on December 6, 2013 was $11.93 per share. As of September 30, 2013, we had 11 stockholders of record.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our outstanding classes of securities as of September 30,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2"/>
          </w:tcPr>
          <w:p>
            <w:pPr>
              <w:ind w:left="460"/>
              <w:spacing w:after="0"/>
              <w:rPr>
                <w:sz w:val="20"/>
                <w:szCs w:val="20"/>
                <w:color w:val="auto"/>
              </w:rPr>
            </w:pPr>
            <w:r>
              <w:rPr>
                <w:rFonts w:ascii="Arial" w:cs="Arial" w:eastAsia="Arial" w:hAnsi="Arial"/>
                <w:sz w:val="14"/>
                <w:szCs w:val="14"/>
                <w:b w:val="1"/>
                <w:bCs w:val="1"/>
                <w:color w:val="auto"/>
              </w:rPr>
              <w:t>Amount Held by</w:t>
            </w:r>
          </w:p>
        </w:tc>
        <w:tc>
          <w:tcPr>
            <w:tcW w:w="1820" w:type="dxa"/>
            <w:vAlign w:val="bottom"/>
          </w:tcPr>
          <w:p>
            <w:pPr>
              <w:spacing w:after="0"/>
              <w:rPr>
                <w:sz w:val="14"/>
                <w:szCs w:val="14"/>
                <w:color w:val="auto"/>
              </w:rPr>
            </w:pPr>
          </w:p>
        </w:tc>
      </w:tr>
      <w:tr>
        <w:trPr>
          <w:trHeight w:val="149"/>
        </w:trPr>
        <w:tc>
          <w:tcPr>
            <w:tcW w:w="5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ind w:left="680"/>
              <w:spacing w:after="0" w:line="149" w:lineRule="exact"/>
              <w:rPr>
                <w:sz w:val="20"/>
                <w:szCs w:val="20"/>
                <w:color w:val="auto"/>
              </w:rPr>
            </w:pPr>
            <w:r>
              <w:rPr>
                <w:rFonts w:ascii="Arial" w:cs="Arial" w:eastAsia="Arial" w:hAnsi="Arial"/>
                <w:sz w:val="14"/>
                <w:szCs w:val="14"/>
                <w:b w:val="1"/>
                <w:bCs w:val="1"/>
                <w:color w:val="auto"/>
              </w:rPr>
              <w:t>Amount</w:t>
            </w: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7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gridSpan w:val="2"/>
          </w:tcPr>
          <w:p>
            <w:pPr>
              <w:ind w:left="560"/>
              <w:spacing w:after="0"/>
              <w:rPr>
                <w:sz w:val="20"/>
                <w:szCs w:val="20"/>
                <w:color w:val="auto"/>
              </w:rPr>
            </w:pPr>
            <w:r>
              <w:rPr>
                <w:rFonts w:ascii="Arial" w:cs="Arial" w:eastAsia="Arial" w:hAnsi="Arial"/>
                <w:sz w:val="14"/>
                <w:szCs w:val="14"/>
                <w:b w:val="1"/>
                <w:bCs w:val="1"/>
                <w:color w:val="auto"/>
              </w:rPr>
              <w:t>Authorized</w:t>
            </w: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55"/>
        </w:trPr>
        <w:tc>
          <w:tcPr>
            <w:tcW w:w="5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16"/>
        </w:trPr>
        <w:tc>
          <w:tcPr>
            <w:tcW w:w="5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 par value $0.001 per share</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100,000,000</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jc w:val="right"/>
              <w:ind w:right="6"/>
              <w:spacing w:after="0"/>
              <w:rPr>
                <w:sz w:val="20"/>
                <w:szCs w:val="20"/>
                <w:color w:val="auto"/>
              </w:rPr>
            </w:pPr>
            <w:r>
              <w:rPr>
                <w:rFonts w:ascii="Arial" w:cs="Arial" w:eastAsia="Arial" w:hAnsi="Arial"/>
                <w:sz w:val="18"/>
                <w:szCs w:val="18"/>
                <w:color w:val="auto"/>
              </w:rPr>
              <w:t>66,499,327</w:t>
            </w:r>
          </w:p>
        </w:tc>
      </w:tr>
      <w:tr>
        <w:trPr>
          <w:trHeight w:val="61"/>
        </w:trPr>
        <w:tc>
          <w:tcPr>
            <w:tcW w:w="55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bl>
    <w:p>
      <w:pPr>
        <w:spacing w:after="0" w:line="154" w:lineRule="exact"/>
        <w:rPr>
          <w:sz w:val="20"/>
          <w:szCs w:val="20"/>
          <w:color w:val="auto"/>
        </w:rPr>
      </w:pPr>
    </w:p>
    <w:p>
      <w:pPr>
        <w:ind w:right="240" w:firstLine="571"/>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PennantPark Investment,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120" w:firstLine="571"/>
        <w:spacing w:after="0" w:line="286"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w:t>
      </w:r>
    </w:p>
    <w:p>
      <w:pPr>
        <w:ind w:right="700" w:firstLine="8"/>
        <w:spacing w:after="0" w:line="323"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63" w:lineRule="exact"/>
        <w:rPr>
          <w:sz w:val="20"/>
          <w:szCs w:val="20"/>
          <w:color w:val="auto"/>
        </w:rPr>
      </w:pPr>
    </w:p>
    <w:p>
      <w:pPr>
        <w:ind w:right="40" w:firstLine="571"/>
        <w:spacing w:after="0" w:line="309" w:lineRule="auto"/>
        <w:rPr>
          <w:sz w:val="20"/>
          <w:szCs w:val="20"/>
          <w:color w:val="auto"/>
        </w:rPr>
      </w:pPr>
      <w:r>
        <w:rPr>
          <w:rFonts w:ascii="Arial" w:cs="Arial" w:eastAsia="Arial" w:hAnsi="Arial"/>
          <w:sz w:val="15"/>
          <w:szCs w:val="15"/>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60" w:firstLine="571"/>
        <w:spacing w:after="0" w:line="253"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at the annual meeting of stockholders held in 2014, 2015, and 2016,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Our charter and bylaws provide that the affirmative vote of the holders of a majority of the outstanding shares of stock entitled to vote in the election of directors will be required to elect a director. Pursuant to the charter, our board of directors may amend the bylaws to alter the vote required to elect directors.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39"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100" w:firstLine="571"/>
        <w:spacing w:after="0" w:line="305" w:lineRule="auto"/>
        <w:rPr>
          <w:sz w:val="20"/>
          <w:szCs w:val="20"/>
          <w:color w:val="auto"/>
        </w:rPr>
      </w:pPr>
      <w:r>
        <w:rPr>
          <w:rFonts w:ascii="Arial" w:cs="Arial" w:eastAsia="Arial" w:hAnsi="Arial"/>
          <w:sz w:val="15"/>
          <w:szCs w:val="15"/>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or at the direction of the board of directors or</w:t>
      </w:r>
    </w:p>
    <w:p>
      <w:pPr>
        <w:ind w:right="40" w:firstLine="8"/>
        <w:spacing w:after="0" w:line="290" w:lineRule="auto"/>
        <w:tabs>
          <w:tab w:leader="none" w:pos="249" w:val="left"/>
        </w:tabs>
        <w:numPr>
          <w:ilvl w:val="0"/>
          <w:numId w:val="58"/>
        </w:numPr>
        <w:rPr>
          <w:rFonts w:ascii="Arial" w:cs="Arial" w:eastAsia="Arial" w:hAnsi="Arial"/>
          <w:sz w:val="16"/>
          <w:szCs w:val="16"/>
          <w:color w:val="auto"/>
        </w:rPr>
      </w:pPr>
      <w:r>
        <w:rPr>
          <w:rFonts w:ascii="Arial" w:cs="Arial" w:eastAsia="Arial" w:hAnsi="Arial"/>
          <w:sz w:val="16"/>
          <w:szCs w:val="16"/>
          <w:color w:val="auto"/>
        </w:rPr>
        <w:t>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18" w:lineRule="exact"/>
        <w:rPr>
          <w:sz w:val="20"/>
          <w:szCs w:val="20"/>
          <w:color w:val="auto"/>
        </w:rPr>
      </w:pPr>
    </w:p>
    <w:p>
      <w:pPr>
        <w:ind w:right="60" w:firstLine="571"/>
        <w:spacing w:after="0" w:line="289"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20" w:firstLine="571"/>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480" w:firstLine="571"/>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Control Share Acquisition Act provides that control shares of a Maryland corporation acquired in a control share acquisition have no voting rights except to the extent approved by a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35" w:lineRule="exact"/>
        <w:rPr>
          <w:sz w:val="20"/>
          <w:szCs w:val="20"/>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9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control shares, subject to certain exceptions.</w:t>
      </w:r>
    </w:p>
    <w:p>
      <w:pPr>
        <w:spacing w:after="0" w:line="59"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62"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37"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51" w:lineRule="exact"/>
        <w:rPr>
          <w:sz w:val="20"/>
          <w:szCs w:val="20"/>
          <w:color w:val="auto"/>
        </w:rPr>
      </w:pPr>
    </w:p>
    <w:p>
      <w:pPr>
        <w:ind w:right="220" w:firstLine="571"/>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660" w:hanging="314"/>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51"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660" w:hanging="314"/>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76" w:lineRule="exact"/>
        <w:rPr>
          <w:rFonts w:ascii="Arial" w:cs="Arial" w:eastAsia="Arial" w:hAnsi="Arial"/>
          <w:sz w:val="18"/>
          <w:szCs w:val="18"/>
          <w:color w:val="auto"/>
        </w:rPr>
      </w:pPr>
    </w:p>
    <w:p>
      <w:pPr>
        <w:ind w:left="660" w:right="40" w:hanging="314"/>
        <w:spacing w:after="0" w:line="332"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4"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4"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Our bylaws provide that, 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76" w:lineRule="exact"/>
        <w:rPr>
          <w:rFonts w:ascii="Arial" w:cs="Arial" w:eastAsia="Arial" w:hAnsi="Arial"/>
          <w:sz w:val="18"/>
          <w:szCs w:val="18"/>
          <w:color w:val="auto"/>
        </w:rPr>
      </w:pPr>
    </w:p>
    <w:p>
      <w:pPr>
        <w:ind w:left="660" w:right="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76" w:lineRule="exact"/>
        <w:rPr>
          <w:rFonts w:ascii="Arial" w:cs="Arial" w:eastAsia="Arial" w:hAnsi="Arial"/>
          <w:sz w:val="18"/>
          <w:szCs w:val="18"/>
          <w:color w:val="auto"/>
        </w:rPr>
      </w:pPr>
    </w:p>
    <w:p>
      <w:pPr>
        <w:ind w:left="660" w:right="84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right="760" w:hanging="314"/>
        <w:spacing w:after="0" w:line="268"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76"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7" w:lineRule="exact"/>
        <w:rPr>
          <w:rFonts w:ascii="Arial" w:cs="Arial" w:eastAsia="Arial" w:hAnsi="Arial"/>
          <w:sz w:val="18"/>
          <w:szCs w:val="18"/>
          <w:color w:val="auto"/>
        </w:rPr>
      </w:pPr>
    </w:p>
    <w:p>
      <w:pPr>
        <w:ind w:left="660" w:right="320" w:hanging="314"/>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5" w:lineRule="exact"/>
        <w:rPr>
          <w:rFonts w:ascii="Arial" w:cs="Arial" w:eastAsia="Arial" w:hAnsi="Arial"/>
          <w:sz w:val="18"/>
          <w:szCs w:val="18"/>
          <w:color w:val="auto"/>
        </w:rPr>
      </w:pPr>
    </w:p>
    <w:p>
      <w:pPr>
        <w:ind w:left="660" w:right="200" w:hanging="314"/>
        <w:spacing w:after="0" w:line="259"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terms of such warrants, including terms, procedures and limitations relating to the exchange and exercise of such warrants.</w:t>
      </w:r>
    </w:p>
    <w:p>
      <w:pPr>
        <w:spacing w:after="0" w:line="171"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4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99" w:lineRule="exact"/>
        <w:rPr>
          <w:rFonts w:ascii="Arial" w:cs="Arial" w:eastAsia="Arial" w:hAnsi="Arial"/>
          <w:sz w:val="16"/>
          <w:szCs w:val="16"/>
          <w:color w:val="auto"/>
        </w:rPr>
      </w:pPr>
    </w:p>
    <w:p>
      <w:pPr>
        <w:ind w:left="660" w:right="76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76" w:lineRule="exact"/>
        <w:rPr>
          <w:rFonts w:ascii="Arial" w:cs="Arial" w:eastAsia="Arial" w:hAnsi="Arial"/>
          <w:sz w:val="18"/>
          <w:szCs w:val="18"/>
          <w:color w:val="auto"/>
        </w:rPr>
      </w:pPr>
    </w:p>
    <w:p>
      <w:pPr>
        <w:ind w:left="660" w:right="180" w:hanging="314"/>
        <w:spacing w:after="0" w:line="268"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4"/>
        </w:numPr>
        <w:rPr>
          <w:rFonts w:ascii="Arial" w:cs="Arial" w:eastAsia="Arial" w:hAnsi="Arial"/>
          <w:sz w:val="15"/>
          <w:szCs w:val="15"/>
          <w:color w:val="auto"/>
        </w:rPr>
      </w:pPr>
      <w:r>
        <w:rPr>
          <w:rFonts w:ascii="Arial" w:cs="Arial" w:eastAsia="Arial" w:hAnsi="Arial"/>
          <w:sz w:val="15"/>
          <w:szCs w:val="15"/>
          <w:color w:val="auto"/>
        </w:rPr>
        <w:t>any other terms of such subscription rights, including terms, procedures and limitations relating to the exchange and exercise of such subscription rights.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96"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DEBT SECURITIES</w:t>
      </w:r>
    </w:p>
    <w:p>
      <w:pPr>
        <w:spacing w:after="0" w:line="96" w:lineRule="exact"/>
        <w:rPr>
          <w:sz w:val="20"/>
          <w:szCs w:val="20"/>
          <w:color w:val="auto"/>
        </w:rPr>
      </w:pPr>
    </w:p>
    <w:p>
      <w:pPr>
        <w:ind w:right="320" w:firstLine="571"/>
        <w:spacing w:after="0" w:line="305" w:lineRule="auto"/>
        <w:rPr>
          <w:sz w:val="20"/>
          <w:szCs w:val="20"/>
          <w:color w:val="auto"/>
        </w:rPr>
      </w:pPr>
      <w:r>
        <w:rPr>
          <w:rFonts w:ascii="Arial" w:cs="Arial" w:eastAsia="Arial" w:hAnsi="Arial"/>
          <w:sz w:val="15"/>
          <w:szCs w:val="15"/>
          <w:color w:val="auto"/>
        </w:rPr>
        <w:t>For the fiscal year ended September 30, 2013, we issued $71.3 million in aggregate principal amount of 2025 Notes for net proceeds of $68.8 million after underwriting discounts and offering costs. Interest on the 2025 Notes is paid quarterly on February 1, May 1, August 1 and November 1, at a rate of</w:t>
      </w:r>
    </w:p>
    <w:p>
      <w:pPr>
        <w:ind w:right="80"/>
        <w:spacing w:after="0" w:line="254" w:lineRule="auto"/>
        <w:rPr>
          <w:sz w:val="20"/>
          <w:szCs w:val="20"/>
          <w:color w:val="auto"/>
        </w:rPr>
      </w:pPr>
      <w:r>
        <w:rPr>
          <w:rFonts w:ascii="Arial" w:cs="Arial" w:eastAsia="Arial" w:hAnsi="Arial"/>
          <w:sz w:val="18"/>
          <w:szCs w:val="18"/>
          <w:color w:val="auto"/>
        </w:rPr>
        <w:t>6.25% per year, commencing on May 1, 2013. The 2025 Notes mature on February 1, 2025. We may redeem the 2025 Notes in whole or in part at any time or from time to time on or after February 1, 2016. The 2025 Notes are our general, unsecured obligations and rank equal in right of payment with all of our existing and future senior unsecured indebtedness. The 2025 Notes are quoted on the NYSE under the ticker symbol “PNTA.” The last reported closing market price of the 2025 Notes on December 6, 2013 was $23.93 per $25 of par.</w:t>
      </w:r>
    </w:p>
    <w:p>
      <w:pPr>
        <w:spacing w:after="0" w:line="6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62" w:lineRule="exact"/>
        <w:rPr>
          <w:sz w:val="20"/>
          <w:szCs w:val="20"/>
          <w:color w:val="auto"/>
        </w:rPr>
      </w:pPr>
    </w:p>
    <w:p>
      <w:pPr>
        <w:ind w:right="160" w:firstLine="571"/>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for more information. Second, the trustee performs certain administrative duties for us, such as sending interest and principal payments to holders.</w:t>
      </w:r>
    </w:p>
    <w:p>
      <w:pPr>
        <w:spacing w:after="0" w:line="3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indenture with the SEC.</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00" w:lineRule="exact"/>
        <w:rPr>
          <w:sz w:val="20"/>
          <w:szCs w:val="20"/>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36" w:lineRule="exact"/>
        <w:rPr>
          <w:rFonts w:ascii="Arial" w:cs="Arial" w:eastAsia="Arial" w:hAnsi="Arial"/>
          <w:sz w:val="18"/>
          <w:szCs w:val="18"/>
          <w:color w:val="auto"/>
        </w:rPr>
      </w:pPr>
    </w:p>
    <w:p>
      <w:pPr>
        <w:ind w:left="660" w:right="160" w:hanging="314"/>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36" w:lineRule="exact"/>
        <w:rPr>
          <w:rFonts w:ascii="Arial" w:cs="Arial" w:eastAsia="Arial" w:hAnsi="Arial"/>
          <w:sz w:val="18"/>
          <w:szCs w:val="18"/>
          <w:color w:val="auto"/>
        </w:rPr>
      </w:pPr>
    </w:p>
    <w:p>
      <w:pPr>
        <w:ind w:left="660" w:hanging="314"/>
        <w:spacing w:after="0" w:line="266"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36"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59" w:lineRule="exact"/>
        <w:rPr>
          <w:rFonts w:ascii="Arial" w:cs="Arial" w:eastAsia="Arial" w:hAnsi="Arial"/>
          <w:sz w:val="16"/>
          <w:szCs w:val="16"/>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40" w:hanging="314"/>
        <w:spacing w:after="0" w:line="299"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36" w:lineRule="exact"/>
        <w:rPr>
          <w:rFonts w:ascii="Arial" w:cs="Arial" w:eastAsia="Arial" w:hAnsi="Arial"/>
          <w:sz w:val="18"/>
          <w:szCs w:val="18"/>
          <w:color w:val="auto"/>
        </w:rPr>
      </w:pPr>
    </w:p>
    <w:p>
      <w:pPr>
        <w:ind w:left="660" w:hanging="314"/>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The debt securities may be secured or unsecured obligations. Under the provisions of the 1940 Act, we are permitted, as a BDC, to issue debt only in amounts such that we are in compliance with our asset coverage, as defined in the 1940 Act, excluding the SBA debentures due to SEC exemptive relief granted in June 2011. Unless the prospectus supplement states otherwise, principal (and premium, if any) and interest, if any, will be paid by us in immediately available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or offered debt securities, and any debt securities issuable upon the exercise of warrants or upon conversion or exchange of other offered securities, or underlying debt securities may be issued under the indenture in one or more series.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20"/>
          </w:cols>
          <w:pgMar w:left="24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5"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13"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4"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59"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13"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86"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58" w:lineRule="exact"/>
        <w:rPr>
          <w:sz w:val="20"/>
          <w:szCs w:val="20"/>
          <w:color w:val="auto"/>
        </w:rPr>
      </w:pPr>
    </w:p>
    <w:p>
      <w:pPr>
        <w:jc w:val="both"/>
        <w:ind w:right="40" w:firstLine="571"/>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571"/>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16"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76" w:lineRule="exact"/>
        <w:rPr>
          <w:rFonts w:ascii="Arial" w:cs="Arial" w:eastAsia="Arial" w:hAnsi="Arial"/>
          <w:sz w:val="18"/>
          <w:szCs w:val="18"/>
          <w:color w:val="auto"/>
        </w:rPr>
      </w:pPr>
    </w:p>
    <w:p>
      <w:pPr>
        <w:ind w:left="66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37" w:lineRule="exact"/>
        <w:rPr>
          <w:rFonts w:ascii="Arial" w:cs="Arial" w:eastAsia="Arial" w:hAnsi="Arial"/>
          <w:sz w:val="18"/>
          <w:szCs w:val="18"/>
          <w:color w:val="auto"/>
        </w:rPr>
      </w:pPr>
    </w:p>
    <w:p>
      <w:pPr>
        <w:ind w:left="660" w:right="20" w:hanging="314"/>
        <w:spacing w:after="0" w:line="268"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571"/>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660" w:right="10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7" w:lineRule="exact"/>
        <w:rPr>
          <w:rFonts w:ascii="Arial" w:cs="Arial" w:eastAsia="Arial" w:hAnsi="Arial"/>
          <w:sz w:val="18"/>
          <w:szCs w:val="18"/>
          <w:color w:val="auto"/>
        </w:rPr>
      </w:pPr>
    </w:p>
    <w:p>
      <w:pPr>
        <w:ind w:left="660" w:right="100" w:hanging="314"/>
        <w:spacing w:after="0" w:line="347" w:lineRule="auto"/>
        <w:tabs>
          <w:tab w:leader="none" w:pos="6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ind w:left="660" w:right="34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7"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37" w:lineRule="exact"/>
        <w:rPr>
          <w:rFonts w:ascii="Arial" w:cs="Arial" w:eastAsia="Arial" w:hAnsi="Arial"/>
          <w:sz w:val="18"/>
          <w:szCs w:val="18"/>
          <w:color w:val="auto"/>
        </w:rPr>
      </w:pPr>
    </w:p>
    <w:p>
      <w:pPr>
        <w:ind w:left="660" w:right="140" w:hanging="314"/>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45" w:lineRule="exact"/>
        <w:rPr>
          <w:rFonts w:ascii="Arial" w:cs="Arial" w:eastAsia="Arial" w:hAnsi="Arial"/>
          <w:sz w:val="18"/>
          <w:szCs w:val="18"/>
          <w:color w:val="auto"/>
        </w:rPr>
      </w:pPr>
    </w:p>
    <w:p>
      <w:pPr>
        <w:ind w:left="660" w:right="360" w:hanging="314"/>
        <w:spacing w:after="0" w:line="268"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7" w:lineRule="exact"/>
        <w:rPr>
          <w:rFonts w:ascii="Arial" w:cs="Arial" w:eastAsia="Arial" w:hAnsi="Arial"/>
          <w:sz w:val="18"/>
          <w:szCs w:val="18"/>
          <w:color w:val="auto"/>
        </w:rPr>
      </w:pPr>
    </w:p>
    <w:p>
      <w:pPr>
        <w:ind w:left="660" w:right="180" w:hanging="314"/>
        <w:spacing w:after="0" w:line="259"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5" w:lineRule="exact"/>
        <w:rPr>
          <w:rFonts w:ascii="Arial" w:cs="Arial" w:eastAsia="Arial" w:hAnsi="Arial"/>
          <w:sz w:val="18"/>
          <w:szCs w:val="18"/>
          <w:color w:val="auto"/>
        </w:rPr>
      </w:pPr>
    </w:p>
    <w:p>
      <w:pPr>
        <w:ind w:left="660" w:right="240" w:hanging="314"/>
        <w:spacing w:after="0" w:line="325"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1" w:lineRule="exact"/>
        <w:rPr>
          <w:rFonts w:ascii="Arial" w:cs="Arial" w:eastAsia="Arial" w:hAnsi="Arial"/>
          <w:sz w:val="16"/>
          <w:szCs w:val="16"/>
          <w:color w:val="auto"/>
        </w:rPr>
      </w:pPr>
    </w:p>
    <w:p>
      <w:pPr>
        <w:ind w:left="660" w:right="20" w:hanging="314"/>
        <w:spacing w:after="0" w:line="306" w:lineRule="auto"/>
        <w:tabs>
          <w:tab w:leader="none" w:pos="6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660" w:right="40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76" w:lineRule="exact"/>
        <w:rPr>
          <w:rFonts w:ascii="Arial" w:cs="Arial" w:eastAsia="Arial" w:hAnsi="Arial"/>
          <w:sz w:val="18"/>
          <w:szCs w:val="18"/>
          <w:color w:val="auto"/>
        </w:rPr>
      </w:pPr>
    </w:p>
    <w:p>
      <w:pPr>
        <w:ind w:left="660" w:right="280" w:hanging="314"/>
        <w:spacing w:after="0" w:line="268"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213" w:lineRule="exact"/>
        <w:rPr>
          <w:sz w:val="20"/>
          <w:szCs w:val="20"/>
          <w:color w:val="auto"/>
        </w:rPr>
      </w:pPr>
    </w:p>
    <w:p>
      <w:pPr>
        <w:jc w:val="both"/>
        <w:ind w:firstLine="571"/>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jc w:val="center"/>
        <w:ind w:left="500" w:right="320"/>
        <w:spacing w:after="0" w:line="440"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 86</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76" w:lineRule="exact"/>
        <w:rPr>
          <w:rFonts w:ascii="Arial" w:cs="Arial" w:eastAsia="Arial" w:hAnsi="Arial"/>
          <w:sz w:val="18"/>
          <w:szCs w:val="18"/>
          <w:color w:val="auto"/>
        </w:rPr>
      </w:pPr>
    </w:p>
    <w:p>
      <w:pPr>
        <w:ind w:left="660" w:right="400" w:hanging="314"/>
        <w:spacing w:after="0" w:line="325" w:lineRule="auto"/>
        <w:tabs>
          <w:tab w:leader="none" w:pos="6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37" w:lineRule="exact"/>
        <w:rPr>
          <w:sz w:val="20"/>
          <w:szCs w:val="20"/>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76" w:lineRule="exact"/>
        <w:rPr>
          <w:rFonts w:ascii="Arial" w:cs="Arial" w:eastAsia="Arial" w:hAnsi="Arial"/>
          <w:sz w:val="18"/>
          <w:szCs w:val="18"/>
          <w:color w:val="auto"/>
        </w:rPr>
      </w:pPr>
    </w:p>
    <w:p>
      <w:pPr>
        <w:ind w:left="660" w:right="180" w:hanging="314"/>
        <w:spacing w:after="0" w:line="325" w:lineRule="auto"/>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 w:lineRule="exact"/>
        <w:rPr>
          <w:rFonts w:ascii="Arial" w:cs="Arial" w:eastAsia="Arial" w:hAnsi="Arial"/>
          <w:sz w:val="16"/>
          <w:szCs w:val="16"/>
          <w:color w:val="auto"/>
        </w:rPr>
      </w:pPr>
    </w:p>
    <w:p>
      <w:pPr>
        <w:ind w:left="660" w:hanging="314"/>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76" w:lineRule="exact"/>
        <w:rPr>
          <w:rFonts w:ascii="Arial" w:cs="Arial" w:eastAsia="Arial" w:hAnsi="Arial"/>
          <w:sz w:val="18"/>
          <w:szCs w:val="18"/>
          <w:color w:val="auto"/>
        </w:rPr>
      </w:pPr>
    </w:p>
    <w:p>
      <w:pPr>
        <w:ind w:left="660" w:right="120" w:hanging="314"/>
        <w:spacing w:after="0" w:line="268"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40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4" w:lineRule="exact"/>
        <w:rPr>
          <w:sz w:val="20"/>
          <w:szCs w:val="20"/>
          <w:color w:val="auto"/>
        </w:rPr>
      </w:pPr>
    </w:p>
    <w:p>
      <w:pPr>
        <w:ind w:left="660" w:hanging="314"/>
        <w:spacing w:after="0"/>
        <w:tabs>
          <w:tab w:leader="none" w:pos="660" w:val="left"/>
        </w:tabs>
        <w:numPr>
          <w:ilvl w:val="0"/>
          <w:numId w:val="72"/>
        </w:numPr>
        <w:rPr>
          <w:rFonts w:ascii="Arial" w:cs="Arial" w:eastAsia="Arial" w:hAnsi="Arial"/>
          <w:sz w:val="15"/>
          <w:szCs w:val="15"/>
          <w:color w:val="auto"/>
        </w:rPr>
      </w:pPr>
      <w:r>
        <w:rPr>
          <w:rFonts w:ascii="Arial" w:cs="Arial" w:eastAsia="Arial" w:hAnsi="Arial"/>
          <w:sz w:val="15"/>
          <w:szCs w:val="15"/>
          <w:color w:val="auto"/>
        </w:rPr>
        <w:t>where we merge out of existence or sell our assets, the resulting entity must agree to be legally responsible for our obligations under the debt securities;</w:t>
      </w:r>
    </w:p>
    <w:p>
      <w:pPr>
        <w:spacing w:after="0" w:line="111" w:lineRule="exact"/>
        <w:rPr>
          <w:rFonts w:ascii="Arial" w:cs="Arial" w:eastAsia="Arial" w:hAnsi="Arial"/>
          <w:sz w:val="15"/>
          <w:szCs w:val="15"/>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99" w:lineRule="exact"/>
        <w:rPr>
          <w:rFonts w:ascii="Arial" w:cs="Arial" w:eastAsia="Arial" w:hAnsi="Arial"/>
          <w:sz w:val="16"/>
          <w:szCs w:val="16"/>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76" w:lineRule="exact"/>
        <w:rPr>
          <w:rFonts w:ascii="Arial" w:cs="Arial" w:eastAsia="Arial" w:hAnsi="Arial"/>
          <w:sz w:val="18"/>
          <w:szCs w:val="18"/>
          <w:color w:val="auto"/>
        </w:rPr>
      </w:pPr>
    </w:p>
    <w:p>
      <w:pPr>
        <w:ind w:left="660" w:right="22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660" w:hanging="314"/>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99" w:lineRule="exact"/>
        <w:rPr>
          <w:rFonts w:ascii="Arial" w:cs="Arial" w:eastAsia="Arial" w:hAnsi="Arial"/>
          <w:sz w:val="16"/>
          <w:szCs w:val="16"/>
          <w:color w:val="auto"/>
        </w:rPr>
      </w:pPr>
    </w:p>
    <w:p>
      <w:pPr>
        <w:ind w:left="660" w:right="560" w:hanging="314"/>
        <w:spacing w:after="0" w:line="332" w:lineRule="auto"/>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20"/>
          </w:cols>
          <w:pgMar w:left="24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660" w:right="30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37" w:lineRule="exact"/>
        <w:rPr>
          <w:rFonts w:ascii="Arial" w:cs="Arial" w:eastAsia="Arial" w:hAnsi="Arial"/>
          <w:sz w:val="18"/>
          <w:szCs w:val="18"/>
          <w:color w:val="auto"/>
        </w:rPr>
      </w:pPr>
    </w:p>
    <w:p>
      <w:pPr>
        <w:ind w:left="660" w:right="160" w:hanging="314"/>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right="220" w:firstLine="571"/>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jc w:val="both"/>
        <w:ind w:left="660" w:right="40" w:hanging="314"/>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45" w:lineRule="exact"/>
        <w:rPr>
          <w:rFonts w:ascii="Arial" w:cs="Arial" w:eastAsia="Arial" w:hAnsi="Arial"/>
          <w:sz w:val="18"/>
          <w:szCs w:val="18"/>
          <w:color w:val="auto"/>
        </w:rPr>
      </w:pPr>
    </w:p>
    <w:p>
      <w:pPr>
        <w:ind w:left="660" w:right="40" w:hanging="314"/>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400" w:firstLine="571"/>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right="260" w:firstLine="571"/>
        <w:spacing w:after="0" w:line="335" w:lineRule="auto"/>
        <w:rPr>
          <w:sz w:val="20"/>
          <w:szCs w:val="20"/>
          <w:color w:val="auto"/>
        </w:rPr>
      </w:pPr>
      <w:r>
        <w:rPr>
          <w:rFonts w:ascii="Arial" w:cs="Arial" w:eastAsia="Arial" w:hAnsi="Arial"/>
          <w:sz w:val="15"/>
          <w:szCs w:val="15"/>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540" w:firstLine="571"/>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jc w:val="both"/>
        <w:ind w:left="660" w:right="80" w:hanging="314"/>
        <w:spacing w:after="0" w:line="259"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45" w:lineRule="exact"/>
        <w:rPr>
          <w:rFonts w:ascii="Arial" w:cs="Arial" w:eastAsia="Arial" w:hAnsi="Arial"/>
          <w:sz w:val="18"/>
          <w:szCs w:val="18"/>
          <w:color w:val="auto"/>
        </w:rPr>
      </w:pPr>
    </w:p>
    <w:p>
      <w:pPr>
        <w:ind w:left="660" w:right="40" w:hanging="314"/>
        <w:spacing w:after="0" w:line="294"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21" w:lineRule="exact"/>
        <w:rPr>
          <w:rFonts w:ascii="Arial" w:cs="Arial" w:eastAsia="Arial" w:hAnsi="Arial"/>
          <w:sz w:val="16"/>
          <w:szCs w:val="16"/>
          <w:color w:val="auto"/>
        </w:rPr>
      </w:pPr>
    </w:p>
    <w:p>
      <w:pPr>
        <w:ind w:left="660" w:right="200" w:hanging="314"/>
        <w:spacing w:after="0" w:line="268"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32"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71" w:lineRule="exact"/>
        <w:rPr>
          <w:sz w:val="20"/>
          <w:szCs w:val="20"/>
          <w:color w:val="auto"/>
        </w:rPr>
      </w:pPr>
    </w:p>
    <w:p>
      <w:pPr>
        <w:ind w:right="820" w:firstLine="571"/>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jc w:val="both"/>
        <w:ind w:right="440" w:firstLine="571"/>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20"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660" w:hanging="314"/>
        <w:spacing w:after="0" w:line="256"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48" w:lineRule="exact"/>
        <w:rPr>
          <w:rFonts w:ascii="Arial" w:cs="Arial" w:eastAsia="Arial" w:hAnsi="Arial"/>
          <w:sz w:val="18"/>
          <w:szCs w:val="18"/>
          <w:color w:val="auto"/>
        </w:rPr>
      </w:pPr>
    </w:p>
    <w:p>
      <w:pPr>
        <w:ind w:left="660" w:hanging="314"/>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 LLC is the trustee under the indenture.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jc w:val="both"/>
        <w:ind w:right="120" w:firstLine="571"/>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UNITS</w:t>
      </w:r>
    </w:p>
    <w:p>
      <w:pPr>
        <w:spacing w:after="0" w:line="17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As specified in the applicable prospectus supplement, we may issue units comprised of one or more of the other securities described in this prospectus in any combination. Each unit may also include securities issued by the U.S. Treasury. Each unit will be issued so that the holder of the unit is also the holder of each security included in the unit. Thus, the holder of a unit will have the rights and obligations of a holder of each included security. The prospectus supplement will describe:</w:t>
      </w:r>
    </w:p>
    <w:p>
      <w:pPr>
        <w:spacing w:after="0" w:line="62" w:lineRule="exact"/>
        <w:rPr>
          <w:sz w:val="20"/>
          <w:szCs w:val="20"/>
          <w:color w:val="auto"/>
        </w:rPr>
      </w:pPr>
    </w:p>
    <w:p>
      <w:pPr>
        <w:ind w:left="660" w:right="640" w:hanging="314"/>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the securities comprising the units may be held or transferred separately;</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the terms of any unit agreement governing the units;</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description of the provisions for the payment, settlement, transfer or exchange of the units; and</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w:t>
      </w:r>
    </w:p>
    <w:p>
      <w:pPr>
        <w:spacing w:after="0" w:line="252" w:lineRule="exact"/>
        <w:rPr>
          <w:sz w:val="20"/>
          <w:szCs w:val="20"/>
          <w:color w:val="auto"/>
        </w:rPr>
      </w:pPr>
    </w:p>
    <w:p>
      <w:pPr>
        <w:ind w:right="40" w:firstLine="571"/>
        <w:spacing w:after="0" w:line="284" w:lineRule="auto"/>
        <w:rPr>
          <w:sz w:val="20"/>
          <w:szCs w:val="20"/>
          <w:color w:val="auto"/>
        </w:rPr>
      </w:pPr>
      <w:r>
        <w:rPr>
          <w:rFonts w:ascii="Arial" w:cs="Arial" w:eastAsia="Arial" w:hAnsi="Arial"/>
          <w:sz w:val="16"/>
          <w:szCs w:val="16"/>
          <w:color w:val="auto"/>
        </w:rPr>
        <w:t>If a unit includes a share of common stock, the public offering price for the unit will reflect a price per share of common stock that equals or exceeds our then current NAV per share, unless the requirements of Section 63 of the 1940 Act have been satisfied. Section 63 permits us to sell shares of common stock below our then current NAV per share if: (1) the majority of our board of directors approves the offering as being in the best interests of us and our stockholders,</w:t>
      </w:r>
    </w:p>
    <w:p>
      <w:pPr>
        <w:spacing w:after="0" w:line="1" w:lineRule="exact"/>
        <w:rPr>
          <w:sz w:val="20"/>
          <w:szCs w:val="20"/>
          <w:color w:val="auto"/>
        </w:rPr>
      </w:pPr>
    </w:p>
    <w:p>
      <w:pPr>
        <w:jc w:val="both"/>
        <w:ind w:right="140" w:firstLine="8"/>
        <w:spacing w:after="0" w:line="295"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majority of our stockholders (including a majority of our stockholders who are not affiliated persons of us) have approved the issuance of common stock below the then current NAV per share in the 12 months preceding the offering and (3) the offering price closely approximates the market value of the common stock. If the Section 63 requirements are met, the price per share of common stock included in a unit may be below the Company’s then current NAV per share. See “Sales of Common Stock Below Net Asset Value” for more information.</w:t>
      </w:r>
    </w:p>
    <w:p>
      <w:pPr>
        <w:spacing w:after="0" w:line="115"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Units may also include warrants to purchase shares of our common stock in the future. We may generally only offer such warrants if (1) the warrants expire by their terms within ten years, (2) the exercise price is not less than the market value of our common stock at the date of issuance, (3) the exercise prices is not less than the then current NAV per share of our common stock (unless the Section 63 requirements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have been publicly distributed. The 1940 Act also provides that the amount of our voting securities that would result from the exercise of all outstanding warrants at the time of issuance may not exceed 25% of our outstanding voting securities.</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Units may also include subscription rights to purchase shares of our common stock. We will not offer transferable subscription rights in a unit providing for subscription at a price below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w:t>
      </w:r>
    </w:p>
    <w:p>
      <w:pPr>
        <w:spacing w:after="0" w:line="113"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Units may also include debt securities. If such debt securities are convertible into shares of our common stock, the exercise price for such conversion will not be less than the NAV per share of our common stock at the time of issuance of the unit (unless the Section 63 requirements are met).</w:t>
      </w:r>
    </w:p>
    <w:p>
      <w:pPr>
        <w:spacing w:after="0" w:line="85" w:lineRule="exact"/>
        <w:rPr>
          <w:sz w:val="20"/>
          <w:szCs w:val="20"/>
          <w:color w:val="auto"/>
        </w:rPr>
      </w:pPr>
    </w:p>
    <w:p>
      <w:pPr>
        <w:ind w:right="40" w:firstLine="571"/>
        <w:spacing w:after="0" w:line="335" w:lineRule="auto"/>
        <w:rPr>
          <w:sz w:val="20"/>
          <w:szCs w:val="20"/>
          <w:color w:val="auto"/>
        </w:rPr>
      </w:pPr>
      <w:r>
        <w:rPr>
          <w:rFonts w:ascii="Arial" w:cs="Arial" w:eastAsia="Arial" w:hAnsi="Arial"/>
          <w:sz w:val="15"/>
          <w:szCs w:val="15"/>
          <w:color w:val="auto"/>
        </w:rPr>
        <w:t>The descriptions of the units and any applicable underlying security or pledge or depositary arrangements in this prospectus and in any prospectus supplement are summaries of the material provisions of the applicable agreements and are subject to, and qualified in their entirety by reference to, the terms and provisions of the applicable agreements, forms of which have been or will be filed as exhibits to the registration statement of which this prospectus forms a part.</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60"/>
          </w:cols>
          <w:pgMar w:left="240" w:top="459" w:right="2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540" w:firstLine="571"/>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181" w:lineRule="exact"/>
        <w:rPr>
          <w:sz w:val="20"/>
          <w:szCs w:val="20"/>
          <w:color w:val="auto"/>
        </w:rPr>
      </w:pPr>
    </w:p>
    <w:p>
      <w:pPr>
        <w:ind w:left="800" w:right="40" w:hanging="346"/>
        <w:spacing w:after="0" w:line="256"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48" w:lineRule="exact"/>
        <w:rPr>
          <w:rFonts w:ascii="Arial" w:cs="Arial" w:eastAsia="Arial" w:hAnsi="Arial"/>
          <w:sz w:val="18"/>
          <w:szCs w:val="18"/>
          <w:color w:val="auto"/>
        </w:rPr>
      </w:pPr>
    </w:p>
    <w:p>
      <w:pPr>
        <w:ind w:left="1700" w:hanging="328"/>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76" w:lineRule="exact"/>
        <w:rPr>
          <w:rFonts w:ascii="Arial" w:cs="Arial" w:eastAsia="Arial" w:hAnsi="Arial"/>
          <w:sz w:val="18"/>
          <w:szCs w:val="18"/>
          <w:color w:val="auto"/>
        </w:rPr>
      </w:pPr>
    </w:p>
    <w:p>
      <w:pPr>
        <w:ind w:left="1700" w:right="120" w:hanging="328"/>
        <w:spacing w:after="0" w:line="325" w:lineRule="auto"/>
        <w:tabs>
          <w:tab w:leader="none" w:pos="17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1" w:lineRule="exact"/>
        <w:rPr>
          <w:rFonts w:ascii="Arial" w:cs="Arial" w:eastAsia="Arial" w:hAnsi="Arial"/>
          <w:sz w:val="16"/>
          <w:szCs w:val="16"/>
          <w:color w:val="auto"/>
        </w:rPr>
      </w:pPr>
    </w:p>
    <w:p>
      <w:pPr>
        <w:ind w:left="1700" w:hanging="328"/>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76" w:lineRule="exact"/>
        <w:rPr>
          <w:rFonts w:ascii="Arial" w:cs="Arial" w:eastAsia="Arial" w:hAnsi="Arial"/>
          <w:sz w:val="18"/>
          <w:szCs w:val="18"/>
          <w:color w:val="auto"/>
        </w:rPr>
      </w:pPr>
    </w:p>
    <w:p>
      <w:pPr>
        <w:ind w:left="2620" w:hanging="559"/>
        <w:spacing w:after="0"/>
        <w:tabs>
          <w:tab w:leader="none" w:pos="2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76" w:lineRule="exact"/>
        <w:rPr>
          <w:rFonts w:ascii="Arial" w:cs="Arial" w:eastAsia="Arial" w:hAnsi="Arial"/>
          <w:sz w:val="18"/>
          <w:szCs w:val="18"/>
          <w:color w:val="auto"/>
        </w:rPr>
      </w:pPr>
    </w:p>
    <w:p>
      <w:pPr>
        <w:ind w:left="2620" w:right="360" w:hanging="559"/>
        <w:spacing w:after="0" w:line="268" w:lineRule="auto"/>
        <w:tabs>
          <w:tab w:leader="none" w:pos="26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has any class of securities listed on a national securities exchange subject to a maximum market capitalization of $250.0 million; or</w:t>
      </w:r>
    </w:p>
    <w:p>
      <w:pPr>
        <w:spacing w:after="0" w:line="37" w:lineRule="exact"/>
        <w:rPr>
          <w:rFonts w:ascii="Arial" w:cs="Arial" w:eastAsia="Arial" w:hAnsi="Arial"/>
          <w:sz w:val="18"/>
          <w:szCs w:val="18"/>
          <w:color w:val="auto"/>
        </w:rPr>
      </w:pPr>
    </w:p>
    <w:p>
      <w:pPr>
        <w:ind w:left="2620" w:right="500" w:hanging="559"/>
        <w:spacing w:after="0" w:line="306" w:lineRule="auto"/>
        <w:tabs>
          <w:tab w:leader="none" w:pos="2620" w:val="left"/>
        </w:tabs>
        <w:numPr>
          <w:ilvl w:val="2"/>
          <w:numId w:val="82"/>
        </w:numPr>
        <w:rPr>
          <w:rFonts w:ascii="Arial" w:cs="Arial" w:eastAsia="Arial" w:hAnsi="Arial"/>
          <w:sz w:val="16"/>
          <w:szCs w:val="16"/>
          <w:color w:val="auto"/>
        </w:rPr>
      </w:pPr>
      <w:r>
        <w:rPr>
          <w:rFonts w:ascii="Arial" w:cs="Arial" w:eastAsia="Arial" w:hAnsi="Arial"/>
          <w:sz w:val="16"/>
          <w:szCs w:val="16"/>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12" w:lineRule="exact"/>
        <w:rPr>
          <w:rFonts w:ascii="Arial" w:cs="Arial" w:eastAsia="Arial" w:hAnsi="Arial"/>
          <w:sz w:val="16"/>
          <w:szCs w:val="16"/>
          <w:color w:val="auto"/>
        </w:rPr>
      </w:pPr>
    </w:p>
    <w:p>
      <w:pPr>
        <w:ind w:left="800" w:hanging="346"/>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76" w:lineRule="exact"/>
        <w:rPr>
          <w:rFonts w:ascii="Arial" w:cs="Arial" w:eastAsia="Arial" w:hAnsi="Arial"/>
          <w:sz w:val="18"/>
          <w:szCs w:val="18"/>
          <w:color w:val="auto"/>
        </w:rPr>
      </w:pPr>
    </w:p>
    <w:p>
      <w:pPr>
        <w:ind w:left="800" w:right="260" w:hanging="346"/>
        <w:spacing w:after="0" w:line="306" w:lineRule="auto"/>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2" w:lineRule="exact"/>
        <w:rPr>
          <w:rFonts w:ascii="Arial" w:cs="Arial" w:eastAsia="Arial" w:hAnsi="Arial"/>
          <w:sz w:val="16"/>
          <w:szCs w:val="16"/>
          <w:color w:val="auto"/>
        </w:rPr>
      </w:pPr>
    </w:p>
    <w:p>
      <w:pPr>
        <w:ind w:left="800" w:right="260" w:hanging="346"/>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37" w:lineRule="exact"/>
        <w:rPr>
          <w:rFonts w:ascii="Arial" w:cs="Arial" w:eastAsia="Arial" w:hAnsi="Arial"/>
          <w:sz w:val="18"/>
          <w:szCs w:val="18"/>
          <w:color w:val="auto"/>
        </w:rPr>
      </w:pPr>
    </w:p>
    <w:p>
      <w:pPr>
        <w:ind w:left="800" w:right="400" w:hanging="346"/>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 Officers of our Investment Adviser and Administrator provide assistance to our controlled affiliates.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60" w:firstLine="571"/>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compliant with the 1940 Act, immediately after each such issuance. In addition, while any senior securities remain outstanding, we must make provisions to prohibit any distribution to our stockholders or the repurchase of such securities or shares unless we meet the applicable asset coverage requirement at the time of the distribution or repurchase. We may also borrow amounts up to 5% of the value of our total assets for temporary or emergency purposes without regard to our asset coverage ratio. We received exemptive relief from the SEC allowing us to modify the asset coverage requirement to exclude the SBA debentures from the calculation. For a discussion of the risks associated with leverage, see “Risk Factors—Risks Relating to our Business and Structure—Regulations governing our operation as a business development company will affect our ability to, and the way in which we, raise additional capital” for more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refers to our Investment Adviser.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460" w:firstLine="571"/>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our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20" w:firstLine="571"/>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jc w:val="both"/>
        <w:ind w:right="80" w:firstLine="571"/>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814-00736), filed on November 16,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00" w:firstLine="571"/>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will be periodically examined by the SEC and SBA for compliance with the 1940 Act and 1958 Act, respectively.</w:t>
      </w:r>
    </w:p>
    <w:p>
      <w:pPr>
        <w:spacing w:after="0" w:line="171"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Investment or our stockholders arising from willful misfeasance, bad faith, gross negligence or reckless disregard of the duties involved in the conduct of such person’s office.</w:t>
      </w:r>
    </w:p>
    <w:p>
      <w:pPr>
        <w:spacing w:after="0" w:line="10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660" w:right="64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37" w:lineRule="exact"/>
        <w:rPr>
          <w:rFonts w:ascii="Arial" w:cs="Arial" w:eastAsia="Arial" w:hAnsi="Arial"/>
          <w:sz w:val="18"/>
          <w:szCs w:val="18"/>
          <w:color w:val="auto"/>
        </w:rPr>
      </w:pPr>
    </w:p>
    <w:p>
      <w:pPr>
        <w:ind w:left="660" w:right="56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37" w:lineRule="exact"/>
        <w:rPr>
          <w:rFonts w:ascii="Arial" w:cs="Arial" w:eastAsia="Arial" w:hAnsi="Arial"/>
          <w:sz w:val="18"/>
          <w:szCs w:val="18"/>
          <w:color w:val="auto"/>
        </w:rPr>
      </w:pPr>
    </w:p>
    <w:p>
      <w:pPr>
        <w:ind w:left="660" w:right="400" w:hanging="314"/>
        <w:spacing w:after="0" w:line="268"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and</w:t>
      </w:r>
    </w:p>
    <w:p>
      <w:pPr>
        <w:spacing w:after="0" w:line="37" w:lineRule="exact"/>
        <w:rPr>
          <w:rFonts w:ascii="Arial" w:cs="Arial" w:eastAsia="Arial" w:hAnsi="Arial"/>
          <w:sz w:val="18"/>
          <w:szCs w:val="18"/>
          <w:color w:val="auto"/>
        </w:rPr>
      </w:pPr>
    </w:p>
    <w:p>
      <w:pPr>
        <w:jc w:val="both"/>
        <w:ind w:left="660" w:right="20" w:hanging="314"/>
        <w:spacing w:after="0" w:line="306"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88"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Administration Regulations</w:t>
      </w:r>
    </w:p>
    <w:p>
      <w:pPr>
        <w:spacing w:after="0" w:line="96"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color w:val="auto"/>
        </w:rPr>
        <w:t>SBIC LP and SBIC II are licensed under the SBA as SBICs under Section 301(c) of the 1958 Act. SBIC LP and SBIC II received their licenses in July 2010 and January 2013, respectively.</w:t>
      </w:r>
    </w:p>
    <w:p>
      <w:pPr>
        <w:spacing w:after="0" w:line="51"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SBICs are designed to stimulate the flow of capital to businesses that meet specified eligibility requirements discussed below. Under SBA regulations, our SBIC Funds are subject to regulatory requirements including making investments in SBA eligible businesses, investing at least 25% of regulatory capital in eligible smaller businesses, placing certain limitations on the financing terms of investments, prohibiting investing in certain industries, and required capitalization thresholds among other regulations. Furthermore, our SBIC Funds are subject to periodic audits and examinations of their financial statements that are prepared on a basis of accounting other than GAAP pursuant to SBA accounting standards and financial reporting requirements for SBICs. For example, SBIC LP does not use fair value accounting on its assets or liabilities under SBA valuation guidelines. If either of our SBIC Funds fails to comply with applicable SBA regulations, the SBA could, depending on the severity of the violation, limit or prohibit use of debentures, declare outstanding debentures immediately due and payable, and/or limit our SBIC Funds from making new investments. In addition, the SBA can revoke or suspend a license for willful or repeated violation of, or willful or repeated failure to observe, any provision of the 1958 Act or any rule or regulation promulgated thereunder. These actions by the SBA would, in turn, negatively affect us because our SBIC Funds are our wholly owned subsidiaries.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Eligible Small and Smaller Businesses</w:t>
      </w:r>
    </w:p>
    <w:p>
      <w:pPr>
        <w:spacing w:after="0" w:line="90" w:lineRule="exact"/>
        <w:rPr>
          <w:sz w:val="20"/>
          <w:szCs w:val="20"/>
          <w:color w:val="auto"/>
        </w:rPr>
      </w:pPr>
    </w:p>
    <w:p>
      <w:pPr>
        <w:ind w:right="40" w:firstLine="571"/>
        <w:spacing w:after="0" w:line="253" w:lineRule="auto"/>
        <w:rPr>
          <w:sz w:val="20"/>
          <w:szCs w:val="20"/>
          <w:color w:val="auto"/>
        </w:rPr>
      </w:pPr>
      <w:r>
        <w:rPr>
          <w:rFonts w:ascii="Arial" w:cs="Arial" w:eastAsia="Arial" w:hAnsi="Arial"/>
          <w:sz w:val="18"/>
          <w:szCs w:val="18"/>
          <w:color w:val="auto"/>
        </w:rPr>
        <w:t>Under present SBA regulations, eligible small business include businesses that (together with their affiliates) have tangible net worth not exceeding $18.0 million and have average annual net income of $6.0 million for the two most recent fiscal years. In addition, each of our SBIC Funds must invest at least 25% of investments in “smaller” concerns. A smaller concern is a business that has tangible net worth not exceeding $6.0 million and has average annual net income not exceeding $2.0 million for the two most recent fiscal years or, as an alternative to the aforementioned requirement, meet the size requirements based on either the number of employees or gross revenue, which is based on the industry in which the smaller concern operates. Once an SBIC has invested in a company, it may continue to make follow-on investments in the company, regardless of the size of the business, up and until the time a business offers its securities in a public market.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Limitations, Terms and Changes in Control</w:t>
      </w:r>
    </w:p>
    <w:p>
      <w:pPr>
        <w:spacing w:after="0" w:line="90"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The SBA prohibits an SBIC from financing small businesses in certain industries such as relending, gambling, oil and gas exploration and other passive businesses. Additional SBA prohibitions include investing outside the United States, investing more than 20% of regulatory capital in one company and lending money to any officer, director or employee or to invest in any affiliate thereof. The SBA places certain limits on the financing terms of investments by our SBIC Funds in portfolio companies such as limiting the interest rate on debt securities and loans provided to portfolio companies. The SBA also limits fees, prepayment terms and other economic arrangements that are typically charged in lending arrangements.</w:t>
      </w:r>
    </w:p>
    <w:p>
      <w:pPr>
        <w:spacing w:after="0" w:line="1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The SBA also prohibits, without prior written approval, a “change in control” of our SBIC Funds or transfers that would result in any person or group owning 10% or more of a class of capital stock (or its equivalent in the case of a partnership) of a licensed SBIC. A “change of control” is any event which would result in the transfer of power, direct or indirect, to direct management and policies of an SBIC, whether through ownership, contractual arrangements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Idle Funds Limitation</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SBA limits an SBIC from investing idle funds to the following types of securities:</w:t>
      </w:r>
    </w:p>
    <w:p>
      <w:pPr>
        <w:spacing w:after="0" w:line="77" w:lineRule="exact"/>
        <w:rPr>
          <w:sz w:val="20"/>
          <w:szCs w:val="20"/>
          <w:color w:val="auto"/>
        </w:rPr>
      </w:pPr>
    </w:p>
    <w:p>
      <w:pPr>
        <w:ind w:left="660" w:right="200" w:hanging="314"/>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direct obligations of, or obligations guaranteed as to principal and interest by, the United States government, which mature within 15 months from the date of the investment;</w:t>
      </w:r>
    </w:p>
    <w:p>
      <w:pPr>
        <w:spacing w:after="0" w:line="37" w:lineRule="exact"/>
        <w:rPr>
          <w:rFonts w:ascii="Arial" w:cs="Arial" w:eastAsia="Arial" w:hAnsi="Arial"/>
          <w:sz w:val="18"/>
          <w:szCs w:val="18"/>
          <w:color w:val="auto"/>
        </w:rPr>
      </w:pPr>
    </w:p>
    <w:p>
      <w:pPr>
        <w:ind w:left="660" w:right="100" w:hanging="314"/>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repurchase agreements with federally insured institutions with a maturity of seven days or less (and the securities underlying the repurchase obligations must be direct obligations of or guaranteed by the federal government);</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certificates of deposit with a maturity of one year or less, issued by a federally insured institution; or</w:t>
      </w:r>
    </w:p>
    <w:p>
      <w:pPr>
        <w:spacing w:after="0" w:line="76" w:lineRule="exact"/>
        <w:rPr>
          <w:rFonts w:ascii="Arial" w:cs="Arial" w:eastAsia="Arial" w:hAnsi="Arial"/>
          <w:sz w:val="18"/>
          <w:szCs w:val="18"/>
          <w:color w:val="auto"/>
        </w:rPr>
      </w:pPr>
    </w:p>
    <w:p>
      <w:pPr>
        <w:ind w:left="660" w:hanging="314"/>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deposit account in a federally insured institution that is subject to withdrawal restriction of one year or less.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SBA Leverage or Debentures</w:t>
      </w:r>
    </w:p>
    <w:p>
      <w:pPr>
        <w:spacing w:after="0" w:line="90" w:lineRule="exact"/>
        <w:rPr>
          <w:sz w:val="20"/>
          <w:szCs w:val="20"/>
          <w:color w:val="auto"/>
        </w:rPr>
      </w:pPr>
    </w:p>
    <w:p>
      <w:pPr>
        <w:ind w:right="280" w:firstLine="571"/>
        <w:spacing w:after="0" w:line="298" w:lineRule="auto"/>
        <w:rPr>
          <w:sz w:val="20"/>
          <w:szCs w:val="20"/>
          <w:color w:val="auto"/>
        </w:rPr>
      </w:pPr>
      <w:r>
        <w:rPr>
          <w:rFonts w:ascii="Arial" w:cs="Arial" w:eastAsia="Arial" w:hAnsi="Arial"/>
          <w:sz w:val="16"/>
          <w:szCs w:val="16"/>
          <w:color w:val="auto"/>
        </w:rPr>
        <w:t>SBA-guaranteed debentures are non-recourse to us, have a 10-year maturity, and may be prepaid at any time without penalty. The interest rate of SBA-guaranteed debentures is fixed at the time of issuance at a market-driven spread over 10-year U.S. Treasury Notes. Leverage through SBA-guaranteed debentures is subject to required capitalization thresholds. SBA current regulations limit the amount that an SBIC may borrow to a maximum of $150 million, which is up to twice its regulatory capital, and a maximum of $225 million as part of a group of SBICs under common control.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Investment,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PennantPark Investment will not necessarily pay the lowest spread or commission available. Subject to applicable legal requirements, the Investment Adviser may select a broker based partly upon brokerage or research services provided to the Investment Adviser and PennantPark Investment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660" w:hanging="314"/>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76" w:lineRule="exact"/>
        <w:rPr>
          <w:rFonts w:ascii="Arial" w:cs="Arial" w:eastAsia="Arial" w:hAnsi="Arial"/>
          <w:sz w:val="18"/>
          <w:szCs w:val="18"/>
          <w:color w:val="auto"/>
        </w:rPr>
      </w:pPr>
    </w:p>
    <w:p>
      <w:pPr>
        <w:ind w:left="660" w:right="40" w:hanging="314"/>
        <w:spacing w:after="0" w:line="268"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37" w:lineRule="exact"/>
        <w:rPr>
          <w:rFonts w:ascii="Arial" w:cs="Arial" w:eastAsia="Arial" w:hAnsi="Arial"/>
          <w:sz w:val="18"/>
          <w:szCs w:val="18"/>
          <w:color w:val="auto"/>
        </w:rPr>
      </w:pPr>
    </w:p>
    <w:p>
      <w:pPr>
        <w:ind w:left="660" w:hanging="314"/>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ind w:right="560" w:firstLine="571"/>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0" w:firstLine="571"/>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(as described below). We also must annually distribute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realized net capital gains for the one-year period ending on October 31 of the calendar year and (3) the sum of any net ordinary income plus net capital gains and net ordinary gains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76" w:lineRule="exact"/>
        <w:rPr>
          <w:rFonts w:ascii="Arial" w:cs="Arial" w:eastAsia="Arial" w:hAnsi="Arial"/>
          <w:sz w:val="18"/>
          <w:szCs w:val="18"/>
          <w:color w:val="auto"/>
        </w:rPr>
      </w:pPr>
    </w:p>
    <w:p>
      <w:pPr>
        <w:jc w:val="both"/>
        <w:ind w:left="660" w:right="200" w:hanging="314"/>
        <w:spacing w:after="0" w:line="259"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45" w:lineRule="exact"/>
        <w:rPr>
          <w:rFonts w:ascii="Arial" w:cs="Arial" w:eastAsia="Arial" w:hAnsi="Arial"/>
          <w:sz w:val="18"/>
          <w:szCs w:val="18"/>
          <w:color w:val="auto"/>
        </w:rPr>
      </w:pPr>
    </w:p>
    <w:p>
      <w:pPr>
        <w:ind w:left="660" w:hanging="314"/>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76" w:lineRule="exact"/>
        <w:rPr>
          <w:rFonts w:ascii="Arial" w:cs="Arial" w:eastAsia="Arial" w:hAnsi="Arial"/>
          <w:sz w:val="18"/>
          <w:szCs w:val="18"/>
          <w:color w:val="auto"/>
        </w:rPr>
      </w:pPr>
    </w:p>
    <w:p>
      <w:pPr>
        <w:ind w:left="1700" w:right="120" w:hanging="328"/>
        <w:spacing w:after="0" w:line="259" w:lineRule="auto"/>
        <w:tabs>
          <w:tab w:leader="none" w:pos="170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45" w:lineRule="exact"/>
        <w:rPr>
          <w:rFonts w:ascii="Arial" w:cs="Arial" w:eastAsia="Arial" w:hAnsi="Arial"/>
          <w:sz w:val="18"/>
          <w:szCs w:val="18"/>
          <w:color w:val="auto"/>
        </w:rPr>
      </w:pPr>
    </w:p>
    <w:p>
      <w:pPr>
        <w:ind w:left="1700" w:right="160" w:hanging="328"/>
        <w:spacing w:after="0" w:line="306" w:lineRule="auto"/>
        <w:tabs>
          <w:tab w:leader="none" w:pos="1700" w:val="left"/>
        </w:tabs>
        <w:numPr>
          <w:ilvl w:val="1"/>
          <w:numId w:val="86"/>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as a RIC</w:t>
      </w:r>
    </w:p>
    <w:p>
      <w:pPr>
        <w:spacing w:after="0" w:line="90"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16" w:lineRule="exact"/>
        <w:rPr>
          <w:sz w:val="20"/>
          <w:szCs w:val="20"/>
          <w:color w:val="auto"/>
        </w:rPr>
      </w:pPr>
    </w:p>
    <w:p>
      <w:pPr>
        <w:ind w:right="60" w:firstLine="571"/>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in the year of accrual, we may be required to make a distribution to our stockholders in order to satisfy the Annual Distribution Requirement, even though we will not have received any corresponding cash amount.</w:t>
      </w:r>
    </w:p>
    <w:p>
      <w:pPr>
        <w:spacing w:after="0" w:line="117"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5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17"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to Qualify as a RIC</w:t>
      </w:r>
    </w:p>
    <w:p>
      <w:pPr>
        <w:spacing w:after="0" w:line="90"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a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24"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20" w:lineRule="exact"/>
        <w:rPr>
          <w:sz w:val="20"/>
          <w:szCs w:val="20"/>
          <w:color w:val="auto"/>
        </w:rPr>
      </w:pPr>
    </w:p>
    <w:p>
      <w:pPr>
        <w:ind w:right="240" w:firstLine="571"/>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right="280" w:firstLine="571"/>
        <w:spacing w:after="0" w:line="255" w:lineRule="auto"/>
        <w:rPr>
          <w:sz w:val="20"/>
          <w:szCs w:val="20"/>
          <w:color w:val="auto"/>
        </w:rPr>
      </w:pPr>
      <w:r>
        <w:rPr>
          <w:rFonts w:ascii="Arial" w:cs="Arial" w:eastAsia="Arial" w:hAnsi="Arial"/>
          <w:sz w:val="18"/>
          <w:szCs w:val="18"/>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applied to ordinary income. Non-corporate stockholders with net capital losses for a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113"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80" w:firstLine="571"/>
        <w:spacing w:after="0" w:line="259"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or IRS,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 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116"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98" w:lineRule="auto"/>
        <w:rPr>
          <w:sz w:val="20"/>
          <w:szCs w:val="20"/>
          <w:color w:val="auto"/>
        </w:rPr>
      </w:pPr>
      <w:r>
        <w:rPr>
          <w:rFonts w:ascii="Arial" w:cs="Arial" w:eastAsia="Arial" w:hAnsi="Arial"/>
          <w:sz w:val="16"/>
          <w:szCs w:val="16"/>
          <w:color w:val="auto"/>
        </w:rPr>
        <w:t>Effective July 1, 2014, withholding agents will be required to withhold U.S. tax (at a 30% rate) on payments of taxable dividends and (effective January 1, 2017) redemption proceeds and certain capital gain dividends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60" w:firstLine="571"/>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60"/>
          </w:cols>
          <w:pgMar w:left="240" w:top="459" w:right="2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20" w:firstLine="571"/>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also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 and the amounts of securities underwritten or purchased by each of them;</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offering price of the securities and the proceeds to us and any discounts, commissions or concessions allowed or reallowed or paid to dealers; and</w:t>
      </w:r>
    </w:p>
    <w:p>
      <w:pPr>
        <w:spacing w:after="0" w:line="113" w:lineRule="exact"/>
        <w:rPr>
          <w:rFonts w:ascii="Arial" w:cs="Arial" w:eastAsia="Arial" w:hAnsi="Arial"/>
          <w:sz w:val="16"/>
          <w:szCs w:val="16"/>
          <w:color w:val="auto"/>
        </w:rPr>
      </w:pPr>
    </w:p>
    <w:p>
      <w:pPr>
        <w:ind w:left="660" w:hanging="314"/>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40"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40" w:firstLine="571"/>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120" w:firstLine="571"/>
        <w:spacing w:after="0" w:line="256" w:lineRule="auto"/>
        <w:rPr>
          <w:sz w:val="20"/>
          <w:szCs w:val="20"/>
          <w:color w:val="auto"/>
        </w:rPr>
      </w:pPr>
      <w:r>
        <w:rPr>
          <w:rFonts w:ascii="Arial" w:cs="Arial" w:eastAsia="Arial" w:hAnsi="Arial"/>
          <w:sz w:val="18"/>
          <w:szCs w:val="18"/>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w:t>
      </w:r>
    </w:p>
    <w:p>
      <w:pPr>
        <w:spacing w:after="0" w:line="14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w:t>
      </w:r>
    </w:p>
    <w:p>
      <w:pPr>
        <w:spacing w:after="0" w:line="140" w:lineRule="exact"/>
        <w:rPr>
          <w:sz w:val="20"/>
          <w:szCs w:val="20"/>
          <w:color w:val="auto"/>
        </w:rPr>
      </w:pPr>
    </w:p>
    <w:p>
      <w:pPr>
        <w:ind w:right="40" w:firstLine="571"/>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BNY Mellon Investment Servicing (US) Inc. (formerly PNC Global Investment Servicing, Inc.), a subsidiary of The Bank of New York Mellon, provides administrative and accounting services to us under a sub-administration and accounting services agreement. The Bank of New York Mellon (successor in interest of PFPC Trust Company)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15th Avenue, Brooklyn, New York 11219, telephone number: (800) 937-5449. American Stock Transfer &amp; Trust Company, LLC serves as trustee for our 2025 Notes.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PennantPark Investment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independent registered public accounting firm until November 21, 2013, KPMG LLP, is located at 345 Park Avenue, New York, New York 10154.</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current independent registered public accounting firm, McGladrey LLP, is located at 1185 Avenue of the Americas, New York, NY 10036.</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60"/>
          </w:cols>
          <w:pgMar w:left="240" w:top="459" w:right="2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Financial Statments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84"/>
        </w:trPr>
        <w:tc>
          <w:tcPr>
            <w:tcW w:w="4760" w:type="dxa"/>
            <w:vAlign w:val="bottom"/>
            <w:tcBorders>
              <w:bottom w:val="single" w:sz="8" w:color="0000EE"/>
            </w:tcBorders>
            <w:gridSpan w:val="4"/>
          </w:tcPr>
          <w:p>
            <w:pPr>
              <w:spacing w:after="0" w:line="184" w:lineRule="exact"/>
              <w:rPr>
                <w:rFonts w:ascii="Arial" w:cs="Arial" w:eastAsia="Arial" w:hAnsi="Arial"/>
                <w:sz w:val="18"/>
                <w:szCs w:val="18"/>
                <w:color w:val="0000EE"/>
                <w:w w:val="89"/>
              </w:rPr>
            </w:pPr>
            <w:hyperlink w:anchor="page134">
              <w:r>
                <w:rPr>
                  <w:rFonts w:ascii="Arial" w:cs="Arial" w:eastAsia="Arial" w:hAnsi="Arial"/>
                  <w:sz w:val="18"/>
                  <w:szCs w:val="18"/>
                  <w:color w:val="0000EE"/>
                  <w:w w:val="89"/>
                </w:rPr>
                <w:t>Management’s Report on Internal Control over Financial Reporting</w:t>
              </w:r>
            </w:hyperlink>
          </w:p>
        </w:tc>
        <w:tc>
          <w:tcPr>
            <w:tcW w:w="4520" w:type="dxa"/>
            <w:vAlign w:val="bottom"/>
            <w:gridSpan w:val="6"/>
          </w:tcPr>
          <w:p>
            <w:pPr>
              <w:spacing w:after="0"/>
              <w:rPr>
                <w:sz w:val="15"/>
                <w:szCs w:val="15"/>
                <w:color w:val="auto"/>
              </w:rPr>
            </w:pPr>
          </w:p>
        </w:tc>
        <w:tc>
          <w:tcPr>
            <w:tcW w:w="204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Report of Independent Registered Public Accounting Firm On Internal Control Over Financial Reporting</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7380" w:type="dxa"/>
            <w:vAlign w:val="bottom"/>
            <w:tcBorders>
              <w:top w:val="single" w:sz="8" w:color="0000EE"/>
            </w:tcBorders>
            <w:gridSpan w:val="8"/>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Consolidated Statements of Assets and Liabilities as of September 30, 2013 and 2012</w:t>
              </w:r>
            </w:hyperlink>
          </w:p>
        </w:tc>
        <w:tc>
          <w:tcPr>
            <w:tcW w:w="1900" w:type="dxa"/>
            <w:vAlign w:val="bottom"/>
            <w:gridSpan w:val="2"/>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0"/>
        </w:trPr>
        <w:tc>
          <w:tcPr>
            <w:tcW w:w="27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67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138">
              <w:r>
                <w:rPr>
                  <w:rFonts w:ascii="Arial" w:cs="Arial" w:eastAsia="Arial" w:hAnsi="Arial"/>
                  <w:sz w:val="18"/>
                  <w:szCs w:val="18"/>
                  <w:color w:val="0000EE"/>
                  <w:w w:val="86"/>
                </w:rPr>
                <w:t>Consolidated Statements of Operations for the years ended September 30, 2013, 2012 and 2011</w:t>
              </w:r>
            </w:hyperlink>
          </w:p>
        </w:tc>
        <w:tc>
          <w:tcPr>
            <w:tcW w:w="2560" w:type="dxa"/>
            <w:vAlign w:val="bottom"/>
            <w:gridSpan w:val="4"/>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304"/>
        </w:trPr>
        <w:tc>
          <w:tcPr>
            <w:tcW w:w="75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139">
              <w:r>
                <w:rPr>
                  <w:rFonts w:ascii="Arial" w:cs="Arial" w:eastAsia="Arial" w:hAnsi="Arial"/>
                  <w:sz w:val="18"/>
                  <w:szCs w:val="18"/>
                  <w:color w:val="0000EE"/>
                  <w:w w:val="87"/>
                </w:rPr>
                <w:t>Consolidated Statements of Changes in Net Assets for the years ended September 30, 2013, 2012 and 2011</w:t>
              </w:r>
            </w:hyperlink>
          </w:p>
        </w:tc>
        <w:tc>
          <w:tcPr>
            <w:tcW w:w="1700" w:type="dxa"/>
            <w:vAlign w:val="bottom"/>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Cash Flows for the years ended September 30, 2013, 2012 and 2011</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04"/>
        </w:trPr>
        <w:tc>
          <w:tcPr>
            <w:tcW w:w="6760" w:type="dxa"/>
            <w:vAlign w:val="bottom"/>
            <w:tcBorders>
              <w:top w:val="single" w:sz="8" w:color="0000EE"/>
            </w:tcBorders>
            <w:gridSpan w:val="7"/>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Schedule of Investments</w:t>
              </w:r>
            </w:hyperlink>
          </w:p>
        </w:tc>
        <w:tc>
          <w:tcPr>
            <w:tcW w:w="2520" w:type="dxa"/>
            <w:vAlign w:val="bottom"/>
            <w:gridSpan w:val="3"/>
          </w:tcPr>
          <w:p>
            <w:pPr>
              <w:spacing w:after="0"/>
              <w:rPr>
                <w:sz w:val="24"/>
                <w:szCs w:val="24"/>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0"/>
        </w:trPr>
        <w:tc>
          <w:tcPr>
            <w:tcW w:w="27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4"/>
        </w:trPr>
        <w:tc>
          <w:tcPr>
            <w:tcW w:w="9280" w:type="dxa"/>
            <w:vAlign w:val="bottom"/>
            <w:gridSpan w:val="10"/>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Notes to the Consolidated Financial Statements</w:t>
              </w:r>
            </w:hyperlink>
          </w:p>
        </w:tc>
        <w:tc>
          <w:tcPr>
            <w:tcW w:w="2040" w:type="dxa"/>
            <w:vAlign w:val="bottom"/>
          </w:tcPr>
          <w:p>
            <w:pPr>
              <w:jc w:val="right"/>
              <w:spacing w:after="0"/>
              <w:rPr>
                <w:sz w:val="20"/>
                <w:szCs w:val="20"/>
                <w:color w:val="auto"/>
              </w:rPr>
            </w:pPr>
            <w:r>
              <w:rPr>
                <w:rFonts w:ascii="Arial" w:cs="Arial" w:eastAsia="Arial" w:hAnsi="Arial"/>
                <w:sz w:val="18"/>
                <w:szCs w:val="18"/>
                <w:color w:val="auto"/>
              </w:rPr>
              <w:t>F-17</w:t>
            </w:r>
          </w:p>
        </w:tc>
      </w:tr>
      <w:tr>
        <w:trPr>
          <w:trHeight w:val="383"/>
        </w:trPr>
        <w:tc>
          <w:tcPr>
            <w:tcW w:w="270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20" w:type="dxa"/>
            <w:vAlign w:val="bottom"/>
            <w:gridSpan w:val="6"/>
          </w:tcPr>
          <w:p>
            <w:pPr>
              <w:ind w:left="840"/>
              <w:spacing w:after="0"/>
              <w:rPr>
                <w:sz w:val="20"/>
                <w:szCs w:val="20"/>
                <w:color w:val="auto"/>
              </w:rPr>
            </w:pPr>
            <w:r>
              <w:rPr>
                <w:rFonts w:ascii="Arial" w:cs="Arial" w:eastAsia="Arial" w:hAnsi="Arial"/>
                <w:sz w:val="18"/>
                <w:szCs w:val="18"/>
                <w:color w:val="auto"/>
              </w:rPr>
              <w:t>F-1</w:t>
            </w:r>
          </w:p>
        </w:tc>
        <w:tc>
          <w:tcPr>
            <w:tcW w:w="20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50"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The management of PennantPark Investment Corporation (except where the context suggests otherwise, the terms “we,” “us,” “our” and “PennantPark Investment” refer to PennantPark Investment Corporation and its Subsidiaries)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16"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PennantPark Investment’s internal control over financial reporting includes policies and procedures that pertain to the maintenance of records that, in reasonable detail, accurately and fairly reflect transactions recorded necessary to permit the preparation of financial statements in accordance with U.S. generally accepted accounting principles. Our policies and procedures also provide reasonable assurance that receipts and expenditures are being made only in accordance with authorizations of management and the directors of PennantPark Investment, and provide reasonable assurance regarding prevention or timely detection of unauthorized acquisition, use or disposition of our assets that could have a material effect on our financial statements.</w:t>
      </w:r>
    </w:p>
    <w:p>
      <w:pPr>
        <w:spacing w:after="0" w:line="89"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6" w:lineRule="exact"/>
        <w:rPr>
          <w:sz w:val="20"/>
          <w:szCs w:val="20"/>
          <w:color w:val="auto"/>
        </w:rPr>
      </w:pPr>
    </w:p>
    <w:p>
      <w:pPr>
        <w:ind w:right="140" w:firstLine="571"/>
        <w:spacing w:after="0" w:line="256" w:lineRule="auto"/>
        <w:rPr>
          <w:sz w:val="20"/>
          <w:szCs w:val="20"/>
          <w:color w:val="auto"/>
        </w:rPr>
      </w:pPr>
      <w:r>
        <w:rPr>
          <w:rFonts w:ascii="Arial" w:cs="Arial" w:eastAsia="Arial" w:hAnsi="Arial"/>
          <w:sz w:val="18"/>
          <w:szCs w:val="18"/>
          <w:color w:val="auto"/>
        </w:rPr>
        <w:t xml:space="preserve">Management assessed the effectiveness of PennantPark Investment’s internal control over financial reporting as of September 30, 2013. In making this assessment, we used the criteria set forth by the Committee of Sponsoring Organizations of the Treadway Commission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Based on the assessment management believes that, as of September 30, 2013, our internal control over financial reporting is effective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those criteria.</w:t>
      </w:r>
    </w:p>
    <w:p>
      <w:pPr>
        <w:spacing w:after="0" w:line="116" w:lineRule="exact"/>
        <w:rPr>
          <w:sz w:val="20"/>
          <w:szCs w:val="20"/>
          <w:color w:val="auto"/>
        </w:rPr>
      </w:pPr>
    </w:p>
    <w:p>
      <w:pPr>
        <w:ind w:right="760" w:firstLine="571"/>
        <w:spacing w:after="0" w:line="332" w:lineRule="auto"/>
        <w:rPr>
          <w:sz w:val="20"/>
          <w:szCs w:val="20"/>
          <w:color w:val="auto"/>
        </w:rPr>
      </w:pPr>
      <w:r>
        <w:rPr>
          <w:rFonts w:ascii="Arial" w:cs="Arial" w:eastAsia="Arial" w:hAnsi="Arial"/>
          <w:sz w:val="16"/>
          <w:szCs w:val="16"/>
          <w:color w:val="auto"/>
        </w:rPr>
        <w:t>PennantPark Investment’s independent registered public accounting firm that audited the financial statements has issued an audit report on the effectiveness of our internal control over financial reporting as of September 30, 2013. This report appears on page F-4.</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3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We have audited the accompanying consolidated statements of assets and liabilities of PennantPark Investment Corporation and its Subsidiaries (the “Company”), including the consolidated schedules of investments as of September 30, 2013 and 2012, and the related consolidated statements of operations, changes in net assets, and cash flows for the years ended September 30, 2013, 2012 and 2011. These consolidated financial statements are the responsibility of the Company’s management. Our responsibility is to express an opinion on these consolidated financial statements based on our audits.</w:t>
      </w:r>
    </w:p>
    <w:p>
      <w:pPr>
        <w:spacing w:after="0" w:line="86" w:lineRule="exact"/>
        <w:rPr>
          <w:sz w:val="20"/>
          <w:szCs w:val="20"/>
          <w:color w:val="auto"/>
        </w:rPr>
      </w:pPr>
    </w:p>
    <w:p>
      <w:pPr>
        <w:ind w:right="140" w:firstLine="571"/>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2013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3" w:lineRule="exact"/>
        <w:rPr>
          <w:sz w:val="20"/>
          <w:szCs w:val="20"/>
          <w:color w:val="auto"/>
        </w:rPr>
      </w:pPr>
    </w:p>
    <w:p>
      <w:pPr>
        <w:ind w:right="560" w:firstLine="571"/>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PennantPark Investment Corporation and its Subsidiaries as of September 30, 2013 and 2012, and the results of operations and cash flows for the years ended September 30, 2013, 2012 and 2011, in conformity with U.S. generally accepted accounting principles.</w:t>
      </w:r>
    </w:p>
    <w:p>
      <w:pPr>
        <w:spacing w:after="0" w:line="113"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Investment Corporation’s internal control over financial reporting as of September 30,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(COSO), and our report dated November 13, 2013 expressed an unqualified opinion on the effectiveness of the Company’s internal control over financial reporting.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its Subsidiaries:</w:t>
      </w:r>
    </w:p>
    <w:p>
      <w:pPr>
        <w:spacing w:after="0" w:line="138" w:lineRule="exact"/>
        <w:rPr>
          <w:sz w:val="20"/>
          <w:szCs w:val="20"/>
          <w:color w:val="auto"/>
        </w:rPr>
      </w:pPr>
    </w:p>
    <w:p>
      <w:pPr>
        <w:ind w:right="80" w:firstLine="571"/>
        <w:spacing w:after="0" w:line="254" w:lineRule="auto"/>
        <w:rPr>
          <w:sz w:val="20"/>
          <w:szCs w:val="20"/>
          <w:color w:val="auto"/>
        </w:rPr>
      </w:pPr>
      <w:r>
        <w:rPr>
          <w:rFonts w:ascii="Arial" w:cs="Arial" w:eastAsia="Arial" w:hAnsi="Arial"/>
          <w:sz w:val="18"/>
          <w:szCs w:val="18"/>
          <w:color w:val="auto"/>
        </w:rPr>
        <w:t xml:space="preserve">We have audited PennantPark Investment Corporation and its Subsidiaries’ (the “Company”) internal control over financial reporting as of September 30, 2013,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42 of the Annual Report on Form 10-K, and Item 9A., Controls and Procedures—Management’s Report on Internal Control Over Financial Reporting. Our responsibility is to express an opinion on the Company’s internal control over financial reporting based on our audit.</w:t>
      </w:r>
    </w:p>
    <w:p>
      <w:pPr>
        <w:spacing w:after="0" w:line="117" w:lineRule="exact"/>
        <w:rPr>
          <w:sz w:val="20"/>
          <w:szCs w:val="20"/>
          <w:color w:val="auto"/>
        </w:rPr>
      </w:pPr>
    </w:p>
    <w:p>
      <w:pPr>
        <w:ind w:right="80" w:firstLine="571"/>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89"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1" w:lineRule="exact"/>
        <w:rPr>
          <w:sz w:val="20"/>
          <w:szCs w:val="20"/>
          <w:color w:val="auto"/>
        </w:rPr>
      </w:pPr>
    </w:p>
    <w:p>
      <w:pPr>
        <w:jc w:val="both"/>
        <w:ind w:right="100" w:firstLine="57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360" w:firstLine="571"/>
        <w:spacing w:after="0" w:line="332" w:lineRule="auto"/>
        <w:rPr>
          <w:sz w:val="20"/>
          <w:szCs w:val="20"/>
          <w:color w:val="auto"/>
        </w:rPr>
      </w:pPr>
      <w:r>
        <w:rPr>
          <w:rFonts w:ascii="Arial" w:cs="Arial" w:eastAsia="Arial" w:hAnsi="Arial"/>
          <w:sz w:val="16"/>
          <w:szCs w:val="16"/>
          <w:color w:val="auto"/>
        </w:rPr>
        <w:t xml:space="preserve">In our opinion, PennantPark Investment Corporation and its Subsidiaries maintained, in all material respects, effective internal control over financial reporting as of September 30, 2013,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58"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Investment Corporation and its Subsidiaries, including the schedules of investments as of September 30, 2013 and 2012, and the related statements of operations, changes in net assets, and cash flows for the years ended September 30, 2013, 2012 and 2011, and our report dated November 13, 2013 expressed an unqualified opinion on those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13, 2013</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8"/>
              </w:rPr>
              <w:t>September 30, 2013</w:t>
            </w:r>
          </w:p>
        </w:tc>
        <w:tc>
          <w:tcPr>
            <w:tcW w:w="80" w:type="dxa"/>
            <w:vAlign w:val="bottom"/>
          </w:tcPr>
          <w:p>
            <w:pPr>
              <w:spacing w:after="0"/>
              <w:rPr>
                <w:sz w:val="14"/>
                <w:szCs w:val="14"/>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September 30,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(cost—$928,078,589 and $871,867,953, respectively)</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968,471,042</w:t>
            </w:r>
          </w:p>
        </w:tc>
        <w:tc>
          <w:tcPr>
            <w:tcW w:w="14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871,892,745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Non-controlled, affiliated investments, at fair value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(cost—$99,021,141 and $72,576,858, respectively)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76,735,800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80,955,257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Controlled, affiliated investments, at fair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(cost—$64,418,155 and $64,167,051,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32,968,711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37,631,708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Total of investments, at fair value</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(cost—$1,091,517,885 and $1,008,611,862, respectively)</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1,078,175,553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(See Note 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10,894,893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14,928,862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5,815,817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5,999,506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1,153,327,092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1,018,967,531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Distributions payable</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18,619,812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15,824,061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52,544,704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Unfunded investments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7,241,667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26,935,270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(cost—$145,500,000 and $145,000,000, respectively) (See Notes 5 and 11)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145,500,000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144,452,500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SBA debentures payable (cost—$150,000,000) (See Notes 5 and 11)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2025 Notes payable (cost—$71,250,000) (See Notes 5 and 11)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5,419,557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4,791,913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4,274,881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4,206,989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Interest payable on debt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1,810,466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854,725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2,009,806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455,820,893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349,250,484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w w:val="88"/>
              </w:rPr>
              <w:t>Common stock, 66,499,327 and 65,514,503 shares issued and outstanding, respectively. Par value $0.001 per share and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Arial" w:cs="Arial" w:eastAsia="Arial" w:hAnsi="Arial"/>
                <w:sz w:val="18"/>
                <w:szCs w:val="18"/>
                <w:color w:val="auto"/>
              </w:rPr>
              <w:t>100,000,000 shares authorized.</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66,499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756,017,096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744,704,825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(Distributions in excess of) Undistributed net investment income</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(4,675,217)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2,804,397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(43,409,847)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(60,273,037)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(13,342,332)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(18,132,152)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debt</w:t>
            </w: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40" w:type="dxa"/>
            <w:vAlign w:val="bottom"/>
          </w:tcPr>
          <w:p>
            <w:pPr>
              <w:ind w:left="86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697,506,199</w:t>
            </w:r>
          </w:p>
        </w:tc>
        <w:tc>
          <w:tcPr>
            <w:tcW w:w="140" w:type="dxa"/>
            <w:vAlign w:val="bottom"/>
          </w:tcPr>
          <w:p>
            <w:pPr>
              <w:spacing w:after="0"/>
              <w:rPr>
                <w:sz w:val="19"/>
                <w:szCs w:val="19"/>
                <w:color w:val="auto"/>
              </w:rPr>
            </w:pPr>
          </w:p>
        </w:tc>
        <w:tc>
          <w:tcPr>
            <w:tcW w:w="2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669,717,047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1,153,327,092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1,018,967,531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asset value per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10.49</w:t>
            </w:r>
          </w:p>
        </w:tc>
        <w:tc>
          <w:tcPr>
            <w:tcW w:w="140" w:type="dxa"/>
            <w:vAlign w:val="bottom"/>
          </w:tcPr>
          <w:p>
            <w:pPr>
              <w:spacing w:after="0"/>
              <w:rPr>
                <w:sz w:val="18"/>
                <w:szCs w:val="18"/>
                <w:color w:val="auto"/>
              </w:rPr>
            </w:pPr>
          </w:p>
        </w:tc>
        <w:tc>
          <w:tcPr>
            <w:tcW w:w="26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jc w:val="right"/>
              <w:ind w:right="172"/>
              <w:spacing w:after="0"/>
              <w:rPr>
                <w:sz w:val="20"/>
                <w:szCs w:val="20"/>
                <w:color w:val="auto"/>
              </w:rPr>
            </w:pPr>
            <w:r>
              <w:rPr>
                <w:rFonts w:ascii="Arial" w:cs="Arial" w:eastAsia="Arial" w:hAnsi="Arial"/>
                <w:sz w:val="14"/>
                <w:szCs w:val="14"/>
                <w:b w:val="1"/>
                <w:bCs w:val="1"/>
                <w:color w:val="auto"/>
                <w:w w:val="88"/>
              </w:rPr>
              <w:t>Years Ended September 30,</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107,058,958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99,663,198</w:t>
            </w:r>
          </w:p>
        </w:tc>
        <w:tc>
          <w:tcPr>
            <w:tcW w:w="3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83,632,455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10,883,261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8,486,387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5,841,127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3,542,583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2,217,320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controlled, affiliated investments: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4,806,329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1,700,222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640"/>
              <w:spacing w:after="0"/>
              <w:rPr>
                <w:sz w:val="20"/>
                <w:szCs w:val="20"/>
                <w:color w:val="auto"/>
              </w:rPr>
            </w:pPr>
            <w:r>
              <w:rPr>
                <w:rFonts w:ascii="Arial" w:cs="Arial" w:eastAsia="Arial" w:hAnsi="Arial"/>
                <w:sz w:val="18"/>
                <w:szCs w:val="18"/>
                <w:b w:val="1"/>
                <w:bCs w:val="1"/>
                <w:color w:val="auto"/>
              </w:rPr>
              <w:t>Total investment income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129,187,075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113,392,390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91,738,495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Base management fee (See Note 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21,288,728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17,507,262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14,899,983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16,793,089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14,223,777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13,161,597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 and expenses on debt (See Note 11)</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15,384,208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11,680,634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5,322,231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3,161,158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3,745,741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2,596,756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2,857,739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3,496,326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2,884,029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Expenses before taxes and debt issuance costs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59,484,922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50,653,740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38,864,596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Tax expense</w:t>
            </w: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(53,468)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307,990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(See Note 5)</w:t>
            </w: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5,361,319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ind w:left="420"/>
              <w:spacing w:after="0"/>
              <w:rPr>
                <w:sz w:val="20"/>
                <w:szCs w:val="20"/>
                <w:color w:val="auto"/>
              </w:rPr>
            </w:pPr>
            <w:r>
              <w:rPr>
                <w:rFonts w:ascii="Arial" w:cs="Arial" w:eastAsia="Arial" w:hAnsi="Arial"/>
                <w:sz w:val="18"/>
                <w:szCs w:val="18"/>
                <w:b w:val="1"/>
                <w:bCs w:val="1"/>
                <w:color w:val="auto"/>
              </w:rPr>
              <w:t>Total expenses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62,188,954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56,323,049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39,093,420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66,998,121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57,069,341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21"/>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Realized and unrealized gain (loss) on investments and debt: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17,687,211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(12,798,035)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17,932,839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42,727,722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(45,350,345)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Non-controlled and controlled, affiliated investments</w:t>
            </w:r>
          </w:p>
        </w:tc>
        <w:tc>
          <w:tcPr>
            <w:tcW w:w="1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(13,143,019)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(22,085,553)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(1,439,878)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depreciation (appreciation) (See Notes 5 and 11)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(1,560,375)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w:t>
            </w: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7,092,320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19,081,794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(58,641,223)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debt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24,779,531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6,283,759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(42,381,601)</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91,777,652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63,353,100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10,263,474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4"/>
              </w:rPr>
              <w:t>Net increase in net assets resulting from operations per common share basic and diluted (See</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 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color w:val="auto"/>
              </w:rPr>
              <w:t>Net investment income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6"/>
              </w:rPr>
              <w:t>Years Ended September 30,</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694"/>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693"/>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Net investment income</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66,998,121</w:t>
            </w:r>
          </w:p>
        </w:tc>
        <w:tc>
          <w:tcPr>
            <w:tcW w:w="26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57,069,341</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52,645,075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realized gain (loss) on investments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17,687,211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(12,798,035)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16,259,622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w w:val="92"/>
              </w:rPr>
              <w:t>Net change in unrealized appreciation (depreciation)</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1060"/>
              <w:spacing w:after="0"/>
              <w:rPr>
                <w:sz w:val="20"/>
                <w:szCs w:val="20"/>
                <w:color w:val="auto"/>
              </w:rPr>
            </w:pPr>
            <w:r>
              <w:rPr>
                <w:rFonts w:ascii="Arial" w:cs="Arial" w:eastAsia="Arial" w:hAnsi="Arial"/>
                <w:sz w:val="18"/>
                <w:szCs w:val="18"/>
                <w:color w:val="auto"/>
              </w:rPr>
              <w:t>on investments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4,789,820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20,642,169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(46,790,223)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debt depreciation (appreciation)</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(1,560,375)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(11,851,000)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b w:val="1"/>
                <w:bCs w:val="1"/>
                <w:color w:val="auto"/>
              </w:rPr>
              <w:t>Net increase in net assets resulting from</w:t>
            </w:r>
          </w:p>
        </w:tc>
        <w:tc>
          <w:tcPr>
            <w:tcW w:w="1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20" w:type="dxa"/>
            <w:vAlign w:val="bottom"/>
          </w:tcPr>
          <w:p>
            <w:pPr>
              <w:ind w:left="1060"/>
              <w:spacing w:after="0"/>
              <w:rPr>
                <w:sz w:val="20"/>
                <w:szCs w:val="20"/>
                <w:color w:val="auto"/>
              </w:rPr>
            </w:pPr>
            <w:r>
              <w:rPr>
                <w:rFonts w:ascii="Arial" w:cs="Arial" w:eastAsia="Arial" w:hAnsi="Arial"/>
                <w:sz w:val="18"/>
                <w:szCs w:val="18"/>
                <w:b w:val="1"/>
                <w:bCs w:val="1"/>
                <w:color w:val="auto"/>
              </w:rPr>
              <w:t>operations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91,777,652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63,353,100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10,263,474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Distributions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(74,398,129)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(60,137,978)</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(46,347,691)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Public offerings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7,574,000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206,572,500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114,080,000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Offerings costs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(265,090)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(7,717,300)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Reinvestment of distributions</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3,100,719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4,989,529</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3,829,990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ind w:left="860"/>
              <w:spacing w:after="0" w:line="201" w:lineRule="exact"/>
              <w:rPr>
                <w:sz w:val="20"/>
                <w:szCs w:val="20"/>
                <w:color w:val="auto"/>
              </w:rPr>
            </w:pPr>
            <w:r>
              <w:rPr>
                <w:rFonts w:ascii="Arial" w:cs="Arial" w:eastAsia="Arial" w:hAnsi="Arial"/>
                <w:sz w:val="18"/>
                <w:szCs w:val="18"/>
                <w:b w:val="1"/>
                <w:bCs w:val="1"/>
                <w:color w:val="auto"/>
                <w:w w:val="93"/>
              </w:rPr>
              <w:t>Net increase in net assets resulting from capital</w:t>
            </w:r>
          </w:p>
        </w:tc>
        <w:tc>
          <w:tcPr>
            <w:tcW w:w="180" w:type="dxa"/>
            <w:vAlign w:val="bottom"/>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transactions</w:t>
            </w:r>
          </w:p>
        </w:tc>
        <w:tc>
          <w:tcPr>
            <w:tcW w:w="1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10,409,629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203,844,729</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112,166,190</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w:t>
            </w: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27,789,152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207,059,851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76,081,973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420"/>
              <w:spacing w:after="0"/>
              <w:rPr>
                <w:sz w:val="20"/>
                <w:szCs w:val="20"/>
                <w:color w:val="auto"/>
              </w:rPr>
            </w:pPr>
            <w:r>
              <w:rPr>
                <w:rFonts w:ascii="Arial" w:cs="Arial" w:eastAsia="Arial" w:hAnsi="Arial"/>
                <w:sz w:val="18"/>
                <w:szCs w:val="18"/>
                <w:color w:val="auto"/>
              </w:rPr>
              <w:t>Beginning of year</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669,717,047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462,657,196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386,575,223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year</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697,506,199</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669,717,047</w:t>
            </w:r>
          </w:p>
        </w:tc>
        <w:tc>
          <w:tcPr>
            <w:tcW w:w="6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462,657,196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420"/>
              <w:spacing w:after="0"/>
              <w:rPr>
                <w:sz w:val="20"/>
                <w:szCs w:val="20"/>
                <w:color w:val="auto"/>
              </w:rPr>
            </w:pPr>
            <w:r>
              <w:rPr>
                <w:rFonts w:ascii="Arial" w:cs="Arial" w:eastAsia="Arial" w:hAnsi="Arial"/>
                <w:sz w:val="18"/>
                <w:szCs w:val="18"/>
                <w:color w:val="auto"/>
                <w:w w:val="96"/>
              </w:rPr>
              <w:t>(Distributions in excess of) Undistributed net investment</w:t>
            </w: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ind w:left="640"/>
              <w:spacing w:after="0"/>
              <w:rPr>
                <w:sz w:val="20"/>
                <w:szCs w:val="20"/>
                <w:color w:val="auto"/>
              </w:rPr>
            </w:pPr>
            <w:r>
              <w:rPr>
                <w:rFonts w:ascii="Arial" w:cs="Arial" w:eastAsia="Arial" w:hAnsi="Arial"/>
                <w:sz w:val="18"/>
                <w:szCs w:val="18"/>
                <w:color w:val="auto"/>
              </w:rPr>
              <w:t>income, at year end</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(4,675,217)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2,804,397</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8,326,854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860"/>
              <w:spacing w:after="0"/>
              <w:rPr>
                <w:sz w:val="20"/>
                <w:szCs w:val="20"/>
                <w:color w:val="auto"/>
              </w:rPr>
            </w:pPr>
            <w:r>
              <w:rPr>
                <w:rFonts w:ascii="Arial" w:cs="Arial" w:eastAsia="Arial" w:hAnsi="Arial"/>
                <w:sz w:val="18"/>
                <w:szCs w:val="18"/>
                <w:color w:val="auto"/>
              </w:rPr>
              <w:t>Shares issued from public offerings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19,350,000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9,200,000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Shares issued from reinvestment of distributions</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284,824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331,011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6"/>
              </w:rPr>
              <w:t>Years Ended September 30,</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2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91,777,652</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63,353,100</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10,263,474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Adjustments to reconcile net increase in net assets resulting from operations to net cash</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provided by (used for) operating activities:</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Net change in net unrealized appreciation (depreciation) on investments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(4,789,820)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(20,642,169)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46,790,223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debt depreciation (appreciation)</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(2,302,500)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Net realized loss on investments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(17,687,211)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12,798,035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(16,259,622)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(5,856,654)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(10,357,608)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(6,745,834)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(504,373,719)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(328,275,329)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(479,733,669)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(11,814,084)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(9,065,502)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(10,883,750)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Proceeds from disposition of investments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437,147,602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201,656,926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304,008,543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4,033,969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(4,050,626)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12,240,763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17,135,807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payables for investments purchased</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52,544,704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(18,572,499)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(34,212,501)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(19,242,446)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14,928,717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interest payable on debt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955,741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167,363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168,130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466,675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749,017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fees payable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433,160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1,534,818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accrued other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(175,220)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for) operating activities</w:t>
            </w: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40,324,126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(115,339,638)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(137,812,516)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Public offerings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7,574,000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206,572,500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114,080,000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Offerings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(265,090)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(7,717,300)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Distributions paid</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(68,501,660)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(51,660,628)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(39,582,741)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SBA debentures (See Note 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135,500,000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Borrowings under 2025 Notes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71,250,000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Capitalized borrowing costs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(4,450,875)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860"/>
              <w:spacing w:after="0"/>
              <w:rPr>
                <w:sz w:val="20"/>
                <w:szCs w:val="20"/>
                <w:color w:val="auto"/>
              </w:rPr>
            </w:pPr>
            <w:r>
              <w:rPr>
                <w:rFonts w:ascii="Arial" w:cs="Arial" w:eastAsia="Arial" w:hAnsi="Arial"/>
                <w:sz w:val="18"/>
                <w:szCs w:val="18"/>
                <w:color w:val="auto"/>
              </w:rPr>
              <w:t>Borrowings under Credit Facility (See Note 11)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2"/>
              </w:rPr>
              <w:t>1,099,800,000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927,900,000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701,900,000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Repayments under Credit Facility (See Note 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(1,099,300,000)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(1,023,800,000)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(694,100,000)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10,557,250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51,294,572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207,602,584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50,881,376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(64,045,066)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69,790,068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71,604,519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71,604,519</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Supplemental disclosure of cash flow information and non-cash activity (See Note 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12,765,891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10,643,840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Taxes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258,550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reinvested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3,100,719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4,989,529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gridSpan w:val="2"/>
          </w:tcPr>
          <w:p>
            <w:pPr>
              <w:spacing w:after="0"/>
              <w:rPr>
                <w:sz w:val="20"/>
                <w:szCs w:val="20"/>
                <w:color w:val="auto"/>
              </w:rPr>
            </w:pPr>
            <w:r>
              <w:rPr>
                <w:rFonts w:ascii="Arial" w:cs="Arial" w:eastAsia="Arial" w:hAnsi="Arial"/>
                <w:sz w:val="18"/>
                <w:szCs w:val="18"/>
                <w:color w:val="auto"/>
              </w:rPr>
              <w:t>Conversions and non-cash exchanges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58,478,391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43,596,371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4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Par/</w:t>
            </w: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22"/>
                <w:szCs w:val="22"/>
                <w:b w:val="1"/>
                <w:bCs w:val="1"/>
                <w:color w:val="auto"/>
                <w:w w:val="99"/>
                <w:vertAlign w:val="superscript"/>
              </w:rPr>
              <w:t>(3)</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tcPr>
          <w:p>
            <w:pPr>
              <w:jc w:val="right"/>
              <w:ind w:right="112"/>
              <w:spacing w:after="0"/>
              <w:rPr>
                <w:sz w:val="20"/>
                <w:szCs w:val="20"/>
                <w:color w:val="auto"/>
              </w:rPr>
            </w:pPr>
            <w:r>
              <w:rPr>
                <w:rFonts w:ascii="Arial" w:cs="Arial" w:eastAsia="Arial" w:hAnsi="Arial"/>
                <w:sz w:val="14"/>
                <w:szCs w:val="14"/>
                <w:b w:val="1"/>
                <w:bCs w:val="1"/>
                <w:color w:val="auto"/>
              </w:rPr>
              <w:t>Maturity</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tcPr>
          <w:p>
            <w:pPr>
              <w:jc w:val="right"/>
              <w:ind w:right="252"/>
              <w:spacing w:after="0"/>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ind w:right="10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Shares</w:t>
            </w:r>
          </w:p>
        </w:tc>
        <w:tc>
          <w:tcPr>
            <w:tcW w:w="1060" w:type="dxa"/>
            <w:vAlign w:val="bottom"/>
            <w:gridSpan w:val="2"/>
          </w:tcPr>
          <w:p>
            <w:pPr>
              <w:ind w:left="300"/>
              <w:spacing w:after="0"/>
              <w:rPr>
                <w:sz w:val="20"/>
                <w:szCs w:val="20"/>
                <w:color w:val="auto"/>
              </w:rPr>
            </w:pPr>
            <w:r>
              <w:rPr>
                <w:rFonts w:ascii="Arial" w:cs="Arial" w:eastAsia="Arial" w:hAnsi="Arial"/>
                <w:sz w:val="14"/>
                <w:szCs w:val="14"/>
                <w:b w:val="1"/>
                <w:bCs w:val="1"/>
                <w:color w:val="auto"/>
              </w:rPr>
              <w:t>Cost</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Companies—138.9% </w:t>
            </w:r>
            <w:r>
              <w:rPr>
                <w:rFonts w:ascii="Arial" w:cs="Arial" w:eastAsia="Arial" w:hAnsi="Arial"/>
                <w:sz w:val="16"/>
                <w:szCs w:val="16"/>
                <w:b w:val="1"/>
                <w:bCs w:val="1"/>
                <w:color w:val="auto"/>
                <w:vertAlign w:val="superscript"/>
              </w:rPr>
              <w:t>(1),(2)</w:t>
            </w:r>
          </w:p>
        </w:tc>
        <w:tc>
          <w:tcPr>
            <w:tcW w:w="9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Debt—41.3%</w:t>
            </w:r>
          </w:p>
        </w:tc>
        <w:tc>
          <w:tcPr>
            <w:tcW w:w="10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06/21/2017</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Communications</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11.25%</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23,912,894</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23,012,057</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  25,347,668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AKA Diversified Holdings, Inc.</w:t>
            </w:r>
          </w:p>
        </w:tc>
        <w:tc>
          <w:tcPr>
            <w:tcW w:w="10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12/21/2016</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94"/>
              </w:rPr>
              <w:t>Retail</w:t>
            </w:r>
          </w:p>
        </w:tc>
        <w:tc>
          <w:tcPr>
            <w:tcW w:w="9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12.50%</w:t>
            </w:r>
          </w:p>
        </w:tc>
        <w:tc>
          <w:tcPr>
            <w:tcW w:w="960" w:type="dxa"/>
            <w:vAlign w:val="bottom"/>
          </w:tcPr>
          <w:p>
            <w:pPr>
              <w:jc w:val="right"/>
              <w:ind w:right="180"/>
              <w:spacing w:after="0" w:line="138" w:lineRule="exact"/>
              <w:rPr>
                <w:sz w:val="20"/>
                <w:szCs w:val="20"/>
                <w:color w:val="auto"/>
              </w:rPr>
            </w:pPr>
            <w:r>
              <w:rPr>
                <w:rFonts w:ascii="Arial" w:cs="Arial" w:eastAsia="Arial" w:hAnsi="Arial"/>
                <w:sz w:val="14"/>
                <w:szCs w:val="14"/>
                <w:color w:val="auto"/>
              </w:rPr>
              <w:t>L+1,225</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14,550,084</w:t>
            </w:r>
          </w:p>
        </w:tc>
        <w:tc>
          <w:tcPr>
            <w:tcW w:w="3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14,310,552</w:t>
            </w:r>
          </w:p>
        </w:tc>
        <w:tc>
          <w:tcPr>
            <w:tcW w:w="1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14,694,828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(PIK 1.50%)</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50" w:lineRule="exact"/>
              <w:rPr>
                <w:sz w:val="20"/>
                <w:szCs w:val="20"/>
                <w:color w:val="auto"/>
              </w:rPr>
            </w:pPr>
            <w:r>
              <w:rPr>
                <w:rFonts w:ascii="Arial" w:cs="Arial" w:eastAsia="Arial" w:hAnsi="Arial"/>
                <w:sz w:val="11"/>
                <w:szCs w:val="11"/>
                <w:color w:val="auto"/>
              </w:rPr>
              <w:t xml:space="preserve">CEVA Group PLC </w:t>
            </w:r>
            <w:r>
              <w:rPr>
                <w:rFonts w:ascii="Arial" w:cs="Arial" w:eastAsia="Arial" w:hAnsi="Arial"/>
                <w:sz w:val="17"/>
                <w:szCs w:val="17"/>
                <w:color w:val="auto"/>
                <w:vertAlign w:val="superscript"/>
              </w:rPr>
              <w:t>(5),(10)</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10/01/2016</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Cargo Transport</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11.63%</w:t>
            </w:r>
          </w:p>
        </w:tc>
        <w:tc>
          <w:tcPr>
            <w:tcW w:w="960" w:type="dxa"/>
            <w:vAlign w:val="bottom"/>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7,385,251</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Columbus International, Inc. </w:t>
            </w:r>
            <w:r>
              <w:rPr>
                <w:rFonts w:ascii="Arial" w:cs="Arial" w:eastAsia="Arial" w:hAnsi="Arial"/>
                <w:sz w:val="17"/>
                <w:szCs w:val="17"/>
                <w:color w:val="auto"/>
                <w:vertAlign w:val="superscript"/>
              </w:rPr>
              <w:t>(5), (10)</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11/20/2014</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Communications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96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10,000,000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10,000,000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10,750,000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Cydcor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06/12/2017</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9.75%</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L+725</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7,342,967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Good Sam Enterprises, LLC </w:t>
            </w:r>
            <w:r>
              <w:rPr>
                <w:rFonts w:ascii="Arial" w:cs="Arial" w:eastAsia="Arial" w:hAnsi="Arial"/>
                <w:sz w:val="17"/>
                <w:szCs w:val="17"/>
                <w:color w:val="auto"/>
                <w:vertAlign w:val="superscript"/>
              </w:rPr>
              <w:t>(5)</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12/01/2016</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96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12,000,000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11,835,907</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03/30/2017</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Auto Sector</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960" w:type="dxa"/>
            <w:vAlign w:val="bottom"/>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6"/>
              </w:rPr>
              <w:t>11,500,000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11,326,110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12,391,250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InfuSystem Holdings, Inc.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11/30/2016</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11.95%</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P+625</w:t>
            </w:r>
            <w:r>
              <w:rPr>
                <w:rFonts w:ascii="Arial" w:cs="Arial" w:eastAsia="Arial" w:hAnsi="Arial"/>
                <w:sz w:val="17"/>
                <w:szCs w:val="17"/>
                <w:color w:val="auto"/>
                <w:vertAlign w:val="superscript"/>
              </w:rPr>
              <w:t>(8)</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11,600,000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11,600,000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11,708,430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Instant Web, Inc.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08/07/2014</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Printing and Publishing</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14.50%</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23,934,268</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23,788,980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22,976,897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08/07/2014</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Printing and Publishing</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3.55%</w:t>
            </w:r>
          </w:p>
        </w:tc>
        <w:tc>
          <w:tcPr>
            <w:tcW w:w="960" w:type="dxa"/>
            <w:vAlign w:val="bottom"/>
          </w:tcPr>
          <w:p>
            <w:pPr>
              <w:jc w:val="right"/>
              <w:ind w:right="180"/>
              <w:spacing w:after="0" w:line="149" w:lineRule="exact"/>
              <w:rPr>
                <w:sz w:val="20"/>
                <w:szCs w:val="20"/>
                <w:color w:val="auto"/>
              </w:rPr>
            </w:pPr>
            <w:r>
              <w:rPr>
                <w:rFonts w:ascii="Arial" w:cs="Arial" w:eastAsia="Arial" w:hAnsi="Arial"/>
                <w:sz w:val="14"/>
                <w:szCs w:val="14"/>
                <w:color w:val="auto"/>
              </w:rPr>
              <w:t>L+338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18,199,679</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13,917,288</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14,559,743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Interactive Health Solutions, Inc.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10/04/2016</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18,050,000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17,770,705</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Jackson Hewitt Tax Service Inc.</w:t>
            </w:r>
          </w:p>
        </w:tc>
        <w:tc>
          <w:tcPr>
            <w:tcW w:w="10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10/16/2017</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6"/>
              </w:rPr>
              <w:t>Personal, Food and Miscellaneous</w:t>
            </w:r>
          </w:p>
        </w:tc>
        <w:tc>
          <w:tcPr>
            <w:tcW w:w="9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10.00%</w:t>
            </w:r>
          </w:p>
        </w:tc>
        <w:tc>
          <w:tcPr>
            <w:tcW w:w="960" w:type="dxa"/>
            <w:vAlign w:val="bottom"/>
          </w:tcPr>
          <w:p>
            <w:pPr>
              <w:jc w:val="right"/>
              <w:ind w:right="40"/>
              <w:spacing w:after="0" w:line="138" w:lineRule="exact"/>
              <w:rPr>
                <w:sz w:val="20"/>
                <w:szCs w:val="20"/>
                <w:color w:val="auto"/>
              </w:rPr>
            </w:pPr>
            <w:r>
              <w:rPr>
                <w:rFonts w:ascii="Arial" w:cs="Arial" w:eastAsia="Arial" w:hAnsi="Arial"/>
                <w:sz w:val="10"/>
                <w:szCs w:val="10"/>
                <w:color w:val="auto"/>
              </w:rPr>
              <w:t>L+850</w:t>
            </w:r>
            <w:r>
              <w:rPr>
                <w:rFonts w:ascii="Arial" w:cs="Arial" w:eastAsia="Arial" w:hAnsi="Arial"/>
                <w:sz w:val="15"/>
                <w:szCs w:val="15"/>
                <w:color w:val="auto"/>
                <w:vertAlign w:val="superscript"/>
              </w:rPr>
              <w:t>(8)</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8,355,469</w:t>
            </w:r>
          </w:p>
        </w:tc>
        <w:tc>
          <w:tcPr>
            <w:tcW w:w="3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8,349,704</w:t>
            </w:r>
          </w:p>
        </w:tc>
        <w:tc>
          <w:tcPr>
            <w:tcW w:w="1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8,230,137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08/19/2019</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10.00%</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L+900</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22,342,352</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21,899,258</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22,007,217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0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08/01/2014</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9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6.00%</w:t>
            </w:r>
          </w:p>
        </w:tc>
        <w:tc>
          <w:tcPr>
            <w:tcW w:w="960" w:type="dxa"/>
            <w:vAlign w:val="bottom"/>
          </w:tcPr>
          <w:p>
            <w:pPr>
              <w:jc w:val="right"/>
              <w:ind w:right="40"/>
              <w:spacing w:after="0" w:line="138" w:lineRule="exact"/>
              <w:rPr>
                <w:sz w:val="20"/>
                <w:szCs w:val="20"/>
                <w:color w:val="auto"/>
              </w:rPr>
            </w:pPr>
            <w:r>
              <w:rPr>
                <w:rFonts w:ascii="Arial" w:cs="Arial" w:eastAsia="Arial" w:hAnsi="Arial"/>
                <w:sz w:val="10"/>
                <w:szCs w:val="10"/>
                <w:color w:val="auto"/>
              </w:rPr>
              <w:t>L+500</w:t>
            </w:r>
            <w:r>
              <w:rPr>
                <w:rFonts w:ascii="Arial" w:cs="Arial" w:eastAsia="Arial" w:hAnsi="Arial"/>
                <w:sz w:val="15"/>
                <w:szCs w:val="15"/>
                <w:color w:val="auto"/>
                <w:vertAlign w:val="superscript"/>
              </w:rPr>
              <w:t>(8)</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37,950,152</w:t>
            </w:r>
          </w:p>
        </w:tc>
        <w:tc>
          <w:tcPr>
            <w:tcW w:w="3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36,110,124</w:t>
            </w:r>
          </w:p>
        </w:tc>
        <w:tc>
          <w:tcPr>
            <w:tcW w:w="1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37,523,212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(PIK 2.00%)</w:t>
            </w: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1"/>
                <w:szCs w:val="11"/>
                <w:color w:val="auto"/>
              </w:rPr>
              <w:t xml:space="preserve">Prince Mineral Holding Corp. </w:t>
            </w:r>
            <w:r>
              <w:rPr>
                <w:rFonts w:ascii="Arial" w:cs="Arial" w:eastAsia="Arial" w:hAnsi="Arial"/>
                <w:sz w:val="16"/>
                <w:szCs w:val="16"/>
                <w:color w:val="auto"/>
                <w:vertAlign w:val="superscript"/>
              </w:rPr>
              <w:t>(5)</w:t>
            </w:r>
          </w:p>
        </w:tc>
        <w:tc>
          <w:tcPr>
            <w:tcW w:w="1020" w:type="dxa"/>
            <w:vAlign w:val="bottom"/>
            <w:shd w:val="clear" w:color="auto" w:fill="CCEEFF"/>
          </w:tcPr>
          <w:p>
            <w:pPr>
              <w:jc w:val="right"/>
              <w:ind w:right="32"/>
              <w:spacing w:after="0" w:line="139" w:lineRule="exact"/>
              <w:rPr>
                <w:sz w:val="20"/>
                <w:szCs w:val="20"/>
                <w:color w:val="auto"/>
              </w:rPr>
            </w:pPr>
            <w:r>
              <w:rPr>
                <w:rFonts w:ascii="Arial" w:cs="Arial" w:eastAsia="Arial" w:hAnsi="Arial"/>
                <w:sz w:val="14"/>
                <w:szCs w:val="14"/>
                <w:color w:val="auto"/>
              </w:rPr>
              <w:t>12/16/2019</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Mining, Steel, Iron and</w:t>
            </w:r>
          </w:p>
        </w:tc>
        <w:tc>
          <w:tcPr>
            <w:tcW w:w="94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11.50%</w:t>
            </w:r>
          </w:p>
        </w:tc>
        <w:tc>
          <w:tcPr>
            <w:tcW w:w="960" w:type="dxa"/>
            <w:vAlign w:val="bottom"/>
            <w:shd w:val="clear" w:color="auto" w:fill="CCEEFF"/>
          </w:tcPr>
          <w:p>
            <w:pPr>
              <w:jc w:val="right"/>
              <w:ind w:right="240"/>
              <w:spacing w:after="0" w:line="13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w w:val="96"/>
              </w:rPr>
              <w:t>14,250,000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14,096,169</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15,176,250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Non-Precious Metals</w:t>
            </w:r>
          </w:p>
        </w:tc>
        <w:tc>
          <w:tcPr>
            <w:tcW w:w="9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04/30/2018</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12.00%</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L+1,050</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34,270,800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33,766,321</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34,270,800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Worley Claims Services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07/06/2017</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Insurance</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12.50%</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L+1,100</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12,451,096</w:t>
            </w:r>
          </w:p>
        </w:tc>
        <w:tc>
          <w:tcPr>
            <w:tcW w:w="3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12,451,096</w:t>
            </w:r>
          </w:p>
        </w:tc>
        <w:tc>
          <w:tcPr>
            <w:tcW w:w="1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12,388,840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2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278,962,489</w:t>
            </w:r>
          </w:p>
        </w:tc>
        <w:tc>
          <w:tcPr>
            <w:tcW w:w="180" w:type="dxa"/>
            <w:vAlign w:val="bottom"/>
          </w:tcPr>
          <w:p>
            <w:pPr>
              <w:spacing w:after="0"/>
              <w:rPr>
                <w:sz w:val="14"/>
                <w:szCs w:val="14"/>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288,043,239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Debt—48.9%</w:t>
            </w:r>
          </w:p>
        </w:tc>
        <w:tc>
          <w:tcPr>
            <w:tcW w:w="10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tcPr>
          <w:p>
            <w:pPr>
              <w:spacing w:after="0" w:line="138" w:lineRule="exact"/>
              <w:rPr>
                <w:sz w:val="20"/>
                <w:szCs w:val="20"/>
                <w:color w:val="auto"/>
              </w:rPr>
            </w:pPr>
            <w:r>
              <w:rPr>
                <w:rFonts w:ascii="Arial" w:cs="Arial" w:eastAsia="Arial" w:hAnsi="Arial"/>
                <w:sz w:val="10"/>
                <w:szCs w:val="10"/>
                <w:color w:val="auto"/>
              </w:rPr>
              <w:t xml:space="preserve">American Gilsonite Company </w:t>
            </w:r>
            <w:r>
              <w:rPr>
                <w:rFonts w:ascii="Arial" w:cs="Arial" w:eastAsia="Arial" w:hAnsi="Arial"/>
                <w:sz w:val="15"/>
                <w:szCs w:val="15"/>
                <w:color w:val="auto"/>
                <w:vertAlign w:val="superscript"/>
              </w:rPr>
              <w:t>(5)</w:t>
            </w:r>
          </w:p>
        </w:tc>
        <w:tc>
          <w:tcPr>
            <w:tcW w:w="1020" w:type="dxa"/>
            <w:vAlign w:val="bottom"/>
          </w:tcPr>
          <w:p>
            <w:pPr>
              <w:jc w:val="right"/>
              <w:ind w:right="32"/>
              <w:spacing w:after="0" w:line="138" w:lineRule="exact"/>
              <w:rPr>
                <w:sz w:val="20"/>
                <w:szCs w:val="20"/>
                <w:color w:val="auto"/>
              </w:rPr>
            </w:pPr>
            <w:r>
              <w:rPr>
                <w:rFonts w:ascii="Arial" w:cs="Arial" w:eastAsia="Arial" w:hAnsi="Arial"/>
                <w:sz w:val="14"/>
                <w:szCs w:val="14"/>
                <w:color w:val="auto"/>
              </w:rPr>
              <w:t>09/01/2017</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7"/>
              </w:rPr>
              <w:t>Diversified Natural Resources,</w:t>
            </w:r>
          </w:p>
        </w:tc>
        <w:tc>
          <w:tcPr>
            <w:tcW w:w="94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960" w:type="dxa"/>
            <w:vAlign w:val="bottom"/>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w w:val="96"/>
              </w:rPr>
              <w:t>25,400,000</w:t>
            </w:r>
          </w:p>
        </w:tc>
        <w:tc>
          <w:tcPr>
            <w:tcW w:w="32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25,400,000</w:t>
            </w:r>
          </w:p>
        </w:tc>
        <w:tc>
          <w:tcPr>
            <w:tcW w:w="180" w:type="dxa"/>
            <w:vAlign w:val="bottom"/>
          </w:tcPr>
          <w:p>
            <w:pPr>
              <w:spacing w:after="0"/>
              <w:rPr>
                <w:sz w:val="11"/>
                <w:szCs w:val="11"/>
                <w:color w:val="auto"/>
              </w:rPr>
            </w:pPr>
          </w:p>
        </w:tc>
        <w:tc>
          <w:tcPr>
            <w:tcW w:w="880" w:type="dxa"/>
            <w:vAlign w:val="bottom"/>
          </w:tcPr>
          <w:p>
            <w:pPr>
              <w:jc w:val="right"/>
              <w:spacing w:after="0" w:line="138" w:lineRule="exact"/>
              <w:rPr>
                <w:sz w:val="20"/>
                <w:szCs w:val="20"/>
                <w:color w:val="auto"/>
              </w:rPr>
            </w:pPr>
            <w:r>
              <w:rPr>
                <w:rFonts w:ascii="Arial" w:cs="Arial" w:eastAsia="Arial" w:hAnsi="Arial"/>
                <w:sz w:val="14"/>
                <w:szCs w:val="14"/>
                <w:color w:val="auto"/>
              </w:rPr>
              <w:t>25,971,500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8"/>
              </w:rPr>
              <w:t>Precious Metals and Minerals</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Arsloane Acquisition,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10/01/2020</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11.75%</w:t>
            </w:r>
          </w:p>
        </w:tc>
        <w:tc>
          <w:tcPr>
            <w:tcW w:w="960" w:type="dxa"/>
            <w:vAlign w:val="bottom"/>
            <w:shd w:val="clear" w:color="auto" w:fill="CCEEFF"/>
          </w:tcPr>
          <w:p>
            <w:pPr>
              <w:jc w:val="right"/>
              <w:ind w:right="40"/>
              <w:spacing w:after="0" w:line="149" w:lineRule="exact"/>
              <w:rPr>
                <w:sz w:val="20"/>
                <w:szCs w:val="20"/>
                <w:color w:val="auto"/>
              </w:rPr>
            </w:pPr>
            <w:r>
              <w:rPr>
                <w:rFonts w:ascii="Arial" w:cs="Arial" w:eastAsia="Arial" w:hAnsi="Arial"/>
                <w:sz w:val="11"/>
                <w:szCs w:val="11"/>
                <w:color w:val="auto"/>
              </w:rPr>
              <w:t>L+1,050</w:t>
            </w:r>
            <w:r>
              <w:rPr>
                <w:rFonts w:ascii="Arial" w:cs="Arial" w:eastAsia="Arial" w:hAnsi="Arial"/>
                <w:sz w:val="17"/>
                <w:szCs w:val="17"/>
                <w:color w:val="auto"/>
                <w:vertAlign w:val="superscript"/>
              </w:rPr>
              <w:t>(8)</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18,750,000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18,375,000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18,687,563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10/23/2019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2"/>
              </w:rPr>
              <w:t>Energy / Utilities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11.00%</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42,278,570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41,471,524</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43,159,233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Carolina Beverage Group,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08/01/2018</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10.63%</w:t>
            </w:r>
          </w:p>
        </w:tc>
        <w:tc>
          <w:tcPr>
            <w:tcW w:w="960" w:type="dxa"/>
            <w:vAlign w:val="bottom"/>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13,125,000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13,125,000</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13,420,313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Envision Acquisition Company, LLC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11/04/2021</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9.75%</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L+875</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19,000,000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18,620,000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18,905,000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Eureka Hunter Pipeline, LLC</w:t>
            </w:r>
          </w:p>
        </w:tc>
        <w:tc>
          <w:tcPr>
            <w:tcW w:w="10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08/16/2018</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2"/>
              </w:rPr>
              <w:t>Energy / Utilities</w:t>
            </w:r>
          </w:p>
        </w:tc>
        <w:tc>
          <w:tcPr>
            <w:tcW w:w="9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12.50%</w:t>
            </w:r>
          </w:p>
        </w:tc>
        <w:tc>
          <w:tcPr>
            <w:tcW w:w="960" w:type="dxa"/>
            <w:vAlign w:val="bottom"/>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45,000,000</w:t>
            </w:r>
          </w:p>
        </w:tc>
        <w:tc>
          <w:tcPr>
            <w:tcW w:w="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44,599,796</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ILC Industries, LLC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06/14/2019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0"/>
              </w:rPr>
              <w:t>Electronics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L+1,000</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7,500,000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7,200,000</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6,900,000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Intermediate Transportation 100, L.L.C.</w:t>
            </w:r>
          </w:p>
        </w:tc>
        <w:tc>
          <w:tcPr>
            <w:tcW w:w="10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03/01/2017</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Cargo Transport</w:t>
            </w:r>
          </w:p>
        </w:tc>
        <w:tc>
          <w:tcPr>
            <w:tcW w:w="9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11.00%</w:t>
            </w:r>
          </w:p>
        </w:tc>
        <w:tc>
          <w:tcPr>
            <w:tcW w:w="960" w:type="dxa"/>
            <w:vAlign w:val="bottom"/>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L+700</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3,544,833</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3,544,836</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3,544,833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(PIK 11.00%)</w:t>
            </w: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Jacobs Entertainment, Inc.</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10/29/2019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Hotels, Motels, Inns and Gaming</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13.00%</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L+1,175</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38,950,000</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38,287,499</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39,096,063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Language Line, LLC</w:t>
            </w:r>
          </w:p>
        </w:tc>
        <w:tc>
          <w:tcPr>
            <w:tcW w:w="10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12/20/2016</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Personal, Food and Miscellaneous</w:t>
            </w:r>
          </w:p>
        </w:tc>
        <w:tc>
          <w:tcPr>
            <w:tcW w:w="9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10.50%</w:t>
            </w:r>
          </w:p>
        </w:tc>
        <w:tc>
          <w:tcPr>
            <w:tcW w:w="960" w:type="dxa"/>
            <w:vAlign w:val="bottom"/>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L+875</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33,750,000</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33,265,829</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33,187,388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9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1"/>
                <w:szCs w:val="11"/>
                <w:color w:val="auto"/>
              </w:rPr>
              <w:t xml:space="preserve">Linc USA GP and Linc Energy Finance (USA), Inc. </w:t>
            </w:r>
            <w:r>
              <w:rPr>
                <w:rFonts w:ascii="Arial" w:cs="Arial" w:eastAsia="Arial" w:hAnsi="Arial"/>
                <w:sz w:val="17"/>
                <w:szCs w:val="17"/>
                <w:color w:val="auto"/>
                <w:vertAlign w:val="superscript"/>
              </w:rPr>
              <w:t>(5)</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10/31/2017</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9"/>
              </w:rPr>
              <w:t>Oil and Gas</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12.50%</w:t>
            </w:r>
          </w:p>
        </w:tc>
        <w:tc>
          <w:tcPr>
            <w:tcW w:w="96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11,875,000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11,511,878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13,062,500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Pre-Paid Legal Services, Inc.</w:t>
            </w:r>
          </w:p>
        </w:tc>
        <w:tc>
          <w:tcPr>
            <w:tcW w:w="10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07/01/2020</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Personal, Food and Miscellaneous</w:t>
            </w:r>
          </w:p>
        </w:tc>
        <w:tc>
          <w:tcPr>
            <w:tcW w:w="9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9.75%</w:t>
            </w:r>
          </w:p>
        </w:tc>
        <w:tc>
          <w:tcPr>
            <w:tcW w:w="960" w:type="dxa"/>
            <w:vAlign w:val="bottom"/>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L+850</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6"/>
              </w:rPr>
              <w:t>56,750,000</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55,923,621</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56,040,625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Services</w:t>
            </w:r>
          </w:p>
        </w:tc>
        <w:tc>
          <w:tcPr>
            <w:tcW w:w="9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12/15/2014</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9.50%</w:t>
            </w:r>
          </w:p>
        </w:tc>
        <w:tc>
          <w:tcPr>
            <w:tcW w:w="960" w:type="dxa"/>
            <w:vAlign w:val="bottom"/>
          </w:tcPr>
          <w:p>
            <w:pPr>
              <w:jc w:val="right"/>
              <w:ind w:right="40"/>
              <w:spacing w:after="0" w:line="149" w:lineRule="exact"/>
              <w:rPr>
                <w:sz w:val="20"/>
                <w:szCs w:val="20"/>
                <w:color w:val="auto"/>
              </w:rPr>
            </w:pPr>
            <w:r>
              <w:rPr>
                <w:rFonts w:ascii="Arial" w:cs="Arial" w:eastAsia="Arial" w:hAnsi="Arial"/>
                <w:sz w:val="11"/>
                <w:szCs w:val="11"/>
                <w:color w:val="auto"/>
              </w:rPr>
              <w:t>L+550</w:t>
            </w:r>
            <w:r>
              <w:rPr>
                <w:rFonts w:ascii="Arial" w:cs="Arial" w:eastAsia="Arial" w:hAnsi="Arial"/>
                <w:sz w:val="17"/>
                <w:szCs w:val="17"/>
                <w:color w:val="auto"/>
                <w:vertAlign w:val="superscript"/>
              </w:rPr>
              <w:t>(8)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2,395,378</w:t>
            </w: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2,371,424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Questex Media Group LLC, Term Loan B</w:t>
            </w:r>
          </w:p>
        </w:tc>
        <w:tc>
          <w:tcPr>
            <w:tcW w:w="1020" w:type="dxa"/>
            <w:vAlign w:val="bottom"/>
            <w:shd w:val="clear" w:color="auto" w:fill="CCEEFF"/>
          </w:tcPr>
          <w:p>
            <w:pPr>
              <w:jc w:val="right"/>
              <w:ind w:right="32"/>
              <w:spacing w:after="0" w:line="138" w:lineRule="exact"/>
              <w:rPr>
                <w:sz w:val="20"/>
                <w:szCs w:val="20"/>
                <w:color w:val="auto"/>
              </w:rPr>
            </w:pPr>
            <w:r>
              <w:rPr>
                <w:rFonts w:ascii="Arial" w:cs="Arial" w:eastAsia="Arial" w:hAnsi="Arial"/>
                <w:sz w:val="14"/>
                <w:szCs w:val="14"/>
                <w:color w:val="auto"/>
              </w:rPr>
              <w:t>12/15/2015</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Other Media</w:t>
            </w:r>
          </w:p>
        </w:tc>
        <w:tc>
          <w:tcPr>
            <w:tcW w:w="94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960" w:type="dxa"/>
            <w:vAlign w:val="bottom"/>
            <w:shd w:val="clear" w:color="auto" w:fill="CCEEFF"/>
          </w:tcPr>
          <w:p>
            <w:pPr>
              <w:jc w:val="right"/>
              <w:ind w:right="40"/>
              <w:spacing w:after="0" w:line="138" w:lineRule="exact"/>
              <w:rPr>
                <w:sz w:val="20"/>
                <w:szCs w:val="20"/>
                <w:color w:val="auto"/>
              </w:rPr>
            </w:pPr>
            <w:r>
              <w:rPr>
                <w:rFonts w:ascii="Arial" w:cs="Arial" w:eastAsia="Arial" w:hAnsi="Arial"/>
                <w:sz w:val="10"/>
                <w:szCs w:val="10"/>
                <w:color w:val="auto"/>
              </w:rPr>
              <w:t>P+750</w:t>
            </w:r>
            <w:r>
              <w:rPr>
                <w:rFonts w:ascii="Arial" w:cs="Arial" w:eastAsia="Arial" w:hAnsi="Arial"/>
                <w:sz w:val="15"/>
                <w:szCs w:val="15"/>
                <w:color w:val="auto"/>
                <w:vertAlign w:val="superscript"/>
              </w:rPr>
              <w:t>(8)</w:t>
            </w:r>
          </w:p>
        </w:tc>
        <w:tc>
          <w:tcPr>
            <w:tcW w:w="7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2,502,333</w:t>
            </w:r>
          </w:p>
        </w:tc>
        <w:tc>
          <w:tcPr>
            <w:tcW w:w="32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2,502,333</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2,452,286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(PIK 11.50%)</w:t>
            </w:r>
          </w:p>
        </w:tc>
        <w:tc>
          <w:tcPr>
            <w:tcW w:w="9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60" w:type="dxa"/>
            <w:vAlign w:val="bottom"/>
          </w:tcPr>
          <w:p>
            <w:pPr>
              <w:spacing w:after="0" w:line="149" w:lineRule="exact"/>
              <w:rPr>
                <w:sz w:val="20"/>
                <w:szCs w:val="20"/>
                <w:color w:val="auto"/>
              </w:rPr>
            </w:pPr>
            <w:r>
              <w:rPr>
                <w:rFonts w:ascii="Arial" w:cs="Arial" w:eastAsia="Arial" w:hAnsi="Arial"/>
                <w:sz w:val="14"/>
                <w:szCs w:val="14"/>
                <w:color w:val="auto"/>
              </w:rPr>
              <w:t>ROC Finance LLC and ROC Finance 1 Corp.</w:t>
            </w:r>
          </w:p>
        </w:tc>
        <w:tc>
          <w:tcPr>
            <w:tcW w:w="10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08/31/2018</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9"/>
              </w:rPr>
              <w:t>Hotels, Motels, Ins and Gaming</w:t>
            </w: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12.13%</w:t>
            </w:r>
          </w:p>
        </w:tc>
        <w:tc>
          <w:tcPr>
            <w:tcW w:w="960" w:type="dxa"/>
            <w:vAlign w:val="bottom"/>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16,000,000</w:t>
            </w:r>
          </w:p>
        </w:tc>
        <w:tc>
          <w:tcPr>
            <w:tcW w:w="32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15,785,252</w:t>
            </w:r>
          </w:p>
        </w:tc>
        <w:tc>
          <w:tcPr>
            <w:tcW w:w="180" w:type="dxa"/>
            <w:vAlign w:val="bottom"/>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17,720,000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102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332,007,946</w:t>
            </w:r>
          </w:p>
        </w:tc>
        <w:tc>
          <w:tcPr>
            <w:tcW w:w="180" w:type="dxa"/>
            <w:vAlign w:val="bottom"/>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341,093,728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10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0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Maturity</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tcPr>
          <w:p>
            <w:pPr>
              <w:jc w:val="right"/>
              <w:ind w:right="353"/>
              <w:spacing w:after="0"/>
              <w:rPr>
                <w:sz w:val="20"/>
                <w:szCs w:val="20"/>
                <w:color w:val="auto"/>
              </w:rPr>
            </w:pPr>
            <w:r>
              <w:rPr>
                <w:rFonts w:ascii="Arial" w:cs="Arial" w:eastAsia="Arial" w:hAnsi="Arial"/>
                <w:sz w:val="14"/>
                <w:szCs w:val="14"/>
                <w:b w:val="1"/>
                <w:bCs w:val="1"/>
                <w:color w:val="auto"/>
              </w:rPr>
              <w:t>Current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Above</w:t>
            </w: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Par/</w:t>
            </w: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440" w:type="dxa"/>
            <w:vAlign w:val="bottom"/>
            <w:gridSpan w:val="2"/>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1040" w:type="dxa"/>
            <w:vAlign w:val="bottom"/>
          </w:tcPr>
          <w:p>
            <w:pPr>
              <w:jc w:val="right"/>
              <w:ind w:right="353"/>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1040" w:type="dxa"/>
            <w:vAlign w:val="bottom"/>
          </w:tcPr>
          <w:p>
            <w:pPr>
              <w:jc w:val="right"/>
              <w:ind w:right="392"/>
              <w:spacing w:after="0" w:line="149" w:lineRule="exact"/>
              <w:rPr>
                <w:sz w:val="20"/>
                <w:szCs w:val="20"/>
                <w:color w:val="auto"/>
              </w:rPr>
            </w:pPr>
            <w:r>
              <w:rPr>
                <w:rFonts w:ascii="Arial" w:cs="Arial" w:eastAsia="Arial" w:hAnsi="Arial"/>
                <w:sz w:val="14"/>
                <w:szCs w:val="14"/>
                <w:b w:val="1"/>
                <w:bCs w:val="1"/>
                <w:color w:val="auto"/>
              </w:rPr>
              <w:t>Shares</w:t>
            </w:r>
          </w:p>
        </w:tc>
        <w:tc>
          <w:tcPr>
            <w:tcW w:w="740" w:type="dxa"/>
            <w:vAlign w:val="bottom"/>
            <w:vMerge w:val="continue"/>
          </w:tcPr>
          <w:p>
            <w:pPr>
              <w:spacing w:after="0"/>
              <w:rPr>
                <w:sz w:val="12"/>
                <w:szCs w:val="12"/>
                <w:color w:val="auto"/>
              </w:rPr>
            </w:pPr>
          </w:p>
        </w:tc>
        <w:tc>
          <w:tcPr>
            <w:tcW w:w="920" w:type="dxa"/>
            <w:vAlign w:val="bottom"/>
            <w:gridSpan w:val="2"/>
          </w:tcPr>
          <w:p>
            <w:pPr>
              <w:jc w:val="right"/>
              <w:ind w:right="232"/>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Notes—37.4%</w:t>
            </w:r>
          </w:p>
        </w:tc>
        <w:tc>
          <w:tcPr>
            <w:tcW w:w="100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10/02/2017</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13.75%</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9"/>
              </w:rPr>
              <w:t>19,000,000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8"/>
              </w:rPr>
              <w:t>$ 18,629,082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$ 18,879,139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11/15/2015</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11.63%</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9"/>
              </w:rPr>
              <w:t>35,552,000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34,570,664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20,442,400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02/15/2019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Financial Services</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12.00%</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8,930,000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8,773,751</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8,888,617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LLC</w:t>
            </w:r>
          </w:p>
        </w:tc>
        <w:tc>
          <w:tcPr>
            <w:tcW w:w="10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03/26/2018</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Electronics</w:t>
            </w:r>
          </w:p>
        </w:tc>
        <w:tc>
          <w:tcPr>
            <w:tcW w:w="10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12.00%</w:t>
            </w:r>
          </w:p>
        </w:tc>
        <w:tc>
          <w:tcPr>
            <w:tcW w:w="8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w w:val="99"/>
              </w:rPr>
              <w:t>23,514,494</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23,114,286</w:t>
            </w:r>
          </w:p>
        </w:tc>
        <w:tc>
          <w:tcPr>
            <w:tcW w:w="114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23,867,211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1.00%)</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rPr>
              <w:t>Credit Infonet, Inc.</w:t>
            </w:r>
          </w:p>
        </w:tc>
        <w:tc>
          <w:tcPr>
            <w:tcW w:w="10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10/26/2018</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104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12.25%</w:t>
            </w:r>
          </w:p>
        </w:tc>
        <w:tc>
          <w:tcPr>
            <w:tcW w:w="8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38" w:lineRule="exact"/>
              <w:rPr>
                <w:sz w:val="20"/>
                <w:szCs w:val="20"/>
                <w:color w:val="auto"/>
              </w:rPr>
            </w:pPr>
            <w:r>
              <w:rPr>
                <w:rFonts w:ascii="Arial" w:cs="Arial" w:eastAsia="Arial" w:hAnsi="Arial"/>
                <w:sz w:val="14"/>
                <w:szCs w:val="14"/>
                <w:color w:val="auto"/>
                <w:w w:val="99"/>
              </w:rPr>
              <w:t>10,600,000</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10,399,101</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10,653,423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0" w:type="dxa"/>
            <w:vAlign w:val="bottom"/>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Escort, Inc.</w:t>
            </w:r>
          </w:p>
        </w:tc>
        <w:tc>
          <w:tcPr>
            <w:tcW w:w="10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06/01/2016</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Electronics</w:t>
            </w:r>
          </w:p>
        </w:tc>
        <w:tc>
          <w:tcPr>
            <w:tcW w:w="10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14.75%</w:t>
            </w:r>
          </w:p>
        </w:tc>
        <w:tc>
          <w:tcPr>
            <w:tcW w:w="8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w w:val="99"/>
              </w:rPr>
              <w:t>25,965,563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25,579,621</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26,484,875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2.75%)</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rPr>
              <w:t>JF Acquisition, LLC</w:t>
            </w:r>
          </w:p>
        </w:tc>
        <w:tc>
          <w:tcPr>
            <w:tcW w:w="10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06/30/2017</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94"/>
              </w:rPr>
              <w:t>Distribution</w:t>
            </w:r>
          </w:p>
        </w:tc>
        <w:tc>
          <w:tcPr>
            <w:tcW w:w="104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14.00%</w:t>
            </w:r>
          </w:p>
        </w:tc>
        <w:tc>
          <w:tcPr>
            <w:tcW w:w="8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38" w:lineRule="exact"/>
              <w:rPr>
                <w:sz w:val="20"/>
                <w:szCs w:val="20"/>
                <w:color w:val="auto"/>
              </w:rPr>
            </w:pPr>
            <w:r>
              <w:rPr>
                <w:rFonts w:ascii="Arial" w:cs="Arial" w:eastAsia="Arial" w:hAnsi="Arial"/>
                <w:sz w:val="14"/>
                <w:szCs w:val="14"/>
                <w:color w:val="auto"/>
                <w:w w:val="99"/>
              </w:rPr>
              <w:t>17,517,386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17,160,955</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17,517,386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40" w:type="dxa"/>
            <w:vAlign w:val="bottom"/>
          </w:tcPr>
          <w:p>
            <w:pPr>
              <w:jc w:val="right"/>
              <w:ind w:right="93"/>
              <w:spacing w:after="0"/>
              <w:rPr>
                <w:sz w:val="20"/>
                <w:szCs w:val="20"/>
                <w:color w:val="auto"/>
              </w:rPr>
            </w:pPr>
            <w:r>
              <w:rPr>
                <w:rFonts w:ascii="Arial" w:cs="Arial" w:eastAsia="Arial" w:hAnsi="Arial"/>
                <w:sz w:val="14"/>
                <w:szCs w:val="14"/>
                <w:color w:val="auto"/>
              </w:rPr>
              <w:t>(PIK 2.00%)</w:t>
            </w:r>
          </w:p>
        </w:tc>
        <w:tc>
          <w:tcPr>
            <w:tcW w:w="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2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Learning Care Group (US) Inc.</w:t>
            </w:r>
          </w:p>
        </w:tc>
        <w:tc>
          <w:tcPr>
            <w:tcW w:w="100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05/08/2020</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Education</w:t>
            </w:r>
          </w:p>
        </w:tc>
        <w:tc>
          <w:tcPr>
            <w:tcW w:w="1040" w:type="dxa"/>
            <w:vAlign w:val="bottom"/>
            <w:shd w:val="clear" w:color="auto" w:fill="CCEEFF"/>
          </w:tcPr>
          <w:p>
            <w:pPr>
              <w:jc w:val="right"/>
              <w:ind w:right="153"/>
              <w:spacing w:after="0" w:line="139" w:lineRule="exact"/>
              <w:rPr>
                <w:sz w:val="20"/>
                <w:szCs w:val="20"/>
                <w:color w:val="auto"/>
              </w:rPr>
            </w:pPr>
            <w:r>
              <w:rPr>
                <w:rFonts w:ascii="Arial" w:cs="Arial" w:eastAsia="Arial" w:hAnsi="Arial"/>
                <w:sz w:val="14"/>
                <w:szCs w:val="14"/>
                <w:color w:val="auto"/>
              </w:rPr>
              <w:t>15.00%</w:t>
            </w:r>
          </w:p>
        </w:tc>
        <w:tc>
          <w:tcPr>
            <w:tcW w:w="82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9" w:lineRule="exact"/>
              <w:rPr>
                <w:sz w:val="20"/>
                <w:szCs w:val="20"/>
                <w:color w:val="auto"/>
              </w:rPr>
            </w:pPr>
            <w:r>
              <w:rPr>
                <w:rFonts w:ascii="Arial" w:cs="Arial" w:eastAsia="Arial" w:hAnsi="Arial"/>
                <w:sz w:val="14"/>
                <w:szCs w:val="14"/>
                <w:color w:val="auto"/>
              </w:rPr>
              <w:t>7,215,989</w:t>
            </w:r>
          </w:p>
        </w:tc>
        <w:tc>
          <w:tcPr>
            <w:tcW w:w="74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6,754,246</w:t>
            </w:r>
          </w:p>
        </w:tc>
        <w:tc>
          <w:tcPr>
            <w:tcW w:w="92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7,215,989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15.00%)</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LTI Flexible Products, Inc.</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01/19/2019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12.50%</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9"/>
              </w:rPr>
              <w:t>30,000,000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30,525,000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LTI Flexible Products, Inc. </w:t>
            </w:r>
            <w:r>
              <w:rPr>
                <w:rFonts w:ascii="Arial" w:cs="Arial" w:eastAsia="Arial" w:hAnsi="Arial"/>
                <w:sz w:val="17"/>
                <w:szCs w:val="17"/>
                <w:color w:val="auto"/>
                <w:vertAlign w:val="superscript"/>
              </w:rPr>
              <w:t>(9)</w:t>
            </w:r>
          </w:p>
        </w:tc>
        <w:tc>
          <w:tcPr>
            <w:tcW w:w="10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01/11/2014</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1040" w:type="dxa"/>
            <w:vAlign w:val="bottom"/>
            <w:shd w:val="clear" w:color="auto" w:fill="CCEEFF"/>
          </w:tcPr>
          <w:p>
            <w:pPr>
              <w:jc w:val="right"/>
              <w:ind w:right="333"/>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5,000,000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4,825,000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5,087,500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MSPark, Inc.</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06/15/2017</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040" w:type="dxa"/>
            <w:vAlign w:val="bottom"/>
          </w:tcPr>
          <w:p>
            <w:pPr>
              <w:jc w:val="right"/>
              <w:ind w:right="13"/>
              <w:spacing w:after="0" w:line="149" w:lineRule="exact"/>
              <w:rPr>
                <w:sz w:val="20"/>
                <w:szCs w:val="20"/>
                <w:color w:val="auto"/>
              </w:rPr>
            </w:pPr>
            <w:r>
              <w:rPr>
                <w:rFonts w:ascii="Arial" w:cs="Arial" w:eastAsia="Arial" w:hAnsi="Arial"/>
                <w:sz w:val="11"/>
                <w:szCs w:val="11"/>
                <w:color w:val="auto"/>
              </w:rPr>
              <w:t>14.50%</w:t>
            </w:r>
            <w:r>
              <w:rPr>
                <w:rFonts w:ascii="Arial" w:cs="Arial" w:eastAsia="Arial" w:hAnsi="Arial"/>
                <w:sz w:val="17"/>
                <w:szCs w:val="17"/>
                <w:color w:val="auto"/>
                <w:vertAlign w:val="superscript"/>
              </w:rPr>
              <w:t>(7)</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9"/>
              </w:rPr>
              <w:t>15,000,000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14,691,342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14,700,000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10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01/15/2018</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04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4"/>
                <w:szCs w:val="14"/>
                <w:color w:val="auto"/>
              </w:rPr>
              <w:t>14.00%</w:t>
            </w:r>
          </w:p>
        </w:tc>
        <w:tc>
          <w:tcPr>
            <w:tcW w:w="8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w w:val="99"/>
              </w:rPr>
              <w:t>37,070,637</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36,441,726</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36,720,586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4.00%)</w:t>
            </w:r>
          </w:p>
        </w:tc>
        <w:tc>
          <w:tcPr>
            <w:tcW w:w="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Vestcom International, Inc.</w:t>
            </w:r>
          </w:p>
        </w:tc>
        <w:tc>
          <w:tcPr>
            <w:tcW w:w="10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06/27/2019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9"/>
              </w:rPr>
              <w:t>Printing and Publishing</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12.00%</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9"/>
              </w:rPr>
              <w:t>39,892,933</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39,147,926</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39,827,248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0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270,087,700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260,809,374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line="223" w:lineRule="exact"/>
              <w:rPr>
                <w:sz w:val="20"/>
                <w:szCs w:val="20"/>
                <w:color w:val="auto"/>
              </w:rPr>
            </w:pPr>
            <w:r>
              <w:rPr>
                <w:rFonts w:ascii="Arial" w:cs="Arial" w:eastAsia="Arial" w:hAnsi="Arial"/>
                <w:sz w:val="14"/>
                <w:szCs w:val="14"/>
                <w:b w:val="1"/>
                <w:bCs w:val="1"/>
                <w:color w:val="auto"/>
              </w:rPr>
              <w:t xml:space="preserve">Preferred Equity/Partnership Interests—1.2% </w:t>
            </w:r>
            <w:r>
              <w:rPr>
                <w:rFonts w:ascii="Arial" w:cs="Arial" w:eastAsia="Arial" w:hAnsi="Arial"/>
                <w:sz w:val="22"/>
                <w:szCs w:val="22"/>
                <w:b w:val="1"/>
                <w:bCs w:val="1"/>
                <w:color w:val="auto"/>
                <w:vertAlign w:val="superscript"/>
              </w:rPr>
              <w:t>(6)</w:t>
            </w:r>
          </w:p>
        </w:tc>
        <w:tc>
          <w:tcPr>
            <w:tcW w:w="10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AH Holdings, Inc.</w:t>
            </w:r>
          </w:p>
        </w:tc>
        <w:tc>
          <w:tcPr>
            <w:tcW w:w="10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Healthcare, Education and Childcare</w:t>
            </w:r>
          </w:p>
        </w:tc>
        <w:tc>
          <w:tcPr>
            <w:tcW w:w="10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6.00%</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211</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815,133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AHC Mezzanine, LLC</w:t>
            </w:r>
          </w:p>
        </w:tc>
        <w:tc>
          <w:tcPr>
            <w:tcW w:w="100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4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7,505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318,896</w:t>
            </w:r>
          </w:p>
        </w:tc>
        <w:tc>
          <w:tcPr>
            <w:tcW w:w="18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Alegeus Technologies Holdings Corp., Series A (Alegeus</w:t>
            </w:r>
          </w:p>
        </w:tc>
        <w:tc>
          <w:tcPr>
            <w:tcW w:w="1000" w:type="dxa"/>
            <w:vAlign w:val="bottom"/>
            <w:shd w:val="clear" w:color="auto" w:fill="CCEEFF"/>
          </w:tcPr>
          <w:p>
            <w:pPr>
              <w:jc w:val="right"/>
              <w:ind w:right="332"/>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Financial Services</w:t>
            </w:r>
          </w:p>
        </w:tc>
        <w:tc>
          <w:tcPr>
            <w:tcW w:w="104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949</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949,050</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805,697</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Technologies, LLC)</w:t>
            </w:r>
          </w:p>
        </w:tc>
        <w:tc>
          <w:tcPr>
            <w:tcW w:w="10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000" w:type="dxa"/>
            <w:vAlign w:val="bottom"/>
          </w:tcPr>
          <w:p>
            <w:pPr>
              <w:jc w:val="right"/>
              <w:ind w:right="332"/>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104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8.00%</w:t>
            </w:r>
          </w:p>
        </w:tc>
        <w:tc>
          <w:tcPr>
            <w:tcW w:w="8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76,357</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765,307</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1,187,410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r>
              <w:rPr>
                <w:rFonts w:ascii="Arial" w:cs="Arial" w:eastAsia="Arial" w:hAnsi="Arial"/>
                <w:sz w:val="10"/>
                <w:szCs w:val="10"/>
                <w:color w:val="auto"/>
              </w:rPr>
              <w:t xml:space="preserve"> (Interactive Health</w:t>
            </w:r>
          </w:p>
        </w:tc>
        <w:tc>
          <w:tcPr>
            <w:tcW w:w="1000" w:type="dxa"/>
            <w:vAlign w:val="bottom"/>
            <w:shd w:val="clear" w:color="auto" w:fill="CCEEFF"/>
          </w:tcPr>
          <w:p>
            <w:pPr>
              <w:jc w:val="right"/>
              <w:ind w:right="332"/>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Healthcare, Education and Childcare</w:t>
            </w:r>
          </w:p>
        </w:tc>
        <w:tc>
          <w:tcPr>
            <w:tcW w:w="1040" w:type="dxa"/>
            <w:vAlign w:val="bottom"/>
            <w:shd w:val="clear" w:color="auto" w:fill="CCEEFF"/>
          </w:tcPr>
          <w:p>
            <w:pPr>
              <w:jc w:val="right"/>
              <w:ind w:right="333"/>
              <w:spacing w:after="0" w:line="138"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38,179</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382,654</w:t>
            </w:r>
          </w:p>
        </w:tc>
        <w:tc>
          <w:tcPr>
            <w:tcW w:w="9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593,705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Solutions, Inc.)</w:t>
            </w:r>
          </w:p>
        </w:tc>
        <w:tc>
          <w:tcPr>
            <w:tcW w:w="100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20" w:type="dxa"/>
            <w:vAlign w:val="bottom"/>
          </w:tcPr>
          <w:p>
            <w:pPr>
              <w:spacing w:after="0" w:line="138" w:lineRule="exact"/>
              <w:rPr>
                <w:sz w:val="20"/>
                <w:szCs w:val="20"/>
                <w:color w:val="auto"/>
              </w:rPr>
            </w:pPr>
            <w:r>
              <w:rPr>
                <w:rFonts w:ascii="Arial" w:cs="Arial" w:eastAsia="Arial" w:hAnsi="Arial"/>
                <w:sz w:val="14"/>
                <w:szCs w:val="14"/>
                <w:color w:val="auto"/>
              </w:rPr>
              <w:t>Convergint Technologies Holdings, LLC (Convergint</w:t>
            </w:r>
          </w:p>
        </w:tc>
        <w:tc>
          <w:tcPr>
            <w:tcW w:w="1000" w:type="dxa"/>
            <w:vAlign w:val="bottom"/>
          </w:tcPr>
          <w:p>
            <w:pPr>
              <w:jc w:val="right"/>
              <w:ind w:right="332"/>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7"/>
              </w:rPr>
              <w:t>Electronics</w:t>
            </w:r>
          </w:p>
        </w:tc>
        <w:tc>
          <w:tcPr>
            <w:tcW w:w="1040" w:type="dxa"/>
            <w:vAlign w:val="bottom"/>
          </w:tcPr>
          <w:p>
            <w:pPr>
              <w:jc w:val="right"/>
              <w:ind w:right="153"/>
              <w:spacing w:after="0" w:line="138" w:lineRule="exact"/>
              <w:rPr>
                <w:sz w:val="20"/>
                <w:szCs w:val="20"/>
                <w:color w:val="auto"/>
              </w:rPr>
            </w:pPr>
            <w:r>
              <w:rPr>
                <w:rFonts w:ascii="Arial" w:cs="Arial" w:eastAsia="Arial" w:hAnsi="Arial"/>
                <w:sz w:val="14"/>
                <w:szCs w:val="14"/>
                <w:color w:val="auto"/>
              </w:rPr>
              <w:t>8.00%</w:t>
            </w:r>
          </w:p>
        </w:tc>
        <w:tc>
          <w:tcPr>
            <w:tcW w:w="8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2,375</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2,375,000</w:t>
            </w:r>
          </w:p>
        </w:tc>
        <w:tc>
          <w:tcPr>
            <w:tcW w:w="9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2,584,106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20" w:type="dxa"/>
            <w:vAlign w:val="bottom"/>
          </w:tcPr>
          <w:p>
            <w:pPr>
              <w:ind w:left="200"/>
              <w:spacing w:after="0" w:line="159" w:lineRule="exact"/>
              <w:rPr>
                <w:sz w:val="20"/>
                <w:szCs w:val="20"/>
                <w:color w:val="auto"/>
              </w:rPr>
            </w:pPr>
            <w:r>
              <w:rPr>
                <w:rFonts w:ascii="Arial" w:cs="Arial" w:eastAsia="Arial" w:hAnsi="Arial"/>
                <w:sz w:val="14"/>
                <w:szCs w:val="14"/>
                <w:color w:val="auto"/>
              </w:rPr>
              <w:t>Technologies LLC)</w:t>
            </w:r>
          </w:p>
        </w:tc>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000" w:type="dxa"/>
            <w:vAlign w:val="bottom"/>
            <w:shd w:val="clear" w:color="auto" w:fill="CCEEFF"/>
          </w:tcPr>
          <w:p>
            <w:pPr>
              <w:jc w:val="right"/>
              <w:ind w:right="332"/>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9.00%</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326,215</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326,215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326,215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HW Topco, Inc.</w:t>
            </w:r>
          </w:p>
        </w:tc>
        <w:tc>
          <w:tcPr>
            <w:tcW w:w="10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8.00%</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3,591</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24,177</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35,091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TZ Holdings, L.P., Series A</w:t>
            </w:r>
          </w:p>
        </w:tc>
        <w:tc>
          <w:tcPr>
            <w:tcW w:w="100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40" w:type="dxa"/>
            <w:vAlign w:val="bottom"/>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686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685,820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TZ Holdings, L.P., Series B</w:t>
            </w:r>
          </w:p>
        </w:tc>
        <w:tc>
          <w:tcPr>
            <w:tcW w:w="100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1040" w:type="dxa"/>
            <w:vAlign w:val="bottom"/>
          </w:tcPr>
          <w:p>
            <w:pPr>
              <w:jc w:val="right"/>
              <w:ind w:right="153"/>
              <w:spacing w:after="0" w:line="149" w:lineRule="exact"/>
              <w:rPr>
                <w:sz w:val="20"/>
                <w:szCs w:val="20"/>
                <w:color w:val="auto"/>
              </w:rPr>
            </w:pPr>
            <w:r>
              <w:rPr>
                <w:rFonts w:ascii="Arial" w:cs="Arial" w:eastAsia="Arial" w:hAnsi="Arial"/>
                <w:sz w:val="14"/>
                <w:szCs w:val="14"/>
                <w:color w:val="auto"/>
              </w:rPr>
              <w:t>6.50%</w:t>
            </w:r>
          </w:p>
        </w:tc>
        <w:tc>
          <w:tcPr>
            <w:tcW w:w="8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1,312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1,312,006</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862,664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VRide Holdings, Inc.</w:t>
            </w:r>
          </w:p>
        </w:tc>
        <w:tc>
          <w:tcPr>
            <w:tcW w:w="1000" w:type="dxa"/>
            <w:vAlign w:val="bottom"/>
            <w:shd w:val="clear" w:color="auto" w:fill="CCEEFF"/>
          </w:tcPr>
          <w:p>
            <w:pPr>
              <w:spacing w:after="0"/>
              <w:rPr>
                <w:sz w:val="12"/>
                <w:szCs w:val="12"/>
                <w:color w:val="auto"/>
              </w:rPr>
            </w:pP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1040" w:type="dxa"/>
            <w:vAlign w:val="bottom"/>
            <w:shd w:val="clear" w:color="auto" w:fill="CCEEFF"/>
          </w:tcPr>
          <w:p>
            <w:pPr>
              <w:jc w:val="right"/>
              <w:ind w:right="153"/>
              <w:spacing w:after="0" w:line="149" w:lineRule="exact"/>
              <w:rPr>
                <w:sz w:val="20"/>
                <w:szCs w:val="20"/>
                <w:color w:val="auto"/>
              </w:rPr>
            </w:pPr>
            <w:r>
              <w:rPr>
                <w:rFonts w:ascii="Arial" w:cs="Arial" w:eastAsia="Arial" w:hAnsi="Arial"/>
                <w:sz w:val="14"/>
                <w:szCs w:val="14"/>
                <w:color w:val="auto"/>
              </w:rPr>
              <w:t>8.00%</w:t>
            </w:r>
          </w:p>
        </w:tc>
        <w:tc>
          <w:tcPr>
            <w:tcW w:w="8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1,824,167</w:t>
            </w: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18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156,029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10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9,463,292</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8,051,870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Spread</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Maturity</w:t>
            </w: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Current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Above</w:t>
            </w:r>
          </w:p>
        </w:tc>
        <w:tc>
          <w:tcPr>
            <w:tcW w:w="920" w:type="dxa"/>
            <w:vAlign w:val="bottom"/>
          </w:tcPr>
          <w:p>
            <w:pPr>
              <w:jc w:val="right"/>
              <w:ind w:right="31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35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2200" w:type="dxa"/>
            <w:vAlign w:val="bottom"/>
            <w:vMerge w:val="continue"/>
          </w:tcPr>
          <w:p>
            <w:pPr>
              <w:spacing w:after="0"/>
              <w:rPr>
                <w:sz w:val="12"/>
                <w:szCs w:val="12"/>
                <w:color w:val="auto"/>
              </w:rPr>
            </w:pPr>
          </w:p>
        </w:tc>
        <w:tc>
          <w:tcPr>
            <w:tcW w:w="72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Coupon</w:t>
            </w:r>
          </w:p>
        </w:tc>
        <w:tc>
          <w:tcPr>
            <w:tcW w:w="960" w:type="dxa"/>
            <w:vAlign w:val="bottom"/>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92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Common Equity/Warrants/Partnership Interests—10.1%</w:t>
            </w:r>
            <w:r>
              <w:rPr>
                <w:rFonts w:ascii="Arial" w:cs="Arial" w:eastAsia="Arial" w:hAnsi="Arial"/>
                <w:sz w:val="16"/>
                <w:szCs w:val="16"/>
                <w:b w:val="1"/>
                <w:bCs w:val="1"/>
                <w:color w:val="auto"/>
                <w:vertAlign w:val="superscript"/>
              </w:rPr>
              <w:t>(6)</w:t>
            </w:r>
          </w:p>
        </w:tc>
        <w:tc>
          <w:tcPr>
            <w:tcW w:w="840" w:type="dxa"/>
            <w:vAlign w:val="bottom"/>
            <w:tcBorders>
              <w:top w:val="single" w:sz="8" w:color="auto"/>
            </w:tcBorders>
            <w:shd w:val="clear" w:color="auto" w:fill="CCEEFF"/>
          </w:tcPr>
          <w:p>
            <w:pPr>
              <w:spacing w:after="0"/>
              <w:rPr>
                <w:sz w:val="12"/>
                <w:szCs w:val="12"/>
                <w:color w:val="auto"/>
              </w:rPr>
            </w:pPr>
          </w:p>
        </w:tc>
        <w:tc>
          <w:tcPr>
            <w:tcW w:w="22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line="217" w:lineRule="exact"/>
              <w:rPr>
                <w:sz w:val="20"/>
                <w:szCs w:val="20"/>
                <w:color w:val="auto"/>
              </w:rPr>
            </w:pPr>
            <w:r>
              <w:rPr>
                <w:rFonts w:ascii="Arial" w:cs="Arial" w:eastAsia="Arial" w:hAnsi="Arial"/>
                <w:sz w:val="14"/>
                <w:szCs w:val="14"/>
                <w:color w:val="auto"/>
              </w:rPr>
              <w:t xml:space="preserve">Acentia, LLC, Class A Units </w:t>
            </w:r>
            <w:r>
              <w:rPr>
                <w:rFonts w:ascii="Arial" w:cs="Arial" w:eastAsia="Arial" w:hAnsi="Arial"/>
                <w:sz w:val="22"/>
                <w:szCs w:val="22"/>
                <w:color w:val="auto"/>
                <w:vertAlign w:val="superscript"/>
              </w:rPr>
              <w:t>(12)</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2200" w:type="dxa"/>
            <w:vAlign w:val="bottom"/>
          </w:tcPr>
          <w:p>
            <w:pPr>
              <w:jc w:val="center"/>
              <w:spacing w:after="0"/>
              <w:rPr>
                <w:sz w:val="20"/>
                <w:szCs w:val="20"/>
                <w:color w:val="auto"/>
              </w:rPr>
            </w:pPr>
            <w:r>
              <w:rPr>
                <w:rFonts w:ascii="Arial" w:cs="Arial" w:eastAsia="Arial" w:hAnsi="Arial"/>
                <w:sz w:val="14"/>
                <w:szCs w:val="14"/>
                <w:color w:val="auto"/>
                <w:w w:val="87"/>
              </w:rPr>
              <w:t>Electronics</w:t>
            </w:r>
          </w:p>
        </w:tc>
        <w:tc>
          <w:tcPr>
            <w:tcW w:w="720" w:type="dxa"/>
            <w:vAlign w:val="bottom"/>
          </w:tcPr>
          <w:p>
            <w:pPr>
              <w:ind w:left="380"/>
              <w:spacing w:after="0"/>
              <w:rPr>
                <w:sz w:val="20"/>
                <w:szCs w:val="20"/>
                <w:color w:val="auto"/>
              </w:rPr>
            </w:pPr>
            <w:r>
              <w:rPr>
                <w:rFonts w:ascii="Arial" w:cs="Arial" w:eastAsia="Arial" w:hAnsi="Arial"/>
                <w:sz w:val="14"/>
                <w:szCs w:val="14"/>
                <w:color w:val="auto"/>
              </w:rPr>
              <w:t>—</w:t>
            </w:r>
          </w:p>
        </w:tc>
        <w:tc>
          <w:tcPr>
            <w:tcW w:w="960" w:type="dxa"/>
            <w:vAlign w:val="bottom"/>
          </w:tcPr>
          <w:p>
            <w:pPr>
              <w:ind w:left="6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1,998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2,000,000</w:t>
            </w:r>
          </w:p>
        </w:tc>
        <w:tc>
          <w:tcPr>
            <w:tcW w:w="1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  1,572,603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 Holdings, Inc.</w:t>
            </w:r>
          </w:p>
        </w:tc>
        <w:tc>
          <w:tcPr>
            <w:tcW w:w="84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03/23/2021</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753</w:t>
            </w:r>
          </w:p>
        </w:tc>
        <w:tc>
          <w:tcPr>
            <w:tcW w:w="2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5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2,499,319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(Warrants)</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Class A</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7"/>
              </w:rPr>
              <w:t>Financial Services</w:t>
            </w:r>
          </w:p>
        </w:tc>
        <w:tc>
          <w:tcPr>
            <w:tcW w:w="72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950</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807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(Alegeus Technologies, LLC)</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Autumn Games, LLC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Broadcasting and Entertainment</w:t>
            </w:r>
          </w:p>
        </w:tc>
        <w:tc>
          <w:tcPr>
            <w:tcW w:w="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1,333,330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1"/>
                <w:szCs w:val="11"/>
                <w:color w:val="auto"/>
              </w:rPr>
              <w:t xml:space="preserve">CI (Galls) Prime Investment Holdings, LLC </w:t>
            </w:r>
            <w:r>
              <w:rPr>
                <w:rFonts w:ascii="Arial" w:cs="Arial" w:eastAsia="Arial" w:hAnsi="Arial"/>
                <w:sz w:val="17"/>
                <w:szCs w:val="17"/>
                <w:color w:val="auto"/>
                <w:vertAlign w:val="superscript"/>
              </w:rPr>
              <w:t>(11)</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1"/>
              </w:rPr>
              <w:t>Distribution</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1,505,000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1,505,000</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2,308,777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23,416</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234,693</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364,156</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(Interactive Health Solutions, Inc.)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11,708</w:t>
            </w:r>
          </w:p>
        </w:tc>
        <w:tc>
          <w:tcPr>
            <w:tcW w:w="110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117,346</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182,078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(Interactive Health Solutions, Inc.)</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Convergint Technologies Holdings, LLC</w:t>
            </w:r>
          </w:p>
        </w:tc>
        <w:tc>
          <w:tcPr>
            <w:tcW w:w="84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Electronics</w:t>
            </w:r>
          </w:p>
        </w:tc>
        <w:tc>
          <w:tcPr>
            <w:tcW w:w="720" w:type="dxa"/>
            <w:vAlign w:val="bottom"/>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2,375</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3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212,881</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(Convergint Technologies LLC)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5,556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1,918,346</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7,285,399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HW Topco,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Other Media</w:t>
            </w:r>
          </w:p>
        </w:tc>
        <w:tc>
          <w:tcPr>
            <w:tcW w:w="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386,770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2,697,835</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3,400,855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Kadmon Holdings, LLC, Class A</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1,079,920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1,236,832</w:t>
            </w:r>
          </w:p>
        </w:tc>
        <w:tc>
          <w:tcPr>
            <w:tcW w:w="140" w:type="dxa"/>
            <w:vAlign w:val="bottom"/>
          </w:tcPr>
          <w:p>
            <w:pPr>
              <w:spacing w:after="0"/>
              <w:rPr>
                <w:sz w:val="12"/>
                <w:szCs w:val="12"/>
                <w:color w:val="auto"/>
              </w:rPr>
            </w:pPr>
          </w:p>
        </w:tc>
        <w:tc>
          <w:tcPr>
            <w:tcW w:w="11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11,085,403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Kadmon Holdings, LLC, Class D</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1,079,920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1,028,807</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1,028,807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840" w:type="dxa"/>
            <w:vAlign w:val="bottom"/>
          </w:tcPr>
          <w:p>
            <w:pPr>
              <w:ind w:left="100"/>
              <w:spacing w:after="0" w:line="149" w:lineRule="exact"/>
              <w:rPr>
                <w:sz w:val="20"/>
                <w:szCs w:val="20"/>
                <w:color w:val="auto"/>
              </w:rPr>
            </w:pPr>
            <w:r>
              <w:rPr>
                <w:rFonts w:ascii="Arial" w:cs="Arial" w:eastAsia="Arial" w:hAnsi="Arial"/>
                <w:sz w:val="14"/>
                <w:szCs w:val="14"/>
                <w:color w:val="auto"/>
              </w:rPr>
              <w:t>04/27/2020</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6,649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779,920</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4,300,696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1,221,932</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3,057,500</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7,539,320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(Eureka Hunter Pipeline, LLC)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line="138" w:lineRule="exact"/>
              <w:rPr>
                <w:sz w:val="20"/>
                <w:szCs w:val="20"/>
                <w:color w:val="auto"/>
              </w:rPr>
            </w:pPr>
            <w:r>
              <w:rPr>
                <w:rFonts w:ascii="Arial" w:cs="Arial" w:eastAsia="Arial" w:hAnsi="Arial"/>
                <w:sz w:val="14"/>
                <w:szCs w:val="14"/>
                <w:color w:val="auto"/>
              </w:rPr>
              <w:t>Magnum Hunter Resources Corporation (Warrants)</w:t>
            </w:r>
          </w:p>
        </w:tc>
        <w:tc>
          <w:tcPr>
            <w:tcW w:w="840" w:type="dxa"/>
            <w:vAlign w:val="bottom"/>
          </w:tcPr>
          <w:p>
            <w:pPr>
              <w:ind w:left="100"/>
              <w:spacing w:after="0" w:line="138" w:lineRule="exact"/>
              <w:rPr>
                <w:sz w:val="20"/>
                <w:szCs w:val="20"/>
                <w:color w:val="auto"/>
              </w:rPr>
            </w:pPr>
            <w:r>
              <w:rPr>
                <w:rFonts w:ascii="Arial" w:cs="Arial" w:eastAsia="Arial" w:hAnsi="Arial"/>
                <w:sz w:val="14"/>
                <w:szCs w:val="14"/>
                <w:color w:val="auto"/>
              </w:rPr>
              <w:t>10/14/2013</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72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122,193</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105,697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(Eureka Hunter Pipeline, LLC)</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Magnum Hunter Resources Corporation (Warrants)</w:t>
            </w:r>
          </w:p>
        </w:tc>
        <w:tc>
          <w:tcPr>
            <w:tcW w:w="840" w:type="dxa"/>
            <w:vAlign w:val="bottom"/>
            <w:shd w:val="clear" w:color="auto" w:fill="CCEEFF"/>
          </w:tcPr>
          <w:p>
            <w:pPr>
              <w:ind w:left="100"/>
              <w:spacing w:after="0" w:line="139" w:lineRule="exact"/>
              <w:rPr>
                <w:sz w:val="20"/>
                <w:szCs w:val="20"/>
                <w:color w:val="auto"/>
              </w:rPr>
            </w:pPr>
            <w:r>
              <w:rPr>
                <w:rFonts w:ascii="Arial" w:cs="Arial" w:eastAsia="Arial" w:hAnsi="Arial"/>
                <w:sz w:val="14"/>
                <w:szCs w:val="14"/>
                <w:color w:val="auto"/>
              </w:rPr>
              <w:t>04/16/2016</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Oil and Gas</w:t>
            </w:r>
          </w:p>
        </w:tc>
        <w:tc>
          <w:tcPr>
            <w:tcW w:w="720" w:type="dxa"/>
            <w:vAlign w:val="bottom"/>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122,193</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182,499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205,667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(Eureka Hunter Pipeline, LLC)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line="138" w:lineRule="exact"/>
              <w:rPr>
                <w:sz w:val="20"/>
                <w:szCs w:val="20"/>
                <w:color w:val="auto"/>
              </w:rPr>
            </w:pPr>
            <w:r>
              <w:rPr>
                <w:rFonts w:ascii="Arial" w:cs="Arial" w:eastAsia="Arial" w:hAnsi="Arial"/>
                <w:sz w:val="14"/>
                <w:szCs w:val="14"/>
                <w:color w:val="auto"/>
              </w:rPr>
              <w:t>MidOcean JF Holdings Corp.</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91"/>
              </w:rPr>
              <w:t>Distribution</w:t>
            </w:r>
          </w:p>
        </w:tc>
        <w:tc>
          <w:tcPr>
            <w:tcW w:w="72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1,850</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1,850,294</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1,845,784</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(JF Acquisition, LLC)</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MidOcean PPL Holdings, Corp.</w:t>
            </w:r>
          </w:p>
        </w:tc>
        <w:tc>
          <w:tcPr>
            <w:tcW w:w="84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5"/>
              </w:rPr>
              <w:t>Personal, Food and Miscellaneous</w:t>
            </w:r>
          </w:p>
        </w:tc>
        <w:tc>
          <w:tcPr>
            <w:tcW w:w="720" w:type="dxa"/>
            <w:vAlign w:val="bottom"/>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3,000</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5,441,976</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(Pre-Paid Legal Services, Inc.)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Services</w:t>
            </w: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Paradigm Acquisition Corp.</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7"/>
              </w:rPr>
              <w:t>Healthcare, Education and Childcare</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3,720,481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A</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4,325</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1,306,167</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2,073,419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(Questex Media Group, LLC)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tcPr>
          <w:p>
            <w:pPr>
              <w:spacing w:after="0" w:line="138" w:lineRule="exact"/>
              <w:rPr>
                <w:sz w:val="20"/>
                <w:szCs w:val="20"/>
                <w:color w:val="auto"/>
              </w:rPr>
            </w:pPr>
            <w:r>
              <w:rPr>
                <w:rFonts w:ascii="Arial" w:cs="Arial" w:eastAsia="Arial" w:hAnsi="Arial"/>
                <w:sz w:val="14"/>
                <w:szCs w:val="14"/>
                <w:color w:val="auto"/>
              </w:rPr>
              <w:t>QMG HoldCo, LLC, Class B</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72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531</w:t>
            </w:r>
          </w:p>
        </w:tc>
        <w:tc>
          <w:tcPr>
            <w:tcW w:w="220" w:type="dxa"/>
            <w:vAlign w:val="bottom"/>
          </w:tcPr>
          <w:p>
            <w:pPr>
              <w:spacing w:after="0"/>
              <w:rPr>
                <w:sz w:val="11"/>
                <w:szCs w:val="11"/>
                <w:color w:val="auto"/>
              </w:rPr>
            </w:pPr>
          </w:p>
        </w:tc>
        <w:tc>
          <w:tcPr>
            <w:tcW w:w="880" w:type="dxa"/>
            <w:vAlign w:val="bottom"/>
            <w:gridSpan w:val="2"/>
          </w:tcPr>
          <w:p>
            <w:pPr>
              <w:ind w:left="54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254,563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60" w:type="dxa"/>
            <w:vAlign w:val="bottom"/>
          </w:tcPr>
          <w:p>
            <w:pPr>
              <w:ind w:left="200"/>
              <w:spacing w:after="0"/>
              <w:rPr>
                <w:sz w:val="20"/>
                <w:szCs w:val="20"/>
                <w:color w:val="auto"/>
              </w:rPr>
            </w:pPr>
            <w:r>
              <w:rPr>
                <w:rFonts w:ascii="Arial" w:cs="Arial" w:eastAsia="Arial" w:hAnsi="Arial"/>
                <w:sz w:val="14"/>
                <w:szCs w:val="14"/>
                <w:color w:val="auto"/>
              </w:rPr>
              <w:t>(Questex Media Group, LLC)</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SPG Boyd Holdings Corp.</w:t>
            </w:r>
          </w:p>
        </w:tc>
        <w:tc>
          <w:tcPr>
            <w:tcW w:w="840" w:type="dxa"/>
            <w:vAlign w:val="bottom"/>
            <w:shd w:val="clear" w:color="auto" w:fill="CCEEFF"/>
          </w:tcPr>
          <w:p>
            <w:pPr>
              <w:ind w:left="320"/>
              <w:spacing w:after="0" w:line="13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Chemical, Plastic and Rubber</w:t>
            </w:r>
          </w:p>
        </w:tc>
        <w:tc>
          <w:tcPr>
            <w:tcW w:w="720" w:type="dxa"/>
            <w:vAlign w:val="bottom"/>
            <w:shd w:val="clear" w:color="auto" w:fill="CCEEFF"/>
          </w:tcPr>
          <w:p>
            <w:pPr>
              <w:ind w:left="380"/>
              <w:spacing w:after="0" w:line="13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300,000</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3,000,000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5,571,120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(LTI Flexible Products, Inc.)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840" w:type="dxa"/>
            <w:vAlign w:val="bottom"/>
          </w:tcPr>
          <w:p>
            <w:pPr>
              <w:ind w:left="100"/>
              <w:spacing w:after="0" w:line="149" w:lineRule="exact"/>
              <w:rPr>
                <w:sz w:val="20"/>
                <w:szCs w:val="20"/>
                <w:color w:val="auto"/>
              </w:rPr>
            </w:pPr>
            <w:r>
              <w:rPr>
                <w:rFonts w:ascii="Arial" w:cs="Arial" w:eastAsia="Arial" w:hAnsi="Arial"/>
                <w:sz w:val="14"/>
                <w:szCs w:val="14"/>
                <w:color w:val="auto"/>
              </w:rPr>
              <w:t>12/29/2019</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29,400</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606,681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r>
              <w:rPr>
                <w:rFonts w:ascii="Arial" w:cs="Arial" w:eastAsia="Arial" w:hAnsi="Arial"/>
                <w:sz w:val="10"/>
                <w:szCs w:val="10"/>
                <w:color w:val="auto"/>
              </w:rPr>
              <w:t xml:space="preserve"> (Intermediate</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137,923</w:t>
            </w:r>
          </w:p>
        </w:tc>
        <w:tc>
          <w:tcPr>
            <w:tcW w:w="11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2,111,588</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379,453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Transportation 100, L.L.C.)</w:t>
            </w: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TZ Holdings, L.P.</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4"/>
              </w:rPr>
              <w:t>Insurance</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9,567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Vestcom Parent Holdings, Inc.</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Printing and Publishing</w:t>
            </w:r>
          </w:p>
        </w:tc>
        <w:tc>
          <w:tcPr>
            <w:tcW w:w="720" w:type="dxa"/>
            <w:vAlign w:val="bottom"/>
            <w:shd w:val="clear" w:color="auto" w:fill="CCEEFF"/>
          </w:tcPr>
          <w:p>
            <w:pPr>
              <w:ind w:left="380"/>
              <w:spacing w:after="0" w:line="138"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211,797</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2,325,555</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2,626,512</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(Vestcom International, Inc.)</w:t>
            </w: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line="149" w:lineRule="exact"/>
              <w:rPr>
                <w:sz w:val="20"/>
                <w:szCs w:val="20"/>
                <w:color w:val="auto"/>
              </w:rPr>
            </w:pPr>
            <w:r>
              <w:rPr>
                <w:rFonts w:ascii="Arial" w:cs="Arial" w:eastAsia="Arial" w:hAnsi="Arial"/>
                <w:sz w:val="14"/>
                <w:szCs w:val="14"/>
                <w:color w:val="auto"/>
              </w:rPr>
              <w:t>VRide Holdings Inc.</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72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9,166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9,166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VText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2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35,526</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5,966,074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5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Common Equity/Warrants/Partnership Interests</w:t>
            </w: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37,557,162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70,472,831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0"/>
              </w:rPr>
              <w:t>Total Investments in Non-Controlled, Non-Affiliated Portfolio Companies</w:t>
            </w:r>
          </w:p>
        </w:tc>
        <w:tc>
          <w:tcPr>
            <w:tcW w:w="2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928,078,589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968,471,042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Basis Point</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Spread</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Current</w:t>
            </w: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4"/>
              </w:rPr>
              <w:t>Above</w:t>
            </w:r>
          </w:p>
        </w:tc>
        <w:tc>
          <w:tcPr>
            <w:tcW w:w="108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8"/>
              </w:rPr>
              <w:t>Par/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 xml:space="preserve">Fair Value </w:t>
            </w:r>
            <w:r>
              <w:rPr>
                <w:rFonts w:ascii="Arial" w:cs="Arial" w:eastAsia="Arial" w:hAnsi="Arial"/>
                <w:sz w:val="22"/>
                <w:szCs w:val="22"/>
                <w:b w:val="1"/>
                <w:bCs w:val="1"/>
                <w:color w:val="auto"/>
                <w:w w:val="90"/>
                <w:vertAlign w:val="superscript"/>
              </w:rPr>
              <w:t>(3)</w:t>
            </w:r>
          </w:p>
        </w:tc>
        <w:tc>
          <w:tcPr>
            <w:tcW w:w="0" w:type="dxa"/>
            <w:vAlign w:val="bottom"/>
          </w:tcPr>
          <w:p>
            <w:pPr>
              <w:spacing w:after="0"/>
              <w:rPr>
                <w:sz w:val="1"/>
                <w:szCs w:val="1"/>
                <w:color w:val="auto"/>
              </w:rPr>
            </w:pPr>
          </w:p>
        </w:tc>
      </w:tr>
      <w:tr>
        <w:trPr>
          <w:trHeight w:val="176"/>
        </w:trPr>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Maturity</w:t>
            </w: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Industry</w:t>
            </w: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Coupon</w:t>
            </w:r>
          </w:p>
        </w:tc>
        <w:tc>
          <w:tcPr>
            <w:tcW w:w="960" w:type="dxa"/>
            <w:vAlign w:val="bottom"/>
            <w:gridSpan w:val="2"/>
          </w:tcPr>
          <w:p>
            <w:pPr>
              <w:jc w:val="center"/>
              <w:ind w:right="320"/>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5"/>
                <w:szCs w:val="15"/>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Affiliated Portfolio Companies—11.0% </w:t>
            </w:r>
            <w:r>
              <w:rPr>
                <w:rFonts w:ascii="Arial" w:cs="Arial" w:eastAsia="Arial" w:hAnsi="Arial"/>
                <w:sz w:val="16"/>
                <w:szCs w:val="16"/>
                <w:b w:val="1"/>
                <w:bCs w:val="1"/>
                <w:color w:val="auto"/>
                <w:vertAlign w:val="superscript"/>
              </w:rPr>
              <w:t>(1),(2)</w:t>
            </w:r>
          </w:p>
        </w:tc>
        <w:tc>
          <w:tcPr>
            <w:tcW w:w="14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b w:val="1"/>
                <w:bCs w:val="1"/>
                <w:color w:val="auto"/>
              </w:rPr>
              <w:t>Subordinated Debt/Corporate Notes—5.7%</w:t>
            </w: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DirectBuy Holdings, Inc.</w:t>
            </w: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11/05/2019</w:t>
            </w:r>
          </w:p>
        </w:tc>
        <w:tc>
          <w:tcPr>
            <w:tcW w:w="1520" w:type="dxa"/>
            <w:vAlign w:val="bottom"/>
            <w:gridSpan w:val="2"/>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5"/>
              </w:rPr>
              <w:t>Consumer Products</w:t>
            </w:r>
          </w:p>
        </w:tc>
        <w:tc>
          <w:tcPr>
            <w:tcW w:w="10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11,428,224</w:t>
            </w:r>
          </w:p>
        </w:tc>
        <w:tc>
          <w:tcPr>
            <w:tcW w:w="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11,428,224</w:t>
            </w:r>
          </w:p>
        </w:tc>
        <w:tc>
          <w:tcPr>
            <w:tcW w:w="2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11,428,224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(PIK 12.00%)</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10/02/2017</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12.50%</w:t>
            </w:r>
          </w:p>
        </w:tc>
        <w:tc>
          <w:tcPr>
            <w:tcW w:w="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1"/>
              </w:rPr>
              <w:t>28,000,000</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27,474,713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28,248,043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t>
            </w:r>
            <w:r>
              <w:rPr>
                <w:rFonts w:ascii="Arial" w:cs="Arial" w:eastAsia="Arial" w:hAnsi="Arial"/>
                <w:sz w:val="14"/>
                <w:szCs w:val="14"/>
                <w:b w:val="1"/>
                <w:bCs w:val="1"/>
                <w:color w:val="auto"/>
              </w:rPr>
              <w:t>otal Subordinated Debt/Corporate Notes</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38,902,937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39,676,267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56" w:lineRule="exact"/>
              <w:rPr>
                <w:sz w:val="20"/>
                <w:szCs w:val="20"/>
                <w:color w:val="auto"/>
              </w:rPr>
            </w:pPr>
            <w:r>
              <w:rPr>
                <w:rFonts w:ascii="Arial" w:cs="Arial" w:eastAsia="Arial" w:hAnsi="Arial"/>
                <w:sz w:val="12"/>
                <w:szCs w:val="12"/>
                <w:b w:val="1"/>
                <w:bCs w:val="1"/>
                <w:color w:val="auto"/>
              </w:rPr>
              <w:t>Preferred Equity—0.2%</w:t>
            </w:r>
            <w:r>
              <w:rPr>
                <w:rFonts w:ascii="Arial" w:cs="Arial" w:eastAsia="Arial" w:hAnsi="Arial"/>
                <w:sz w:val="18"/>
                <w:szCs w:val="18"/>
                <w:b w:val="1"/>
                <w:bCs w:val="1"/>
                <w:color w:val="auto"/>
                <w:vertAlign w:val="superscript"/>
              </w:rPr>
              <w:t>(6)</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PAS International Holdings, Inc.</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Aerospace and</w:t>
            </w:r>
          </w:p>
        </w:tc>
        <w:tc>
          <w:tcPr>
            <w:tcW w:w="104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53,071</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20,059,340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1,694,296</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4"/>
              </w:rPr>
              <w:t>Defense</w:t>
            </w:r>
          </w:p>
        </w:tc>
        <w:tc>
          <w:tcPr>
            <w:tcW w:w="6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Interest—5.1% </w:t>
            </w:r>
            <w:r>
              <w:rPr>
                <w:rFonts w:ascii="Arial" w:cs="Arial" w:eastAsia="Arial" w:hAnsi="Arial"/>
                <w:sz w:val="18"/>
                <w:szCs w:val="18"/>
                <w:b w:val="1"/>
                <w:bCs w:val="1"/>
                <w:color w:val="auto"/>
                <w:vertAlign w:val="superscript"/>
              </w:rPr>
              <w:t>(6)</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104,719</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21,492,822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DirectBuy Holdings, Inc. (Warrants)</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11/05/2022</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5"/>
              </w:rPr>
              <w:t>Consumer Products</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15,486</w:t>
            </w:r>
          </w:p>
        </w:tc>
        <w:tc>
          <w:tcPr>
            <w:tcW w:w="80" w:type="dxa"/>
            <w:vAlign w:val="bottom"/>
          </w:tcPr>
          <w:p>
            <w:pPr>
              <w:spacing w:after="0"/>
              <w:rPr>
                <w:sz w:val="12"/>
                <w:szCs w:val="12"/>
                <w:color w:val="auto"/>
              </w:rPr>
            </w:pPr>
          </w:p>
        </w:tc>
        <w:tc>
          <w:tcPr>
            <w:tcW w:w="100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821,505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Environmental Services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142,684</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11,891,822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21,265,345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tcPr>
          <w:p>
            <w:pPr>
              <w:spacing w:after="0" w:line="138" w:lineRule="exact"/>
              <w:rPr>
                <w:sz w:val="20"/>
                <w:szCs w:val="20"/>
                <w:color w:val="auto"/>
              </w:rPr>
            </w:pPr>
            <w:r>
              <w:rPr>
                <w:rFonts w:ascii="Arial" w:cs="Arial" w:eastAsia="Arial" w:hAnsi="Arial"/>
                <w:sz w:val="14"/>
                <w:szCs w:val="14"/>
                <w:color w:val="auto"/>
              </w:rPr>
              <w:t>NCP-Performance</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7"/>
              </w:rPr>
              <w:t>Leisure, Amusement,</w:t>
            </w:r>
          </w:p>
        </w:tc>
        <w:tc>
          <w:tcPr>
            <w:tcW w:w="1040" w:type="dxa"/>
            <w:vAlign w:val="bottom"/>
            <w:gridSpan w:val="2"/>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375,000</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3,750,000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2,500,165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Motion Pictures</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color w:val="auto"/>
                <w:w w:val="87"/>
              </w:rPr>
              <w:t>and Entertainment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Service Champ Holdings, Inc. (Service Champ,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Auto Sector</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16,800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2,721,600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5,222,015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53,071</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202,620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40,058,864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35,365,237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6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99,021,141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76,735,800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Companies—4.7% </w:t>
            </w:r>
            <w:r>
              <w:rPr>
                <w:rFonts w:ascii="Arial" w:cs="Arial" w:eastAsia="Arial" w:hAnsi="Arial"/>
                <w:sz w:val="17"/>
                <w:szCs w:val="17"/>
                <w:b w:val="1"/>
                <w:bCs w:val="1"/>
                <w:color w:val="auto"/>
                <w:vertAlign w:val="superscript"/>
              </w:rPr>
              <w:t>(1),(2)</w:t>
            </w: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Debt—1.6%</w:t>
            </w: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06/30/2020</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9,250,000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9,250,000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9,556,385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49" w:lineRule="exact"/>
              <w:rPr>
                <w:sz w:val="20"/>
                <w:szCs w:val="20"/>
                <w:color w:val="auto"/>
              </w:rPr>
            </w:pPr>
            <w:r>
              <w:rPr>
                <w:rFonts w:ascii="Arial" w:cs="Arial" w:eastAsia="Arial" w:hAnsi="Arial"/>
                <w:sz w:val="11"/>
                <w:szCs w:val="11"/>
                <w:color w:val="auto"/>
              </w:rPr>
              <w:t xml:space="preserve">Universal Pegasus International, LLC </w:t>
            </w:r>
            <w:r>
              <w:rPr>
                <w:rFonts w:ascii="Arial" w:cs="Arial" w:eastAsia="Arial" w:hAnsi="Arial"/>
                <w:sz w:val="17"/>
                <w:szCs w:val="17"/>
                <w:color w:val="auto"/>
                <w:vertAlign w:val="superscript"/>
              </w:rPr>
              <w:t>(9)</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5"/>
              </w:rPr>
              <w:t>12/31/2015</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Oil and Gas</w:t>
            </w:r>
          </w:p>
        </w:tc>
        <w:tc>
          <w:tcPr>
            <w:tcW w:w="10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1,916,667</w:t>
            </w: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1,787,941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1,916,667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11,037,941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11,473,052</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Second Lien Secured Debt—2.4%</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Universal Pegasus International, LLC</w:t>
            </w: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12/31/2015</w:t>
            </w:r>
          </w:p>
        </w:tc>
        <w:tc>
          <w:tcPr>
            <w:tcW w:w="1520" w:type="dxa"/>
            <w:vAlign w:val="bottom"/>
            <w:gridSpan w:val="2"/>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04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15.00%</w:t>
            </w:r>
          </w:p>
        </w:tc>
        <w:tc>
          <w:tcPr>
            <w:tcW w:w="96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w w:val="91"/>
              </w:rPr>
              <w:t>16,615,645</w:t>
            </w:r>
          </w:p>
        </w:tc>
        <w:tc>
          <w:tcPr>
            <w:tcW w:w="8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14,709,502</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16,449,489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3"/>
              </w:rPr>
              <w:t>(PIK 15.00%)</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Notes—0.3%</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6/30/2020</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2,250,000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2,250,000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1,961,667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56" w:lineRule="exact"/>
              <w:rPr>
                <w:sz w:val="20"/>
                <w:szCs w:val="20"/>
                <w:color w:val="auto"/>
              </w:rPr>
            </w:pPr>
            <w:r>
              <w:rPr>
                <w:rFonts w:ascii="Arial" w:cs="Arial" w:eastAsia="Arial" w:hAnsi="Arial"/>
                <w:sz w:val="12"/>
                <w:szCs w:val="12"/>
                <w:b w:val="1"/>
                <w:bCs w:val="1"/>
                <w:color w:val="auto"/>
              </w:rPr>
              <w:t>Preferred Equity—0.4%</w:t>
            </w:r>
            <w:r>
              <w:rPr>
                <w:rFonts w:ascii="Arial" w:cs="Arial" w:eastAsia="Arial" w:hAnsi="Arial"/>
                <w:sz w:val="18"/>
                <w:szCs w:val="18"/>
                <w:b w:val="1"/>
                <w:bCs w:val="1"/>
                <w:color w:val="auto"/>
                <w:vertAlign w:val="superscript"/>
              </w:rPr>
              <w:t>(6)</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14.00%</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2,000</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1,981,948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40" w:type="dxa"/>
            <w:vAlign w:val="bottom"/>
          </w:tcPr>
          <w:p>
            <w:pPr>
              <w:spacing w:after="0" w:line="138"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520" w:type="dxa"/>
            <w:vAlign w:val="bottom"/>
            <w:gridSpan w:val="2"/>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10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8.00%</w:t>
            </w:r>
          </w:p>
        </w:tc>
        <w:tc>
          <w:tcPr>
            <w:tcW w:w="96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420"/>
              <w:spacing w:after="0" w:line="138" w:lineRule="exact"/>
              <w:rPr>
                <w:sz w:val="20"/>
                <w:szCs w:val="20"/>
                <w:color w:val="auto"/>
              </w:rPr>
            </w:pPr>
            <w:r>
              <w:rPr>
                <w:rFonts w:ascii="Arial" w:cs="Arial" w:eastAsia="Arial" w:hAnsi="Arial"/>
                <w:sz w:val="14"/>
                <w:szCs w:val="14"/>
                <w:color w:val="auto"/>
              </w:rPr>
              <w:t>376,988</w:t>
            </w:r>
          </w:p>
        </w:tc>
        <w:tc>
          <w:tcPr>
            <w:tcW w:w="80" w:type="dxa"/>
            <w:vAlign w:val="bottom"/>
          </w:tcPr>
          <w:p>
            <w:pPr>
              <w:spacing w:after="0"/>
              <w:rPr>
                <w:sz w:val="11"/>
                <w:szCs w:val="11"/>
                <w:color w:val="auto"/>
              </w:rPr>
            </w:pPr>
          </w:p>
        </w:tc>
        <w:tc>
          <w:tcPr>
            <w:tcW w:w="10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34,420,612</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1,102,555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740" w:type="dxa"/>
            <w:vAlign w:val="bottom"/>
          </w:tcPr>
          <w:p>
            <w:pPr>
              <w:ind w:left="200"/>
              <w:spacing w:after="0" w:line="159" w:lineRule="exact"/>
              <w:rPr>
                <w:sz w:val="20"/>
                <w:szCs w:val="20"/>
                <w:color w:val="auto"/>
              </w:rPr>
            </w:pPr>
            <w:r>
              <w:rPr>
                <w:rFonts w:ascii="Arial" w:cs="Arial" w:eastAsia="Arial" w:hAnsi="Arial"/>
                <w:sz w:val="14"/>
                <w:szCs w:val="14"/>
                <w:color w:val="auto"/>
              </w:rPr>
              <w:t>(Universal Pegasus International, LLC)</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Preferred Equity</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36,420,612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3,084,503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40" w:type="dxa"/>
            <w:vAlign w:val="bottom"/>
          </w:tcPr>
          <w:p>
            <w:pPr>
              <w:spacing w:after="0" w:line="156" w:lineRule="exact"/>
              <w:rPr>
                <w:sz w:val="20"/>
                <w:szCs w:val="20"/>
                <w:color w:val="auto"/>
              </w:rPr>
            </w:pPr>
            <w:r>
              <w:rPr>
                <w:rFonts w:ascii="Arial" w:cs="Arial" w:eastAsia="Arial" w:hAnsi="Arial"/>
                <w:sz w:val="12"/>
                <w:szCs w:val="12"/>
                <w:b w:val="1"/>
                <w:bCs w:val="1"/>
                <w:color w:val="auto"/>
              </w:rPr>
              <w:t>Common Equity—0.0</w:t>
            </w:r>
            <w:r>
              <w:rPr>
                <w:rFonts w:ascii="Arial" w:cs="Arial" w:eastAsia="Arial" w:hAnsi="Arial"/>
                <w:sz w:val="12"/>
                <w:szCs w:val="12"/>
                <w:color w:val="auto"/>
              </w:rPr>
              <w:t>%</w:t>
            </w:r>
            <w:r>
              <w:rPr>
                <w:rFonts w:ascii="Arial" w:cs="Arial" w:eastAsia="Arial" w:hAnsi="Arial"/>
                <w:sz w:val="18"/>
                <w:szCs w:val="18"/>
                <w:color w:val="auto"/>
                <w:vertAlign w:val="superscript"/>
              </w:rPr>
              <w:t>(6)</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10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100</w:t>
            </w: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89"/>
              </w:rPr>
              <w:t>Total Investments in Controlled, Affiliated Portfolio Companies</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64,418,155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32,968,711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Investments—154.6%</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4"/>
              </w:rPr>
              <w:t>1,091,517,885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1,078,175,553</w:t>
            </w:r>
          </w:p>
        </w:tc>
        <w:tc>
          <w:tcPr>
            <w:tcW w:w="0" w:type="dxa"/>
            <w:vAlign w:val="bottom"/>
          </w:tcPr>
          <w:p>
            <w:pPr>
              <w:spacing w:after="0"/>
              <w:rPr>
                <w:sz w:val="1"/>
                <w:szCs w:val="1"/>
                <w:color w:val="auto"/>
              </w:rPr>
            </w:pPr>
          </w:p>
        </w:tc>
      </w:tr>
      <w:tr>
        <w:trPr>
          <w:trHeight w:val="156"/>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Equivalents—8.4%</w:t>
            </w: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2,667,511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2,667,511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line="149" w:lineRule="exact"/>
              <w:rPr>
                <w:sz w:val="20"/>
                <w:szCs w:val="20"/>
                <w:color w:val="auto"/>
              </w:rPr>
            </w:pPr>
            <w:r>
              <w:rPr>
                <w:rFonts w:ascii="Arial" w:cs="Arial" w:eastAsia="Arial" w:hAnsi="Arial"/>
                <w:sz w:val="14"/>
                <w:szCs w:val="14"/>
                <w:color w:val="auto"/>
              </w:rPr>
              <w:t>BlackRock Liquidity Funds, Temp Cash, Institutional Shares</w:t>
            </w: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2,446,232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2,446,232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BNY Mellon Cash Reserve</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53,327,086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7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Cash and Cash Equivalents</w:t>
            </w:r>
          </w:p>
        </w:tc>
        <w:tc>
          <w:tcPr>
            <w:tcW w:w="8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58,440,829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Cash and Cash Equivalents—163.0%</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1,149,958,714</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1,136,616,382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in Excess of Other Assets—(63.0%)</w:t>
            </w: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w w:val="91"/>
              </w:rPr>
              <w:t>(439,110,183)</w:t>
            </w:r>
          </w:p>
        </w:tc>
        <w:tc>
          <w:tcPr>
            <w:tcW w:w="0" w:type="dxa"/>
            <w:vAlign w:val="bottom"/>
          </w:tcPr>
          <w:p>
            <w:pPr>
              <w:spacing w:after="0" w:line="20" w:lineRule="exact"/>
              <w:rPr>
                <w:sz w:val="1"/>
                <w:szCs w:val="1"/>
                <w:color w:val="auto"/>
              </w:rPr>
            </w:pPr>
          </w:p>
        </w:tc>
      </w:tr>
      <w:tr>
        <w:trPr>
          <w:trHeight w:val="143"/>
        </w:trPr>
        <w:tc>
          <w:tcPr>
            <w:tcW w:w="37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8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697,506,199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2466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68" w:lineRule="auto"/>
        <w:tabs>
          <w:tab w:leader="none" w:pos="3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 (see Note 6).</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340" w:right="6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340" w:hanging="332"/>
        <w:spacing w:after="0" w:line="221" w:lineRule="auto"/>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340" w:hanging="332"/>
        <w:spacing w:after="0"/>
        <w:tabs>
          <w:tab w:leader="none" w:pos="3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center"/>
              <w:ind w:right="139"/>
              <w:spacing w:after="0"/>
              <w:rPr>
                <w:sz w:val="20"/>
                <w:szCs w:val="20"/>
                <w:color w:val="auto"/>
              </w:rPr>
            </w:pPr>
            <w:r>
              <w:rPr>
                <w:rFonts w:ascii="Arial" w:cs="Arial" w:eastAsia="Arial" w:hAnsi="Arial"/>
                <w:sz w:val="14"/>
                <w:szCs w:val="14"/>
                <w:b w:val="1"/>
                <w:bCs w:val="1"/>
                <w:color w:val="auto"/>
                <w:w w:val="83"/>
              </w:rPr>
              <w:t>Basis Point</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4"/>
              </w:rPr>
              <w:t>Spread</w:t>
            </w: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00" w:type="dxa"/>
            <w:vAlign w:val="bottom"/>
          </w:tcPr>
          <w:p>
            <w:pPr>
              <w:jc w:val="right"/>
              <w:ind w:right="252"/>
              <w:spacing w:after="0" w:line="135" w:lineRule="exact"/>
              <w:rPr>
                <w:sz w:val="20"/>
                <w:szCs w:val="20"/>
                <w:color w:val="auto"/>
              </w:rPr>
            </w:pPr>
            <w:r>
              <w:rPr>
                <w:rFonts w:ascii="Arial" w:cs="Arial" w:eastAsia="Arial" w:hAnsi="Arial"/>
                <w:sz w:val="14"/>
                <w:szCs w:val="14"/>
                <w:b w:val="1"/>
                <w:bCs w:val="1"/>
                <w:color w:val="auto"/>
              </w:rPr>
              <w:t>Current</w:t>
            </w:r>
          </w:p>
        </w:tc>
        <w:tc>
          <w:tcPr>
            <w:tcW w:w="1000" w:type="dxa"/>
            <w:vAlign w:val="bottom"/>
          </w:tcPr>
          <w:p>
            <w:pPr>
              <w:jc w:val="center"/>
              <w:ind w:right="139"/>
              <w:spacing w:after="0" w:line="135" w:lineRule="exact"/>
              <w:rPr>
                <w:sz w:val="20"/>
                <w:szCs w:val="20"/>
                <w:color w:val="auto"/>
              </w:rPr>
            </w:pPr>
            <w:r>
              <w:rPr>
                <w:rFonts w:ascii="Arial" w:cs="Arial" w:eastAsia="Arial" w:hAnsi="Arial"/>
                <w:sz w:val="14"/>
                <w:szCs w:val="14"/>
                <w:b w:val="1"/>
                <w:bCs w:val="1"/>
                <w:color w:val="auto"/>
                <w:w w:val="84"/>
              </w:rPr>
              <w:t>Above</w:t>
            </w:r>
          </w:p>
        </w:tc>
        <w:tc>
          <w:tcPr>
            <w:tcW w:w="1180" w:type="dxa"/>
            <w:vAlign w:val="bottom"/>
          </w:tcPr>
          <w:p>
            <w:pPr>
              <w:jc w:val="right"/>
              <w:ind w:right="552"/>
              <w:spacing w:after="0" w:line="135" w:lineRule="exact"/>
              <w:rPr>
                <w:sz w:val="20"/>
                <w:szCs w:val="20"/>
                <w:color w:val="auto"/>
              </w:rPr>
            </w:pPr>
            <w:r>
              <w:rPr>
                <w:rFonts w:ascii="Arial" w:cs="Arial" w:eastAsia="Arial" w:hAnsi="Arial"/>
                <w:sz w:val="14"/>
                <w:szCs w:val="14"/>
                <w:b w:val="1"/>
                <w:bCs w:val="1"/>
                <w:color w:val="auto"/>
              </w:rPr>
              <w:t>Par/</w:t>
            </w: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87"/>
              </w:rPr>
              <w:t xml:space="preserve">Fair Value </w:t>
            </w:r>
            <w:r>
              <w:rPr>
                <w:rFonts w:ascii="Arial" w:cs="Arial" w:eastAsia="Arial" w:hAnsi="Arial"/>
                <w:sz w:val="22"/>
                <w:szCs w:val="22"/>
                <w:b w:val="1"/>
                <w:bCs w:val="1"/>
                <w:color w:val="auto"/>
                <w:w w:val="87"/>
                <w:vertAlign w:val="superscript"/>
              </w:rPr>
              <w:t>(3)</w:t>
            </w:r>
          </w:p>
        </w:tc>
        <w:tc>
          <w:tcPr>
            <w:tcW w:w="0" w:type="dxa"/>
            <w:vAlign w:val="bottom"/>
          </w:tcPr>
          <w:p>
            <w:pPr>
              <w:spacing w:after="0"/>
              <w:rPr>
                <w:sz w:val="1"/>
                <w:szCs w:val="1"/>
                <w:color w:val="auto"/>
              </w:rPr>
            </w:pPr>
          </w:p>
        </w:tc>
      </w:tr>
      <w:tr>
        <w:trPr>
          <w:trHeight w:val="17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360" w:type="dxa"/>
            <w:vAlign w:val="bottom"/>
          </w:tcPr>
          <w:p>
            <w:pPr>
              <w:jc w:val="right"/>
              <w:ind w:right="212"/>
              <w:spacing w:after="0"/>
              <w:rPr>
                <w:sz w:val="20"/>
                <w:szCs w:val="20"/>
                <w:color w:val="auto"/>
              </w:rPr>
            </w:pPr>
            <w:r>
              <w:rPr>
                <w:rFonts w:ascii="Arial" w:cs="Arial" w:eastAsia="Arial" w:hAnsi="Arial"/>
                <w:sz w:val="14"/>
                <w:szCs w:val="14"/>
                <w:b w:val="1"/>
                <w:bCs w:val="1"/>
                <w:color w:val="auto"/>
              </w:rPr>
              <w:t>Maturity</w:t>
            </w:r>
          </w:p>
        </w:tc>
        <w:tc>
          <w:tcPr>
            <w:tcW w:w="1800" w:type="dxa"/>
            <w:vAlign w:val="bottom"/>
          </w:tcPr>
          <w:p>
            <w:pPr>
              <w:jc w:val="center"/>
              <w:ind w:left="72"/>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tcPr>
          <w:p>
            <w:pPr>
              <w:jc w:val="right"/>
              <w:ind w:right="252"/>
              <w:spacing w:after="0"/>
              <w:rPr>
                <w:sz w:val="20"/>
                <w:szCs w:val="20"/>
                <w:color w:val="auto"/>
              </w:rPr>
            </w:pPr>
            <w:r>
              <w:rPr>
                <w:rFonts w:ascii="Arial" w:cs="Arial" w:eastAsia="Arial" w:hAnsi="Arial"/>
                <w:sz w:val="14"/>
                <w:szCs w:val="14"/>
                <w:b w:val="1"/>
                <w:bCs w:val="1"/>
                <w:color w:val="auto"/>
              </w:rPr>
              <w:t>Coupon</w:t>
            </w:r>
          </w:p>
        </w:tc>
        <w:tc>
          <w:tcPr>
            <w:tcW w:w="1000" w:type="dxa"/>
            <w:vAlign w:val="bottom"/>
          </w:tcPr>
          <w:p>
            <w:pPr>
              <w:jc w:val="center"/>
              <w:ind w:right="139"/>
              <w:spacing w:after="0" w:line="176" w:lineRule="exact"/>
              <w:rPr>
                <w:sz w:val="20"/>
                <w:szCs w:val="20"/>
                <w:color w:val="auto"/>
              </w:rPr>
            </w:pPr>
            <w:r>
              <w:rPr>
                <w:rFonts w:ascii="Arial" w:cs="Arial" w:eastAsia="Arial" w:hAnsi="Arial"/>
                <w:sz w:val="13"/>
                <w:szCs w:val="13"/>
                <w:b w:val="1"/>
                <w:bCs w:val="1"/>
                <w:color w:val="auto"/>
                <w:w w:val="89"/>
              </w:rPr>
              <w:t xml:space="preserve">Index </w:t>
            </w:r>
            <w:r>
              <w:rPr>
                <w:rFonts w:ascii="Arial" w:cs="Arial" w:eastAsia="Arial" w:hAnsi="Arial"/>
                <w:sz w:val="20"/>
                <w:szCs w:val="20"/>
                <w:b w:val="1"/>
                <w:bCs w:val="1"/>
                <w:color w:val="auto"/>
                <w:w w:val="89"/>
                <w:vertAlign w:val="superscript"/>
              </w:rPr>
              <w:t>(4)</w:t>
            </w:r>
          </w:p>
        </w:tc>
        <w:tc>
          <w:tcPr>
            <w:tcW w:w="1180" w:type="dxa"/>
            <w:vAlign w:val="bottom"/>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Cost</w:t>
            </w: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Non-Affiliated Portfolio Companies—130.3% </w:t>
            </w:r>
            <w:r>
              <w:rPr>
                <w:rFonts w:ascii="Arial" w:cs="Arial" w:eastAsia="Arial" w:hAnsi="Arial"/>
                <w:sz w:val="16"/>
                <w:szCs w:val="16"/>
                <w:b w:val="1"/>
                <w:bCs w:val="1"/>
                <w:color w:val="auto"/>
                <w:vertAlign w:val="superscript"/>
              </w:rPr>
              <w:t>(1),(2)</w:t>
            </w:r>
          </w:p>
        </w:tc>
        <w:tc>
          <w:tcPr>
            <w:tcW w:w="9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Debt—41.7%</w:t>
            </w:r>
          </w:p>
        </w:tc>
        <w:tc>
          <w:tcPr>
            <w:tcW w:w="1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Aircell Business Aviation Services LLC</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06/21/2017</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8"/>
              </w:rPr>
              <w:t>Communications</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11.25%</w:t>
            </w:r>
          </w:p>
        </w:tc>
        <w:tc>
          <w:tcPr>
            <w:tcW w:w="1000" w:type="dxa"/>
            <w:vAlign w:val="bottom"/>
            <w:shd w:val="clear" w:color="auto" w:fill="CCEEFF"/>
          </w:tcPr>
          <w:p>
            <w:pPr>
              <w:jc w:val="right"/>
              <w:ind w:right="79"/>
              <w:spacing w:after="0" w:line="149" w:lineRule="exact"/>
              <w:rPr>
                <w:sz w:val="20"/>
                <w:szCs w:val="20"/>
                <w:color w:val="auto"/>
              </w:rPr>
            </w:pPr>
            <w:r>
              <w:rPr>
                <w:rFonts w:ascii="Arial" w:cs="Arial" w:eastAsia="Arial" w:hAnsi="Arial"/>
                <w:sz w:val="11"/>
                <w:szCs w:val="11"/>
                <w:color w:val="auto"/>
              </w:rPr>
              <w:t>L+975</w:t>
            </w:r>
            <w:r>
              <w:rPr>
                <w:rFonts w:ascii="Arial" w:cs="Arial" w:eastAsia="Arial" w:hAnsi="Arial"/>
                <w:sz w:val="17"/>
                <w:szCs w:val="17"/>
                <w:color w:val="auto"/>
                <w:vertAlign w:val="superscript"/>
              </w:rPr>
              <w:t>(8)</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14,906,250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$ 14,332,682</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$ 14,906,250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American Surgical Holdings, Inc.</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03/23/2015</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7"/>
              </w:rPr>
              <w:t>Healthcare, Education and</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14.00%</w:t>
            </w:r>
          </w:p>
        </w:tc>
        <w:tc>
          <w:tcPr>
            <w:tcW w:w="1000" w:type="dxa"/>
            <w:vAlign w:val="bottom"/>
          </w:tcPr>
          <w:p>
            <w:pPr>
              <w:jc w:val="right"/>
              <w:ind w:right="79"/>
              <w:spacing w:after="0" w:line="138" w:lineRule="exact"/>
              <w:rPr>
                <w:sz w:val="20"/>
                <w:szCs w:val="20"/>
                <w:color w:val="auto"/>
              </w:rPr>
            </w:pPr>
            <w:r>
              <w:rPr>
                <w:rFonts w:ascii="Arial" w:cs="Arial" w:eastAsia="Arial" w:hAnsi="Arial"/>
                <w:sz w:val="10"/>
                <w:szCs w:val="10"/>
                <w:color w:val="auto"/>
              </w:rPr>
              <w:t>L+1,000</w:t>
            </w:r>
            <w:r>
              <w:rPr>
                <w:rFonts w:ascii="Arial" w:cs="Arial" w:eastAsia="Arial" w:hAnsi="Arial"/>
                <w:sz w:val="15"/>
                <w:szCs w:val="15"/>
                <w:color w:val="auto"/>
                <w:vertAlign w:val="superscript"/>
              </w:rPr>
              <w:t>(8)</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17,811,828</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17,441,366</w:t>
            </w:r>
          </w:p>
        </w:tc>
        <w:tc>
          <w:tcPr>
            <w:tcW w:w="280" w:type="dxa"/>
            <w:vAlign w:val="bottom"/>
          </w:tcPr>
          <w:p>
            <w:pPr>
              <w:spacing w:after="0"/>
              <w:rPr>
                <w:sz w:val="11"/>
                <w:szCs w:val="11"/>
                <w:color w:val="auto"/>
              </w:rPr>
            </w:pP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17,811,828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tcPr>
          <w:p>
            <w:pPr>
              <w:jc w:val="center"/>
              <w:ind w:left="52"/>
              <w:spacing w:after="0" w:line="159" w:lineRule="exact"/>
              <w:rPr>
                <w:sz w:val="20"/>
                <w:szCs w:val="20"/>
                <w:color w:val="auto"/>
              </w:rPr>
            </w:pPr>
            <w:r>
              <w:rPr>
                <w:rFonts w:ascii="Arial" w:cs="Arial" w:eastAsia="Arial" w:hAnsi="Arial"/>
                <w:sz w:val="14"/>
                <w:szCs w:val="14"/>
                <w:color w:val="auto"/>
                <w:w w:val="87"/>
              </w:rPr>
              <w:t>Childcare</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02/07/2014</w:t>
            </w:r>
          </w:p>
        </w:tc>
        <w:tc>
          <w:tcPr>
            <w:tcW w:w="18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2"/>
              </w:rPr>
              <w:t>Energy/Utilities</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3.68%</w:t>
            </w:r>
          </w:p>
        </w:tc>
        <w:tc>
          <w:tcPr>
            <w:tcW w:w="1000" w:type="dxa"/>
            <w:vAlign w:val="bottom"/>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L+325</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2,000,000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1,757,029</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1,973,334</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10/01/2016</w:t>
            </w: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6"/>
              </w:rPr>
              <w:t>Cargo Transport</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11.63%</w:t>
            </w:r>
          </w:p>
        </w:tc>
        <w:tc>
          <w:tcPr>
            <w:tcW w:w="100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7,500,000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7,355,237</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7,687,500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CEVA Group PLC</w:t>
            </w:r>
            <w:r>
              <w:rPr>
                <w:rFonts w:ascii="Arial" w:cs="Arial" w:eastAsia="Arial" w:hAnsi="Arial"/>
                <w:sz w:val="17"/>
                <w:szCs w:val="17"/>
                <w:color w:val="auto"/>
                <w:vertAlign w:val="superscript"/>
              </w:rPr>
              <w:t>(5),(10)</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04/01/2018</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6"/>
              </w:rPr>
              <w:t>Cargo Transport</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10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1,000,000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990,089</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tcPr>
          <w:p>
            <w:pPr>
              <w:spacing w:after="0" w:line="122" w:lineRule="exact"/>
              <w:rPr>
                <w:sz w:val="20"/>
                <w:szCs w:val="20"/>
                <w:color w:val="auto"/>
              </w:rPr>
            </w:pPr>
            <w:r>
              <w:rPr>
                <w:rFonts w:ascii="Arial" w:cs="Arial" w:eastAsia="Arial" w:hAnsi="Arial"/>
                <w:sz w:val="10"/>
                <w:szCs w:val="10"/>
                <w:color w:val="auto"/>
              </w:rPr>
              <w:t>Columbus International, Inc.</w:t>
            </w:r>
            <w:r>
              <w:rPr>
                <w:rFonts w:ascii="Arial" w:cs="Arial" w:eastAsia="Arial" w:hAnsi="Arial"/>
                <w:sz w:val="14"/>
                <w:szCs w:val="14"/>
                <w:color w:val="auto"/>
                <w:vertAlign w:val="superscript"/>
              </w:rPr>
              <w:t>(5), (10)</w:t>
            </w:r>
          </w:p>
        </w:tc>
        <w:tc>
          <w:tcPr>
            <w:tcW w:w="1360" w:type="dxa"/>
            <w:vAlign w:val="bottom"/>
          </w:tcPr>
          <w:p>
            <w:pPr>
              <w:jc w:val="right"/>
              <w:ind w:right="132"/>
              <w:spacing w:after="0" w:line="122" w:lineRule="exact"/>
              <w:rPr>
                <w:sz w:val="20"/>
                <w:szCs w:val="20"/>
                <w:color w:val="auto"/>
              </w:rPr>
            </w:pPr>
            <w:r>
              <w:rPr>
                <w:rFonts w:ascii="Arial" w:cs="Arial" w:eastAsia="Arial" w:hAnsi="Arial"/>
                <w:sz w:val="14"/>
                <w:szCs w:val="14"/>
                <w:color w:val="auto"/>
              </w:rPr>
              <w:t>11/20/2014</w:t>
            </w:r>
          </w:p>
        </w:tc>
        <w:tc>
          <w:tcPr>
            <w:tcW w:w="1800" w:type="dxa"/>
            <w:vAlign w:val="bottom"/>
          </w:tcPr>
          <w:p>
            <w:pPr>
              <w:jc w:val="center"/>
              <w:ind w:left="52"/>
              <w:spacing w:after="0" w:line="122" w:lineRule="exact"/>
              <w:rPr>
                <w:sz w:val="20"/>
                <w:szCs w:val="20"/>
                <w:color w:val="auto"/>
              </w:rPr>
            </w:pPr>
            <w:r>
              <w:rPr>
                <w:rFonts w:ascii="Arial" w:cs="Arial" w:eastAsia="Arial" w:hAnsi="Arial"/>
                <w:sz w:val="14"/>
                <w:szCs w:val="14"/>
                <w:color w:val="auto"/>
                <w:w w:val="88"/>
              </w:rPr>
              <w:t>Communications</w:t>
            </w:r>
          </w:p>
        </w:tc>
        <w:tc>
          <w:tcPr>
            <w:tcW w:w="900" w:type="dxa"/>
            <w:vAlign w:val="bottom"/>
          </w:tcPr>
          <w:p>
            <w:pPr>
              <w:jc w:val="right"/>
              <w:ind w:right="52"/>
              <w:spacing w:after="0" w:line="122" w:lineRule="exact"/>
              <w:rPr>
                <w:sz w:val="20"/>
                <w:szCs w:val="20"/>
                <w:color w:val="auto"/>
              </w:rPr>
            </w:pPr>
            <w:r>
              <w:rPr>
                <w:rFonts w:ascii="Arial" w:cs="Arial" w:eastAsia="Arial" w:hAnsi="Arial"/>
                <w:sz w:val="14"/>
                <w:szCs w:val="14"/>
                <w:color w:val="auto"/>
              </w:rPr>
              <w:t>11.50%</w:t>
            </w:r>
          </w:p>
        </w:tc>
        <w:tc>
          <w:tcPr>
            <w:tcW w:w="1000" w:type="dxa"/>
            <w:vAlign w:val="bottom"/>
          </w:tcPr>
          <w:p>
            <w:pPr>
              <w:ind w:left="520"/>
              <w:spacing w:after="0" w:line="122"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352"/>
              <w:spacing w:after="0" w:line="122" w:lineRule="exact"/>
              <w:rPr>
                <w:sz w:val="20"/>
                <w:szCs w:val="20"/>
                <w:color w:val="auto"/>
              </w:rPr>
            </w:pPr>
            <w:r>
              <w:rPr>
                <w:rFonts w:ascii="Arial" w:cs="Arial" w:eastAsia="Arial" w:hAnsi="Arial"/>
                <w:sz w:val="14"/>
                <w:szCs w:val="14"/>
                <w:color w:val="auto"/>
              </w:rPr>
              <w:t>10,000,000</w:t>
            </w:r>
          </w:p>
        </w:tc>
        <w:tc>
          <w:tcPr>
            <w:tcW w:w="800" w:type="dxa"/>
            <w:vAlign w:val="bottom"/>
          </w:tcPr>
          <w:p>
            <w:pPr>
              <w:jc w:val="right"/>
              <w:spacing w:after="0" w:line="122" w:lineRule="exact"/>
              <w:rPr>
                <w:sz w:val="20"/>
                <w:szCs w:val="20"/>
                <w:color w:val="auto"/>
              </w:rPr>
            </w:pPr>
            <w:r>
              <w:rPr>
                <w:rFonts w:ascii="Arial" w:cs="Arial" w:eastAsia="Arial" w:hAnsi="Arial"/>
                <w:sz w:val="14"/>
                <w:szCs w:val="14"/>
                <w:color w:val="auto"/>
              </w:rPr>
              <w:t>10,000,000</w:t>
            </w:r>
          </w:p>
        </w:tc>
        <w:tc>
          <w:tcPr>
            <w:tcW w:w="280" w:type="dxa"/>
            <w:vAlign w:val="bottom"/>
          </w:tcPr>
          <w:p>
            <w:pPr>
              <w:spacing w:after="0"/>
              <w:rPr>
                <w:sz w:val="10"/>
                <w:szCs w:val="10"/>
                <w:color w:val="auto"/>
              </w:rPr>
            </w:pP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4"/>
                <w:szCs w:val="14"/>
                <w:color w:val="auto"/>
              </w:rPr>
              <w:t>11,100,000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Pr>
          <w:p>
            <w:pPr>
              <w:spacing w:after="0" w:line="176" w:lineRule="exact"/>
              <w:rPr>
                <w:sz w:val="20"/>
                <w:szCs w:val="20"/>
                <w:color w:val="auto"/>
              </w:rPr>
            </w:pPr>
            <w:r>
              <w:rPr>
                <w:rFonts w:ascii="Arial" w:cs="Arial" w:eastAsia="Arial" w:hAnsi="Arial"/>
                <w:sz w:val="13"/>
                <w:szCs w:val="13"/>
                <w:color w:val="auto"/>
              </w:rPr>
              <w:t>Good Sam Enterprises, LLC</w:t>
            </w:r>
            <w:r>
              <w:rPr>
                <w:rFonts w:ascii="Arial" w:cs="Arial" w:eastAsia="Arial" w:hAnsi="Arial"/>
                <w:sz w:val="20"/>
                <w:szCs w:val="20"/>
                <w:color w:val="auto"/>
                <w:vertAlign w:val="superscript"/>
              </w:rPr>
              <w:t>(5)</w:t>
            </w: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12/01/2016</w:t>
            </w:r>
          </w:p>
        </w:tc>
        <w:tc>
          <w:tcPr>
            <w:tcW w:w="1800" w:type="dxa"/>
            <w:vAlign w:val="bottom"/>
          </w:tcPr>
          <w:p>
            <w:pPr>
              <w:jc w:val="center"/>
              <w:ind w:left="72"/>
              <w:spacing w:after="0"/>
              <w:rPr>
                <w:sz w:val="20"/>
                <w:szCs w:val="20"/>
                <w:color w:val="auto"/>
              </w:rPr>
            </w:pPr>
            <w:r>
              <w:rPr>
                <w:rFonts w:ascii="Arial" w:cs="Arial" w:eastAsia="Arial" w:hAnsi="Arial"/>
                <w:sz w:val="14"/>
                <w:szCs w:val="14"/>
                <w:color w:val="auto"/>
                <w:w w:val="85"/>
              </w:rPr>
              <w:t>Consumer Products</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11.50%</w:t>
            </w:r>
          </w:p>
        </w:tc>
        <w:tc>
          <w:tcPr>
            <w:tcW w:w="1000" w:type="dxa"/>
            <w:vAlign w:val="bottom"/>
          </w:tcPr>
          <w:p>
            <w:pPr>
              <w:ind w:left="520"/>
              <w:spacing w:after="0" w:line="176"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9"/>
                <w:szCs w:val="9"/>
                <w:color w:val="auto"/>
              </w:rPr>
              <w:t xml:space="preserve"> (8)</w:t>
            </w:r>
          </w:p>
        </w:tc>
        <w:tc>
          <w:tcPr>
            <w:tcW w:w="1180" w:type="dxa"/>
            <w:vAlign w:val="bottom"/>
          </w:tcPr>
          <w:p>
            <w:pPr>
              <w:jc w:val="right"/>
              <w:ind w:right="352"/>
              <w:spacing w:after="0"/>
              <w:rPr>
                <w:sz w:val="20"/>
                <w:szCs w:val="20"/>
                <w:color w:val="auto"/>
              </w:rPr>
            </w:pPr>
            <w:r>
              <w:rPr>
                <w:rFonts w:ascii="Arial" w:cs="Arial" w:eastAsia="Arial" w:hAnsi="Arial"/>
                <w:sz w:val="14"/>
                <w:szCs w:val="14"/>
                <w:color w:val="auto"/>
              </w:rPr>
              <w:t>12,000,000</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11,795,443</w:t>
            </w:r>
          </w:p>
        </w:tc>
        <w:tc>
          <w:tcPr>
            <w:tcW w:w="800" w:type="dxa"/>
            <w:vAlign w:val="bottom"/>
          </w:tcPr>
          <w:p>
            <w:pPr>
              <w:jc w:val="right"/>
              <w:spacing w:after="0"/>
              <w:rPr>
                <w:sz w:val="20"/>
                <w:szCs w:val="20"/>
                <w:color w:val="auto"/>
              </w:rPr>
            </w:pPr>
            <w:r>
              <w:rPr>
                <w:rFonts w:ascii="Arial" w:cs="Arial" w:eastAsia="Arial" w:hAnsi="Arial"/>
                <w:sz w:val="14"/>
                <w:szCs w:val="14"/>
                <w:color w:val="auto"/>
              </w:rPr>
              <w:t>12,720,000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80" w:type="dxa"/>
            <w:vAlign w:val="bottom"/>
            <w:gridSpan w:val="2"/>
          </w:tcPr>
          <w:p>
            <w:pPr>
              <w:spacing w:after="0" w:line="148" w:lineRule="exact"/>
              <w:rPr>
                <w:sz w:val="20"/>
                <w:szCs w:val="20"/>
                <w:color w:val="auto"/>
              </w:rPr>
            </w:pPr>
            <w:r>
              <w:rPr>
                <w:rFonts w:ascii="Arial" w:cs="Arial" w:eastAsia="Arial" w:hAnsi="Arial"/>
                <w:sz w:val="14"/>
                <w:szCs w:val="14"/>
                <w:color w:val="auto"/>
              </w:rPr>
              <w:t>Hanley-Wood, L.L.C.</w:t>
            </w:r>
          </w:p>
        </w:tc>
        <w:tc>
          <w:tcPr>
            <w:tcW w:w="136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01/13/2017</w:t>
            </w:r>
          </w:p>
        </w:tc>
        <w:tc>
          <w:tcPr>
            <w:tcW w:w="1800" w:type="dxa"/>
            <w:vAlign w:val="bottom"/>
          </w:tcPr>
          <w:p>
            <w:pPr>
              <w:jc w:val="center"/>
              <w:ind w:left="52"/>
              <w:spacing w:after="0" w:line="148" w:lineRule="exact"/>
              <w:rPr>
                <w:sz w:val="20"/>
                <w:szCs w:val="20"/>
                <w:color w:val="auto"/>
              </w:rPr>
            </w:pPr>
            <w:r>
              <w:rPr>
                <w:rFonts w:ascii="Arial" w:cs="Arial" w:eastAsia="Arial" w:hAnsi="Arial"/>
                <w:sz w:val="14"/>
                <w:szCs w:val="14"/>
                <w:color w:val="auto"/>
                <w:w w:val="88"/>
              </w:rPr>
              <w:t>Other Media</w:t>
            </w:r>
          </w:p>
        </w:tc>
        <w:tc>
          <w:tcPr>
            <w:tcW w:w="900" w:type="dxa"/>
            <w:vAlign w:val="bottom"/>
          </w:tcPr>
          <w:p>
            <w:pPr>
              <w:jc w:val="right"/>
              <w:ind w:right="52"/>
              <w:spacing w:after="0" w:line="148" w:lineRule="exact"/>
              <w:rPr>
                <w:sz w:val="20"/>
                <w:szCs w:val="20"/>
                <w:color w:val="auto"/>
              </w:rPr>
            </w:pPr>
            <w:r>
              <w:rPr>
                <w:rFonts w:ascii="Arial" w:cs="Arial" w:eastAsia="Arial" w:hAnsi="Arial"/>
                <w:sz w:val="14"/>
                <w:szCs w:val="14"/>
                <w:color w:val="auto"/>
              </w:rPr>
              <w:t>8.00%</w:t>
            </w:r>
          </w:p>
        </w:tc>
        <w:tc>
          <w:tcPr>
            <w:tcW w:w="1000" w:type="dxa"/>
            <w:vAlign w:val="bottom"/>
          </w:tcPr>
          <w:p>
            <w:pPr>
              <w:jc w:val="right"/>
              <w:ind w:right="219"/>
              <w:spacing w:after="0" w:line="148" w:lineRule="exact"/>
              <w:rPr>
                <w:sz w:val="20"/>
                <w:szCs w:val="20"/>
                <w:color w:val="auto"/>
              </w:rPr>
            </w:pPr>
            <w:r>
              <w:rPr>
                <w:rFonts w:ascii="Arial" w:cs="Arial" w:eastAsia="Arial" w:hAnsi="Arial"/>
                <w:sz w:val="14"/>
                <w:szCs w:val="14"/>
                <w:color w:val="auto"/>
              </w:rPr>
              <w:t>L+650</w:t>
            </w:r>
          </w:p>
        </w:tc>
        <w:tc>
          <w:tcPr>
            <w:tcW w:w="1180" w:type="dxa"/>
            <w:vAlign w:val="bottom"/>
          </w:tcPr>
          <w:p>
            <w:pPr>
              <w:jc w:val="right"/>
              <w:ind w:right="352"/>
              <w:spacing w:after="0" w:line="148" w:lineRule="exact"/>
              <w:rPr>
                <w:sz w:val="20"/>
                <w:szCs w:val="20"/>
                <w:color w:val="auto"/>
              </w:rPr>
            </w:pPr>
            <w:r>
              <w:rPr>
                <w:rFonts w:ascii="Arial" w:cs="Arial" w:eastAsia="Arial" w:hAnsi="Arial"/>
                <w:sz w:val="14"/>
                <w:szCs w:val="14"/>
                <w:color w:val="auto"/>
              </w:rPr>
              <w:t>1,752,896</w:t>
            </w: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1,752,896</w:t>
            </w:r>
          </w:p>
        </w:tc>
        <w:tc>
          <w:tcPr>
            <w:tcW w:w="2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1,752,896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04/01/2017</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7"/>
              </w:rPr>
              <w:t>Auto Sector</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11.50%</w:t>
            </w:r>
          </w:p>
        </w:tc>
        <w:tc>
          <w:tcPr>
            <w:tcW w:w="10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11,500,000</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11,288,165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12,218,750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Instant Web, Inc.</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08/07/2014</w:t>
            </w: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9"/>
              </w:rPr>
              <w:t>Printing and Publishing</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14.50%</w:t>
            </w:r>
          </w:p>
        </w:tc>
        <w:tc>
          <w:tcPr>
            <w:tcW w:w="1000" w:type="dxa"/>
            <w:vAlign w:val="bottom"/>
          </w:tcPr>
          <w:p>
            <w:pPr>
              <w:jc w:val="right"/>
              <w:ind w:right="79"/>
              <w:spacing w:after="0" w:line="149" w:lineRule="exact"/>
              <w:rPr>
                <w:sz w:val="20"/>
                <w:szCs w:val="20"/>
                <w:color w:val="auto"/>
              </w:rPr>
            </w:pPr>
            <w:r>
              <w:rPr>
                <w:rFonts w:ascii="Arial" w:cs="Arial" w:eastAsia="Arial" w:hAnsi="Arial"/>
                <w:sz w:val="11"/>
                <w:szCs w:val="11"/>
                <w:color w:val="auto"/>
              </w:rPr>
              <w:t>L+950</w:t>
            </w:r>
            <w:r>
              <w:rPr>
                <w:rFonts w:ascii="Arial" w:cs="Arial" w:eastAsia="Arial" w:hAnsi="Arial"/>
                <w:sz w:val="17"/>
                <w:szCs w:val="17"/>
                <w:color w:val="auto"/>
                <w:vertAlign w:val="superscript"/>
              </w:rPr>
              <w:t>(8)</w:t>
            </w:r>
          </w:p>
        </w:tc>
        <w:tc>
          <w:tcPr>
            <w:tcW w:w="11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24,115,645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23,829,738</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23,802,142</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Interactive Health Solutions, Inc.</w:t>
            </w:r>
          </w:p>
        </w:tc>
        <w:tc>
          <w:tcPr>
            <w:tcW w:w="13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10/04/2016</w:t>
            </w:r>
          </w:p>
        </w:tc>
        <w:tc>
          <w:tcPr>
            <w:tcW w:w="1800" w:type="dxa"/>
            <w:vAlign w:val="bottom"/>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7"/>
              </w:rPr>
              <w:t>Healthcare, Education and</w:t>
            </w:r>
          </w:p>
        </w:tc>
        <w:tc>
          <w:tcPr>
            <w:tcW w:w="9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1000" w:type="dxa"/>
            <w:vAlign w:val="bottom"/>
            <w:shd w:val="clear" w:color="auto" w:fill="CCEEFF"/>
          </w:tcPr>
          <w:p>
            <w:pPr>
              <w:jc w:val="right"/>
              <w:ind w:right="79"/>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1180" w:type="dxa"/>
            <w:vAlign w:val="bottom"/>
            <w:shd w:val="clear" w:color="auto" w:fill="CCEEFF"/>
          </w:tcPr>
          <w:p>
            <w:pPr>
              <w:jc w:val="right"/>
              <w:ind w:right="352"/>
              <w:spacing w:after="0" w:line="138" w:lineRule="exact"/>
              <w:rPr>
                <w:sz w:val="20"/>
                <w:szCs w:val="20"/>
                <w:color w:val="auto"/>
              </w:rPr>
            </w:pPr>
            <w:r>
              <w:rPr>
                <w:rFonts w:ascii="Arial" w:cs="Arial" w:eastAsia="Arial" w:hAnsi="Arial"/>
                <w:sz w:val="14"/>
                <w:szCs w:val="14"/>
                <w:color w:val="auto"/>
              </w:rPr>
              <w:t>18,525,000</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18,165,492</w:t>
            </w: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18,571,313</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52"/>
              <w:spacing w:after="0" w:line="159" w:lineRule="exact"/>
              <w:rPr>
                <w:sz w:val="20"/>
                <w:szCs w:val="20"/>
                <w:color w:val="auto"/>
              </w:rPr>
            </w:pPr>
            <w:r>
              <w:rPr>
                <w:rFonts w:ascii="Arial" w:cs="Arial" w:eastAsia="Arial" w:hAnsi="Arial"/>
                <w:sz w:val="14"/>
                <w:szCs w:val="14"/>
                <w:color w:val="auto"/>
                <w:w w:val="87"/>
              </w:rPr>
              <w:t>Childcare</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Jacuzzi Brands Corp.</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02/07/2014</w:t>
            </w:r>
          </w:p>
        </w:tc>
        <w:tc>
          <w:tcPr>
            <w:tcW w:w="1800" w:type="dxa"/>
            <w:vAlign w:val="bottom"/>
          </w:tcPr>
          <w:p>
            <w:pPr>
              <w:jc w:val="center"/>
              <w:ind w:left="72"/>
              <w:spacing w:after="0" w:line="138" w:lineRule="exact"/>
              <w:rPr>
                <w:sz w:val="20"/>
                <w:szCs w:val="20"/>
                <w:color w:val="auto"/>
              </w:rPr>
            </w:pPr>
            <w:r>
              <w:rPr>
                <w:rFonts w:ascii="Arial" w:cs="Arial" w:eastAsia="Arial" w:hAnsi="Arial"/>
                <w:sz w:val="14"/>
                <w:szCs w:val="14"/>
                <w:color w:val="auto"/>
                <w:w w:val="89"/>
              </w:rPr>
              <w:t>Home and Office</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2.28%</w:t>
            </w:r>
          </w:p>
        </w:tc>
        <w:tc>
          <w:tcPr>
            <w:tcW w:w="1000" w:type="dxa"/>
            <w:vAlign w:val="bottom"/>
          </w:tcPr>
          <w:p>
            <w:pPr>
              <w:jc w:val="right"/>
              <w:ind w:right="219"/>
              <w:spacing w:after="0" w:line="138" w:lineRule="exact"/>
              <w:rPr>
                <w:sz w:val="20"/>
                <w:szCs w:val="20"/>
                <w:color w:val="auto"/>
              </w:rPr>
            </w:pPr>
            <w:r>
              <w:rPr>
                <w:rFonts w:ascii="Arial" w:cs="Arial" w:eastAsia="Arial" w:hAnsi="Arial"/>
                <w:sz w:val="14"/>
                <w:szCs w:val="14"/>
                <w:color w:val="auto"/>
              </w:rPr>
              <w:t>L+225</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9,598,649</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9,598,649</w:t>
            </w:r>
          </w:p>
        </w:tc>
        <w:tc>
          <w:tcPr>
            <w:tcW w:w="2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6,371,103</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6"/>
              </w:rPr>
              <w:t>Furnishings, Housewares</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5"/>
              </w:rPr>
              <w:t>and Durable Consumer</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tcPr>
          <w:p>
            <w:pPr>
              <w:jc w:val="center"/>
              <w:ind w:left="52"/>
              <w:spacing w:after="0" w:line="159" w:lineRule="exact"/>
              <w:rPr>
                <w:sz w:val="20"/>
                <w:szCs w:val="20"/>
                <w:color w:val="auto"/>
              </w:rPr>
            </w:pPr>
            <w:r>
              <w:rPr>
                <w:rFonts w:ascii="Arial" w:cs="Arial" w:eastAsia="Arial" w:hAnsi="Arial"/>
                <w:sz w:val="14"/>
                <w:szCs w:val="14"/>
                <w:color w:val="auto"/>
                <w:w w:val="86"/>
              </w:rPr>
              <w:t>Products</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13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09/10/2015</w:t>
            </w:r>
          </w:p>
        </w:tc>
        <w:tc>
          <w:tcPr>
            <w:tcW w:w="1800" w:type="dxa"/>
            <w:vAlign w:val="bottom"/>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6"/>
              </w:rPr>
              <w:t>Chemicals, Plastics and</w:t>
            </w:r>
          </w:p>
        </w:tc>
        <w:tc>
          <w:tcPr>
            <w:tcW w:w="9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10.00%</w:t>
            </w:r>
          </w:p>
        </w:tc>
        <w:tc>
          <w:tcPr>
            <w:tcW w:w="1000" w:type="dxa"/>
            <w:vAlign w:val="bottom"/>
            <w:shd w:val="clear" w:color="auto" w:fill="CCEEFF"/>
          </w:tcPr>
          <w:p>
            <w:pPr>
              <w:jc w:val="right"/>
              <w:ind w:right="79"/>
              <w:spacing w:after="0" w:line="138" w:lineRule="exact"/>
              <w:rPr>
                <w:sz w:val="20"/>
                <w:szCs w:val="20"/>
                <w:color w:val="auto"/>
              </w:rPr>
            </w:pPr>
            <w:r>
              <w:rPr>
                <w:rFonts w:ascii="Arial" w:cs="Arial" w:eastAsia="Arial" w:hAnsi="Arial"/>
                <w:sz w:val="10"/>
                <w:szCs w:val="10"/>
                <w:color w:val="auto"/>
              </w:rPr>
              <w:t>L+775</w:t>
            </w:r>
            <w:r>
              <w:rPr>
                <w:rFonts w:ascii="Arial" w:cs="Arial" w:eastAsia="Arial" w:hAnsi="Arial"/>
                <w:sz w:val="15"/>
                <w:szCs w:val="15"/>
                <w:color w:val="auto"/>
                <w:vertAlign w:val="superscript"/>
              </w:rPr>
              <w:t>(8)</w:t>
            </w:r>
          </w:p>
        </w:tc>
        <w:tc>
          <w:tcPr>
            <w:tcW w:w="1180" w:type="dxa"/>
            <w:vAlign w:val="bottom"/>
            <w:shd w:val="clear" w:color="auto" w:fill="CCEEFF"/>
          </w:tcPr>
          <w:p>
            <w:pPr>
              <w:jc w:val="right"/>
              <w:ind w:right="352"/>
              <w:spacing w:after="0" w:line="138" w:lineRule="exact"/>
              <w:rPr>
                <w:sz w:val="20"/>
                <w:szCs w:val="20"/>
                <w:color w:val="auto"/>
              </w:rPr>
            </w:pPr>
            <w:r>
              <w:rPr>
                <w:rFonts w:ascii="Arial" w:cs="Arial" w:eastAsia="Arial" w:hAnsi="Arial"/>
                <w:sz w:val="14"/>
                <w:szCs w:val="14"/>
                <w:color w:val="auto"/>
              </w:rPr>
              <w:t>18,952,500</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18,216,865</w:t>
            </w: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19,236,788</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52"/>
              <w:spacing w:after="0" w:line="159" w:lineRule="exact"/>
              <w:rPr>
                <w:sz w:val="20"/>
                <w:szCs w:val="20"/>
                <w:color w:val="auto"/>
              </w:rPr>
            </w:pPr>
            <w:r>
              <w:rPr>
                <w:rFonts w:ascii="Arial" w:cs="Arial" w:eastAsia="Arial" w:hAnsi="Arial"/>
                <w:sz w:val="14"/>
                <w:szCs w:val="14"/>
                <w:color w:val="auto"/>
                <w:w w:val="87"/>
              </w:rPr>
              <w:t>Rubber</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Kadmon Pharmaceuticals, LLC</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10/31/2012</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7"/>
              </w:rPr>
              <w:t>Healthcare, Education and</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15.00%</w:t>
            </w:r>
          </w:p>
        </w:tc>
        <w:tc>
          <w:tcPr>
            <w:tcW w:w="1000" w:type="dxa"/>
            <w:vAlign w:val="bottom"/>
          </w:tcPr>
          <w:p>
            <w:pPr>
              <w:jc w:val="right"/>
              <w:ind w:right="79"/>
              <w:spacing w:after="0" w:line="138" w:lineRule="exact"/>
              <w:rPr>
                <w:sz w:val="20"/>
                <w:szCs w:val="20"/>
                <w:color w:val="auto"/>
              </w:rPr>
            </w:pPr>
            <w:r>
              <w:rPr>
                <w:rFonts w:ascii="Arial" w:cs="Arial" w:eastAsia="Arial" w:hAnsi="Arial"/>
                <w:sz w:val="10"/>
                <w:szCs w:val="10"/>
                <w:color w:val="auto"/>
              </w:rPr>
              <w:t>L+1,300</w:t>
            </w:r>
            <w:r>
              <w:rPr>
                <w:rFonts w:ascii="Arial" w:cs="Arial" w:eastAsia="Arial" w:hAnsi="Arial"/>
                <w:sz w:val="15"/>
                <w:szCs w:val="15"/>
                <w:color w:val="auto"/>
                <w:vertAlign w:val="superscript"/>
              </w:rPr>
              <w:t>(8)</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4,931,494</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4,992,740</w:t>
            </w:r>
          </w:p>
        </w:tc>
        <w:tc>
          <w:tcPr>
            <w:tcW w:w="280" w:type="dxa"/>
            <w:vAlign w:val="bottom"/>
          </w:tcPr>
          <w:p>
            <w:pPr>
              <w:spacing w:after="0"/>
              <w:rPr>
                <w:sz w:val="11"/>
                <w:szCs w:val="11"/>
                <w:color w:val="auto"/>
              </w:rPr>
            </w:pPr>
          </w:p>
        </w:tc>
        <w:tc>
          <w:tcPr>
            <w:tcW w:w="10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5,110,409</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tcPr>
          <w:p>
            <w:pPr>
              <w:jc w:val="center"/>
              <w:ind w:left="52"/>
              <w:spacing w:after="0" w:line="159" w:lineRule="exact"/>
              <w:rPr>
                <w:sz w:val="20"/>
                <w:szCs w:val="20"/>
                <w:color w:val="auto"/>
              </w:rPr>
            </w:pPr>
            <w:r>
              <w:rPr>
                <w:rFonts w:ascii="Arial" w:cs="Arial" w:eastAsia="Arial" w:hAnsi="Arial"/>
                <w:sz w:val="14"/>
                <w:szCs w:val="14"/>
                <w:color w:val="auto"/>
                <w:w w:val="87"/>
              </w:rPr>
              <w:t>Childcare</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Inc.</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04/27/2016</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9"/>
              </w:rPr>
              <w:t>Education</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12.00%</w:t>
            </w:r>
          </w:p>
        </w:tc>
        <w:tc>
          <w:tcPr>
            <w:tcW w:w="10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26,052,632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25,640,832</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25,857,237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Penton Media, Inc.</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08/01/2014</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8"/>
              </w:rPr>
              <w:t>Other Media</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5.00%</w:t>
            </w:r>
          </w:p>
        </w:tc>
        <w:tc>
          <w:tcPr>
            <w:tcW w:w="1000" w:type="dxa"/>
            <w:vAlign w:val="bottom"/>
          </w:tcPr>
          <w:p>
            <w:pPr>
              <w:jc w:val="right"/>
              <w:ind w:right="79"/>
              <w:spacing w:after="0" w:line="138" w:lineRule="exact"/>
              <w:rPr>
                <w:sz w:val="20"/>
                <w:szCs w:val="20"/>
                <w:color w:val="auto"/>
              </w:rPr>
            </w:pPr>
            <w:r>
              <w:rPr>
                <w:rFonts w:ascii="Arial" w:cs="Arial" w:eastAsia="Arial" w:hAnsi="Arial"/>
                <w:sz w:val="10"/>
                <w:szCs w:val="10"/>
                <w:color w:val="auto"/>
              </w:rPr>
              <w:t>L+400</w:t>
            </w:r>
            <w:r>
              <w:rPr>
                <w:rFonts w:ascii="Arial" w:cs="Arial" w:eastAsia="Arial" w:hAnsi="Arial"/>
                <w:sz w:val="15"/>
                <w:szCs w:val="15"/>
                <w:color w:val="auto"/>
                <w:vertAlign w:val="superscript"/>
              </w:rPr>
              <w:t>(8)</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37,775,294</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33,971,917</w:t>
            </w:r>
          </w:p>
        </w:tc>
        <w:tc>
          <w:tcPr>
            <w:tcW w:w="2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30,503,550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rPr>
              <w:t>(PIK 1.00%)</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Pre-Paid Legal Services, Inc., Tranche A</w:t>
            </w:r>
          </w:p>
        </w:tc>
        <w:tc>
          <w:tcPr>
            <w:tcW w:w="1360" w:type="dxa"/>
            <w:vAlign w:val="bottom"/>
            <w:shd w:val="clear" w:color="auto" w:fill="CCEEFF"/>
          </w:tcPr>
          <w:p>
            <w:pPr>
              <w:jc w:val="right"/>
              <w:ind w:right="132"/>
              <w:spacing w:after="0" w:line="139" w:lineRule="exact"/>
              <w:rPr>
                <w:sz w:val="20"/>
                <w:szCs w:val="20"/>
                <w:color w:val="auto"/>
              </w:rPr>
            </w:pPr>
            <w:r>
              <w:rPr>
                <w:rFonts w:ascii="Arial" w:cs="Arial" w:eastAsia="Arial" w:hAnsi="Arial"/>
                <w:sz w:val="14"/>
                <w:szCs w:val="14"/>
                <w:color w:val="auto"/>
              </w:rPr>
              <w:t>12/30/2016</w:t>
            </w:r>
          </w:p>
        </w:tc>
        <w:tc>
          <w:tcPr>
            <w:tcW w:w="1800" w:type="dxa"/>
            <w:vAlign w:val="bottom"/>
            <w:shd w:val="clear" w:color="auto" w:fill="CCEEFF"/>
          </w:tcPr>
          <w:p>
            <w:pPr>
              <w:jc w:val="center"/>
              <w:ind w:left="52"/>
              <w:spacing w:after="0" w:line="139" w:lineRule="exact"/>
              <w:rPr>
                <w:sz w:val="20"/>
                <w:szCs w:val="20"/>
                <w:color w:val="auto"/>
              </w:rPr>
            </w:pPr>
            <w:r>
              <w:rPr>
                <w:rFonts w:ascii="Arial" w:cs="Arial" w:eastAsia="Arial" w:hAnsi="Arial"/>
                <w:sz w:val="14"/>
                <w:szCs w:val="14"/>
                <w:color w:val="auto"/>
                <w:w w:val="85"/>
              </w:rPr>
              <w:t>Personal, Food and</w:t>
            </w:r>
          </w:p>
        </w:tc>
        <w:tc>
          <w:tcPr>
            <w:tcW w:w="90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7.50%</w:t>
            </w:r>
          </w:p>
        </w:tc>
        <w:tc>
          <w:tcPr>
            <w:tcW w:w="1000" w:type="dxa"/>
            <w:vAlign w:val="bottom"/>
            <w:shd w:val="clear" w:color="auto" w:fill="CCEEFF"/>
          </w:tcPr>
          <w:p>
            <w:pPr>
              <w:jc w:val="right"/>
              <w:ind w:right="79"/>
              <w:spacing w:after="0" w:line="138" w:lineRule="exact"/>
              <w:rPr>
                <w:sz w:val="20"/>
                <w:szCs w:val="20"/>
                <w:color w:val="auto"/>
              </w:rPr>
            </w:pPr>
            <w:r>
              <w:rPr>
                <w:rFonts w:ascii="Arial" w:cs="Arial" w:eastAsia="Arial" w:hAnsi="Arial"/>
                <w:sz w:val="11"/>
                <w:szCs w:val="11"/>
                <w:color w:val="auto"/>
              </w:rPr>
              <w:t>L+600</w:t>
            </w:r>
            <w:r>
              <w:rPr>
                <w:rFonts w:ascii="Arial" w:cs="Arial" w:eastAsia="Arial" w:hAnsi="Arial"/>
                <w:sz w:val="16"/>
                <w:szCs w:val="16"/>
                <w:color w:val="auto"/>
                <w:vertAlign w:val="superscript"/>
              </w:rPr>
              <w:t>(8)</w:t>
            </w:r>
          </w:p>
        </w:tc>
        <w:tc>
          <w:tcPr>
            <w:tcW w:w="1180" w:type="dxa"/>
            <w:vAlign w:val="bottom"/>
            <w:shd w:val="clear" w:color="auto" w:fill="CCEEFF"/>
          </w:tcPr>
          <w:p>
            <w:pPr>
              <w:jc w:val="right"/>
              <w:ind w:right="352"/>
              <w:spacing w:after="0" w:line="139" w:lineRule="exact"/>
              <w:rPr>
                <w:sz w:val="20"/>
                <w:szCs w:val="20"/>
                <w:color w:val="auto"/>
              </w:rPr>
            </w:pPr>
            <w:r>
              <w:rPr>
                <w:rFonts w:ascii="Arial" w:cs="Arial" w:eastAsia="Arial" w:hAnsi="Arial"/>
                <w:sz w:val="14"/>
                <w:szCs w:val="14"/>
                <w:color w:val="auto"/>
              </w:rPr>
              <w:t>1,552,846</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1,533,687</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1,556,728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52"/>
              <w:spacing w:after="0" w:line="159" w:lineRule="exact"/>
              <w:rPr>
                <w:sz w:val="20"/>
                <w:szCs w:val="20"/>
                <w:color w:val="auto"/>
              </w:rPr>
            </w:pPr>
            <w:r>
              <w:rPr>
                <w:rFonts w:ascii="Arial" w:cs="Arial" w:eastAsia="Arial" w:hAnsi="Arial"/>
                <w:sz w:val="14"/>
                <w:szCs w:val="14"/>
                <w:color w:val="auto"/>
                <w:w w:val="87"/>
              </w:rPr>
              <w:t>Miscellaneous Services</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Pre-Paid Legal Services, Inc., Tranche B</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12/30/2016</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5"/>
              </w:rPr>
              <w:t>Personal, Food and</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11.00%</w:t>
            </w:r>
          </w:p>
        </w:tc>
        <w:tc>
          <w:tcPr>
            <w:tcW w:w="1000" w:type="dxa"/>
            <w:vAlign w:val="bottom"/>
          </w:tcPr>
          <w:p>
            <w:pPr>
              <w:jc w:val="right"/>
              <w:ind w:right="79"/>
              <w:spacing w:after="0" w:line="138" w:lineRule="exact"/>
              <w:rPr>
                <w:sz w:val="20"/>
                <w:szCs w:val="20"/>
                <w:color w:val="auto"/>
              </w:rPr>
            </w:pPr>
            <w:r>
              <w:rPr>
                <w:rFonts w:ascii="Arial" w:cs="Arial" w:eastAsia="Arial" w:hAnsi="Arial"/>
                <w:sz w:val="10"/>
                <w:szCs w:val="10"/>
                <w:color w:val="auto"/>
              </w:rPr>
              <w:t>L+950</w:t>
            </w:r>
            <w:r>
              <w:rPr>
                <w:rFonts w:ascii="Arial" w:cs="Arial" w:eastAsia="Arial" w:hAnsi="Arial"/>
                <w:sz w:val="15"/>
                <w:szCs w:val="15"/>
                <w:color w:val="auto"/>
                <w:vertAlign w:val="superscript"/>
              </w:rPr>
              <w:t>(8)</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35,000,000</w:t>
            </w:r>
          </w:p>
        </w:tc>
        <w:tc>
          <w:tcPr>
            <w:tcW w:w="108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34,118,800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35,350,000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tcPr>
          <w:p>
            <w:pPr>
              <w:jc w:val="center"/>
              <w:ind w:left="52"/>
              <w:spacing w:after="0" w:line="159" w:lineRule="exact"/>
              <w:rPr>
                <w:sz w:val="20"/>
                <w:szCs w:val="20"/>
                <w:color w:val="auto"/>
              </w:rPr>
            </w:pPr>
            <w:r>
              <w:rPr>
                <w:rFonts w:ascii="Arial" w:cs="Arial" w:eastAsia="Arial" w:hAnsi="Arial"/>
                <w:sz w:val="14"/>
                <w:szCs w:val="14"/>
                <w:color w:val="auto"/>
                <w:w w:val="87"/>
              </w:rPr>
              <w:t>Miscellaneous Services</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Questex Media Group LLC</w:t>
            </w:r>
            <w:r>
              <w:rPr>
                <w:rFonts w:ascii="Arial" w:cs="Arial" w:eastAsia="Arial" w:hAnsi="Arial"/>
                <w:sz w:val="17"/>
                <w:szCs w:val="17"/>
                <w:color w:val="auto"/>
                <w:vertAlign w:val="superscript"/>
              </w:rPr>
              <w:t>(9)</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12/16/2012</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8"/>
              </w:rPr>
              <w:t>Other Media</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1.36%</w:t>
            </w:r>
          </w:p>
        </w:tc>
        <w:tc>
          <w:tcPr>
            <w:tcW w:w="10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133,603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133,603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060" w:type="dxa"/>
            <w:vAlign w:val="bottom"/>
          </w:tcPr>
          <w:p>
            <w:pPr>
              <w:spacing w:after="0" w:line="122" w:lineRule="exact"/>
              <w:rPr>
                <w:sz w:val="20"/>
                <w:szCs w:val="20"/>
                <w:color w:val="auto"/>
              </w:rPr>
            </w:pPr>
            <w:r>
              <w:rPr>
                <w:rFonts w:ascii="Arial" w:cs="Arial" w:eastAsia="Arial" w:hAnsi="Arial"/>
                <w:sz w:val="14"/>
                <w:szCs w:val="14"/>
                <w:color w:val="auto"/>
              </w:rPr>
              <w:t>Tekelec Global Inc. (First Out)</w:t>
            </w:r>
          </w:p>
        </w:tc>
        <w:tc>
          <w:tcPr>
            <w:tcW w:w="1360" w:type="dxa"/>
            <w:vAlign w:val="bottom"/>
          </w:tcPr>
          <w:p>
            <w:pPr>
              <w:jc w:val="right"/>
              <w:ind w:right="132"/>
              <w:spacing w:after="0" w:line="122" w:lineRule="exact"/>
              <w:rPr>
                <w:sz w:val="20"/>
                <w:szCs w:val="20"/>
                <w:color w:val="auto"/>
              </w:rPr>
            </w:pPr>
            <w:r>
              <w:rPr>
                <w:rFonts w:ascii="Arial" w:cs="Arial" w:eastAsia="Arial" w:hAnsi="Arial"/>
                <w:sz w:val="14"/>
                <w:szCs w:val="14"/>
                <w:color w:val="auto"/>
              </w:rPr>
              <w:t>01/29/2018</w:t>
            </w:r>
          </w:p>
        </w:tc>
        <w:tc>
          <w:tcPr>
            <w:tcW w:w="1800" w:type="dxa"/>
            <w:vAlign w:val="bottom"/>
          </w:tcPr>
          <w:p>
            <w:pPr>
              <w:jc w:val="center"/>
              <w:ind w:left="52"/>
              <w:spacing w:after="0" w:line="122" w:lineRule="exact"/>
              <w:rPr>
                <w:sz w:val="20"/>
                <w:szCs w:val="20"/>
                <w:color w:val="auto"/>
              </w:rPr>
            </w:pPr>
            <w:r>
              <w:rPr>
                <w:rFonts w:ascii="Arial" w:cs="Arial" w:eastAsia="Arial" w:hAnsi="Arial"/>
                <w:sz w:val="14"/>
                <w:szCs w:val="14"/>
                <w:color w:val="auto"/>
                <w:w w:val="87"/>
              </w:rPr>
              <w:t>Telecommunications</w:t>
            </w:r>
          </w:p>
        </w:tc>
        <w:tc>
          <w:tcPr>
            <w:tcW w:w="900" w:type="dxa"/>
            <w:vAlign w:val="bottom"/>
          </w:tcPr>
          <w:p>
            <w:pPr>
              <w:jc w:val="right"/>
              <w:ind w:right="52"/>
              <w:spacing w:after="0" w:line="122" w:lineRule="exact"/>
              <w:rPr>
                <w:sz w:val="20"/>
                <w:szCs w:val="20"/>
                <w:color w:val="auto"/>
              </w:rPr>
            </w:pPr>
            <w:r>
              <w:rPr>
                <w:rFonts w:ascii="Arial" w:cs="Arial" w:eastAsia="Arial" w:hAnsi="Arial"/>
                <w:sz w:val="14"/>
                <w:szCs w:val="14"/>
                <w:color w:val="auto"/>
              </w:rPr>
              <w:t>9.00%</w:t>
            </w:r>
          </w:p>
        </w:tc>
        <w:tc>
          <w:tcPr>
            <w:tcW w:w="1000" w:type="dxa"/>
            <w:vAlign w:val="bottom"/>
          </w:tcPr>
          <w:p>
            <w:pPr>
              <w:jc w:val="right"/>
              <w:ind w:right="79"/>
              <w:spacing w:after="0" w:line="122" w:lineRule="exact"/>
              <w:rPr>
                <w:sz w:val="20"/>
                <w:szCs w:val="20"/>
                <w:color w:val="auto"/>
              </w:rPr>
            </w:pPr>
            <w:r>
              <w:rPr>
                <w:rFonts w:ascii="Arial" w:cs="Arial" w:eastAsia="Arial" w:hAnsi="Arial"/>
                <w:sz w:val="10"/>
                <w:szCs w:val="10"/>
                <w:color w:val="auto"/>
              </w:rPr>
              <w:t>L+750</w:t>
            </w:r>
            <w:r>
              <w:rPr>
                <w:rFonts w:ascii="Arial" w:cs="Arial" w:eastAsia="Arial" w:hAnsi="Arial"/>
                <w:sz w:val="14"/>
                <w:szCs w:val="14"/>
                <w:color w:val="auto"/>
                <w:vertAlign w:val="superscript"/>
              </w:rPr>
              <w:t>(8)</w:t>
            </w:r>
          </w:p>
        </w:tc>
        <w:tc>
          <w:tcPr>
            <w:tcW w:w="1180" w:type="dxa"/>
            <w:vAlign w:val="bottom"/>
          </w:tcPr>
          <w:p>
            <w:pPr>
              <w:jc w:val="right"/>
              <w:ind w:right="352"/>
              <w:spacing w:after="0" w:line="122" w:lineRule="exact"/>
              <w:rPr>
                <w:sz w:val="20"/>
                <w:szCs w:val="20"/>
                <w:color w:val="auto"/>
              </w:rPr>
            </w:pPr>
            <w:r>
              <w:rPr>
                <w:rFonts w:ascii="Arial" w:cs="Arial" w:eastAsia="Arial" w:hAnsi="Arial"/>
                <w:sz w:val="14"/>
                <w:szCs w:val="14"/>
                <w:color w:val="auto"/>
              </w:rPr>
              <w:t>850,000</w:t>
            </w:r>
          </w:p>
        </w:tc>
        <w:tc>
          <w:tcPr>
            <w:tcW w:w="800" w:type="dxa"/>
            <w:vAlign w:val="bottom"/>
          </w:tcPr>
          <w:p>
            <w:pPr>
              <w:jc w:val="right"/>
              <w:spacing w:after="0" w:line="122" w:lineRule="exact"/>
              <w:rPr>
                <w:sz w:val="20"/>
                <w:szCs w:val="20"/>
                <w:color w:val="auto"/>
              </w:rPr>
            </w:pPr>
            <w:r>
              <w:rPr>
                <w:rFonts w:ascii="Arial" w:cs="Arial" w:eastAsia="Arial" w:hAnsi="Arial"/>
                <w:sz w:val="14"/>
                <w:szCs w:val="14"/>
                <w:color w:val="auto"/>
              </w:rPr>
              <w:t>838,369</w:t>
            </w:r>
          </w:p>
        </w:tc>
        <w:tc>
          <w:tcPr>
            <w:tcW w:w="2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4"/>
                <w:szCs w:val="14"/>
                <w:color w:val="auto"/>
              </w:rPr>
              <w:t>850,000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01/29/2018</w:t>
            </w: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7"/>
              </w:rPr>
              <w:t>Telecommunications</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13.50%</w:t>
            </w:r>
          </w:p>
        </w:tc>
        <w:tc>
          <w:tcPr>
            <w:tcW w:w="1000" w:type="dxa"/>
            <w:vAlign w:val="bottom"/>
          </w:tcPr>
          <w:p>
            <w:pPr>
              <w:jc w:val="right"/>
              <w:ind w:right="79"/>
              <w:spacing w:after="0" w:line="149" w:lineRule="exact"/>
              <w:rPr>
                <w:sz w:val="20"/>
                <w:szCs w:val="20"/>
                <w:color w:val="auto"/>
              </w:rPr>
            </w:pPr>
            <w:r>
              <w:rPr>
                <w:rFonts w:ascii="Arial" w:cs="Arial" w:eastAsia="Arial" w:hAnsi="Arial"/>
                <w:sz w:val="11"/>
                <w:szCs w:val="11"/>
                <w:color w:val="auto"/>
              </w:rPr>
              <w:t>L+1,200</w:t>
            </w:r>
            <w:r>
              <w:rPr>
                <w:rFonts w:ascii="Arial" w:cs="Arial" w:eastAsia="Arial" w:hAnsi="Arial"/>
                <w:sz w:val="17"/>
                <w:szCs w:val="17"/>
                <w:color w:val="auto"/>
                <w:vertAlign w:val="superscript"/>
              </w:rPr>
              <w:t>(8)</w:t>
            </w:r>
          </w:p>
        </w:tc>
        <w:tc>
          <w:tcPr>
            <w:tcW w:w="11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10,625,000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10,338,450</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10,848,126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Arial" w:cs="Arial" w:eastAsia="Arial" w:hAnsi="Arial"/>
                <w:sz w:val="14"/>
                <w:szCs w:val="14"/>
                <w:color w:val="auto"/>
              </w:rPr>
              <w:t>Worley Claims Services, LLC</w:t>
            </w:r>
          </w:p>
        </w:tc>
        <w:tc>
          <w:tcPr>
            <w:tcW w:w="1360" w:type="dxa"/>
            <w:vAlign w:val="bottom"/>
          </w:tcPr>
          <w:p>
            <w:pPr>
              <w:jc w:val="right"/>
              <w:ind w:right="132"/>
              <w:spacing w:after="0"/>
              <w:rPr>
                <w:sz w:val="20"/>
                <w:szCs w:val="20"/>
                <w:color w:val="auto"/>
              </w:rPr>
            </w:pPr>
            <w:r>
              <w:rPr>
                <w:rFonts w:ascii="Arial" w:cs="Arial" w:eastAsia="Arial" w:hAnsi="Arial"/>
                <w:sz w:val="14"/>
                <w:szCs w:val="14"/>
                <w:color w:val="auto"/>
              </w:rPr>
              <w:t>07/06/2017</w:t>
            </w:r>
          </w:p>
        </w:tc>
        <w:tc>
          <w:tcPr>
            <w:tcW w:w="1800" w:type="dxa"/>
            <w:vAlign w:val="bottom"/>
          </w:tcPr>
          <w:p>
            <w:pPr>
              <w:jc w:val="center"/>
              <w:ind w:left="52"/>
              <w:spacing w:after="0"/>
              <w:rPr>
                <w:sz w:val="20"/>
                <w:szCs w:val="20"/>
                <w:color w:val="auto"/>
              </w:rPr>
            </w:pPr>
            <w:r>
              <w:rPr>
                <w:rFonts w:ascii="Arial" w:cs="Arial" w:eastAsia="Arial" w:hAnsi="Arial"/>
                <w:sz w:val="14"/>
                <w:szCs w:val="14"/>
                <w:color w:val="auto"/>
                <w:w w:val="84"/>
              </w:rPr>
              <w:t>Insurance</w:t>
            </w: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12.50%</w:t>
            </w:r>
          </w:p>
        </w:tc>
        <w:tc>
          <w:tcPr>
            <w:tcW w:w="1000" w:type="dxa"/>
            <w:vAlign w:val="bottom"/>
          </w:tcPr>
          <w:p>
            <w:pPr>
              <w:jc w:val="right"/>
              <w:ind w:right="79"/>
              <w:spacing w:after="0" w:line="176" w:lineRule="exact"/>
              <w:rPr>
                <w:sz w:val="20"/>
                <w:szCs w:val="20"/>
                <w:color w:val="auto"/>
              </w:rPr>
            </w:pPr>
            <w:r>
              <w:rPr>
                <w:rFonts w:ascii="Arial" w:cs="Arial" w:eastAsia="Arial" w:hAnsi="Arial"/>
                <w:sz w:val="13"/>
                <w:szCs w:val="13"/>
                <w:color w:val="auto"/>
              </w:rPr>
              <w:t>L+1,100</w:t>
            </w:r>
            <w:r>
              <w:rPr>
                <w:rFonts w:ascii="Arial" w:cs="Arial" w:eastAsia="Arial" w:hAnsi="Arial"/>
                <w:sz w:val="20"/>
                <w:szCs w:val="20"/>
                <w:color w:val="auto"/>
                <w:vertAlign w:val="superscript"/>
              </w:rPr>
              <w:t>(8)</w:t>
            </w:r>
          </w:p>
        </w:tc>
        <w:tc>
          <w:tcPr>
            <w:tcW w:w="1180" w:type="dxa"/>
            <w:vAlign w:val="bottom"/>
          </w:tcPr>
          <w:p>
            <w:pPr>
              <w:jc w:val="right"/>
              <w:ind w:right="352"/>
              <w:spacing w:after="0"/>
              <w:rPr>
                <w:sz w:val="20"/>
                <w:szCs w:val="20"/>
                <w:color w:val="auto"/>
              </w:rPr>
            </w:pPr>
            <w:r>
              <w:rPr>
                <w:rFonts w:ascii="Arial" w:cs="Arial" w:eastAsia="Arial" w:hAnsi="Arial"/>
                <w:sz w:val="14"/>
                <w:szCs w:val="14"/>
                <w:color w:val="auto"/>
              </w:rPr>
              <w:t>14,934,000</w:t>
            </w:r>
          </w:p>
        </w:tc>
        <w:tc>
          <w:tcPr>
            <w:tcW w:w="800" w:type="dxa"/>
            <w:vAlign w:val="bottom"/>
          </w:tcPr>
          <w:p>
            <w:pPr>
              <w:jc w:val="right"/>
              <w:spacing w:after="0"/>
              <w:rPr>
                <w:sz w:val="20"/>
                <w:szCs w:val="20"/>
                <w:color w:val="auto"/>
              </w:rPr>
            </w:pPr>
            <w:r>
              <w:rPr>
                <w:rFonts w:ascii="Arial" w:cs="Arial" w:eastAsia="Arial" w:hAnsi="Arial"/>
                <w:sz w:val="14"/>
                <w:szCs w:val="14"/>
                <w:color w:val="auto"/>
              </w:rPr>
              <w:t>14,934,000</w:t>
            </w: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14,859,330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Yonkers Racing Corp.</w:t>
            </w:r>
            <w:r>
              <w:rPr>
                <w:rFonts w:ascii="Arial" w:cs="Arial" w:eastAsia="Arial" w:hAnsi="Arial"/>
                <w:sz w:val="15"/>
                <w:szCs w:val="15"/>
                <w:color w:val="auto"/>
                <w:vertAlign w:val="superscript"/>
              </w:rPr>
              <w:t>(5)</w:t>
            </w:r>
          </w:p>
        </w:tc>
        <w:tc>
          <w:tcPr>
            <w:tcW w:w="1360" w:type="dxa"/>
            <w:vAlign w:val="bottom"/>
            <w:shd w:val="clear" w:color="auto" w:fill="CCEEFF"/>
          </w:tcPr>
          <w:p>
            <w:pPr>
              <w:jc w:val="right"/>
              <w:ind w:right="132"/>
              <w:spacing w:after="0" w:line="138" w:lineRule="exact"/>
              <w:rPr>
                <w:sz w:val="20"/>
                <w:szCs w:val="20"/>
                <w:color w:val="auto"/>
              </w:rPr>
            </w:pPr>
            <w:r>
              <w:rPr>
                <w:rFonts w:ascii="Arial" w:cs="Arial" w:eastAsia="Arial" w:hAnsi="Arial"/>
                <w:sz w:val="14"/>
                <w:szCs w:val="14"/>
                <w:color w:val="auto"/>
              </w:rPr>
              <w:t>07/15/2016</w:t>
            </w:r>
          </w:p>
        </w:tc>
        <w:tc>
          <w:tcPr>
            <w:tcW w:w="1800" w:type="dxa"/>
            <w:vAlign w:val="bottom"/>
            <w:shd w:val="clear" w:color="auto" w:fill="CCEEFF"/>
          </w:tcPr>
          <w:p>
            <w:pPr>
              <w:jc w:val="center"/>
              <w:ind w:left="52"/>
              <w:spacing w:after="0" w:line="138" w:lineRule="exact"/>
              <w:rPr>
                <w:sz w:val="20"/>
                <w:szCs w:val="20"/>
                <w:color w:val="auto"/>
              </w:rPr>
            </w:pPr>
            <w:r>
              <w:rPr>
                <w:rFonts w:ascii="Arial" w:cs="Arial" w:eastAsia="Arial" w:hAnsi="Arial"/>
                <w:sz w:val="14"/>
                <w:szCs w:val="14"/>
                <w:color w:val="auto"/>
                <w:w w:val="87"/>
              </w:rPr>
              <w:t>Hotels, Motels, Inns and</w:t>
            </w:r>
          </w:p>
        </w:tc>
        <w:tc>
          <w:tcPr>
            <w:tcW w:w="900" w:type="dxa"/>
            <w:vAlign w:val="bottom"/>
            <w:shd w:val="clear" w:color="auto" w:fill="CCEEFF"/>
          </w:tcPr>
          <w:p>
            <w:pPr>
              <w:jc w:val="right"/>
              <w:ind w:right="52"/>
              <w:spacing w:after="0" w:line="138" w:lineRule="exact"/>
              <w:rPr>
                <w:sz w:val="20"/>
                <w:szCs w:val="20"/>
                <w:color w:val="auto"/>
              </w:rPr>
            </w:pPr>
            <w:r>
              <w:rPr>
                <w:rFonts w:ascii="Arial" w:cs="Arial" w:eastAsia="Arial" w:hAnsi="Arial"/>
                <w:sz w:val="14"/>
                <w:szCs w:val="14"/>
                <w:color w:val="auto"/>
              </w:rPr>
              <w:t>11.38%</w:t>
            </w:r>
          </w:p>
        </w:tc>
        <w:tc>
          <w:tcPr>
            <w:tcW w:w="100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38" w:lineRule="exact"/>
              <w:rPr>
                <w:sz w:val="20"/>
                <w:szCs w:val="20"/>
                <w:color w:val="auto"/>
              </w:rPr>
            </w:pPr>
            <w:r>
              <w:rPr>
                <w:rFonts w:ascii="Arial" w:cs="Arial" w:eastAsia="Arial" w:hAnsi="Arial"/>
                <w:sz w:val="14"/>
                <w:szCs w:val="14"/>
                <w:color w:val="auto"/>
              </w:rPr>
              <w:t>4,500,000</w:t>
            </w: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4,401,515</w:t>
            </w:r>
          </w:p>
        </w:tc>
        <w:tc>
          <w:tcPr>
            <w:tcW w:w="2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4,860,000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800" w:type="dxa"/>
            <w:vAlign w:val="bottom"/>
            <w:shd w:val="clear" w:color="auto" w:fill="CCEEFF"/>
          </w:tcPr>
          <w:p>
            <w:pPr>
              <w:jc w:val="center"/>
              <w:ind w:left="52"/>
              <w:spacing w:after="0" w:line="159" w:lineRule="exact"/>
              <w:rPr>
                <w:sz w:val="20"/>
                <w:szCs w:val="20"/>
                <w:color w:val="auto"/>
              </w:rPr>
            </w:pPr>
            <w:r>
              <w:rPr>
                <w:rFonts w:ascii="Arial" w:cs="Arial" w:eastAsia="Arial" w:hAnsi="Arial"/>
                <w:sz w:val="14"/>
                <w:szCs w:val="14"/>
                <w:color w:val="auto"/>
                <w:w w:val="89"/>
              </w:rPr>
              <w:t>Gaming</w:t>
            </w:r>
          </w:p>
        </w:tc>
        <w:tc>
          <w:tcPr>
            <w:tcW w:w="9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277,427,564</w:t>
            </w:r>
          </w:p>
        </w:tc>
        <w:tc>
          <w:tcPr>
            <w:tcW w:w="280" w:type="dxa"/>
            <w:vAlign w:val="bottom"/>
          </w:tcPr>
          <w:p>
            <w:pPr>
              <w:spacing w:after="0"/>
              <w:rPr>
                <w:sz w:val="14"/>
                <w:szCs w:val="14"/>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278,960,887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Debt—25.3%</w:t>
            </w:r>
          </w:p>
        </w:tc>
        <w:tc>
          <w:tcPr>
            <w:tcW w:w="136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0"/>
                <w:szCs w:val="10"/>
                <w:color w:val="auto"/>
              </w:rPr>
              <w:t>American Gilsonite Company</w:t>
            </w:r>
            <w:r>
              <w:rPr>
                <w:rFonts w:ascii="Arial" w:cs="Arial" w:eastAsia="Arial" w:hAnsi="Arial"/>
                <w:sz w:val="15"/>
                <w:szCs w:val="15"/>
                <w:color w:val="auto"/>
                <w:vertAlign w:val="superscript"/>
              </w:rPr>
              <w:t>(5)</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09/01/2017</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90"/>
              </w:rPr>
              <w:t>Diversified Natural</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100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25,400,000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25,400,000</w:t>
            </w:r>
          </w:p>
        </w:tc>
        <w:tc>
          <w:tcPr>
            <w:tcW w:w="2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26,098,500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0" w:type="dxa"/>
            <w:vAlign w:val="bottom"/>
          </w:tcPr>
          <w:p>
            <w:pPr>
              <w:jc w:val="center"/>
              <w:ind w:left="52"/>
              <w:spacing w:after="0" w:line="149" w:lineRule="exact"/>
              <w:rPr>
                <w:sz w:val="20"/>
                <w:szCs w:val="20"/>
                <w:color w:val="auto"/>
              </w:rPr>
            </w:pPr>
            <w:r>
              <w:rPr>
                <w:rFonts w:ascii="Arial" w:cs="Arial" w:eastAsia="Arial" w:hAnsi="Arial"/>
                <w:sz w:val="14"/>
                <w:szCs w:val="14"/>
                <w:color w:val="auto"/>
                <w:w w:val="84"/>
              </w:rPr>
              <w:t>Resources, Precious Metals</w:t>
            </w: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00" w:type="dxa"/>
            <w:vAlign w:val="bottom"/>
          </w:tcPr>
          <w:p>
            <w:pPr>
              <w:jc w:val="center"/>
              <w:ind w:left="52"/>
              <w:spacing w:after="0" w:line="159" w:lineRule="exact"/>
              <w:rPr>
                <w:sz w:val="20"/>
                <w:szCs w:val="20"/>
                <w:color w:val="auto"/>
              </w:rPr>
            </w:pPr>
            <w:r>
              <w:rPr>
                <w:rFonts w:ascii="Arial" w:cs="Arial" w:eastAsia="Arial" w:hAnsi="Arial"/>
                <w:sz w:val="14"/>
                <w:szCs w:val="14"/>
                <w:color w:val="auto"/>
                <w:w w:val="89"/>
              </w:rPr>
              <w:t>and Minerals</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02/07/2015</w:t>
            </w:r>
          </w:p>
        </w:tc>
        <w:tc>
          <w:tcPr>
            <w:tcW w:w="18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92"/>
              </w:rPr>
              <w:t>Energy/Utilities</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6.33%</w:t>
            </w:r>
          </w:p>
        </w:tc>
        <w:tc>
          <w:tcPr>
            <w:tcW w:w="1000" w:type="dxa"/>
            <w:vAlign w:val="bottom"/>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L+600</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13,600,000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13,378,432</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12,729,600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Brand Energy and Infrastructure Services, Inc.</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02/07/2015</w:t>
            </w:r>
          </w:p>
        </w:tc>
        <w:tc>
          <w:tcPr>
            <w:tcW w:w="18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2"/>
              </w:rPr>
              <w:t>Energy/Utilities</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7.36%</w:t>
            </w:r>
          </w:p>
        </w:tc>
        <w:tc>
          <w:tcPr>
            <w:tcW w:w="1000" w:type="dxa"/>
            <w:vAlign w:val="bottom"/>
          </w:tcPr>
          <w:p>
            <w:pPr>
              <w:jc w:val="right"/>
              <w:ind w:right="219"/>
              <w:spacing w:after="0" w:line="149" w:lineRule="exact"/>
              <w:rPr>
                <w:sz w:val="20"/>
                <w:szCs w:val="20"/>
                <w:color w:val="auto"/>
              </w:rPr>
            </w:pPr>
            <w:r>
              <w:rPr>
                <w:rFonts w:ascii="Arial" w:cs="Arial" w:eastAsia="Arial" w:hAnsi="Arial"/>
                <w:sz w:val="14"/>
                <w:szCs w:val="14"/>
                <w:color w:val="auto"/>
              </w:rPr>
              <w:t>L+700</w:t>
            </w:r>
          </w:p>
        </w:tc>
        <w:tc>
          <w:tcPr>
            <w:tcW w:w="11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12,000,000</w:t>
            </w:r>
          </w:p>
        </w:tc>
        <w:tc>
          <w:tcPr>
            <w:tcW w:w="10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11,866,485</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11,232,000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DirectBuy Holdings, Inc.</w:t>
            </w:r>
            <w:r>
              <w:rPr>
                <w:rFonts w:ascii="Arial" w:cs="Arial" w:eastAsia="Arial" w:hAnsi="Arial"/>
                <w:sz w:val="17"/>
                <w:szCs w:val="17"/>
                <w:color w:val="auto"/>
                <w:vertAlign w:val="superscript"/>
              </w:rPr>
              <w:t>(5), (6)</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02/01/2017</w:t>
            </w:r>
          </w:p>
        </w:tc>
        <w:tc>
          <w:tcPr>
            <w:tcW w:w="1800" w:type="dxa"/>
            <w:vAlign w:val="bottom"/>
            <w:shd w:val="clear" w:color="auto" w:fill="CCEEFF"/>
          </w:tcPr>
          <w:p>
            <w:pPr>
              <w:jc w:val="center"/>
              <w:ind w:left="72"/>
              <w:spacing w:after="0" w:line="149" w:lineRule="exact"/>
              <w:rPr>
                <w:sz w:val="20"/>
                <w:szCs w:val="20"/>
                <w:color w:val="auto"/>
              </w:rPr>
            </w:pPr>
            <w:r>
              <w:rPr>
                <w:rFonts w:ascii="Arial" w:cs="Arial" w:eastAsia="Arial" w:hAnsi="Arial"/>
                <w:sz w:val="14"/>
                <w:szCs w:val="14"/>
                <w:color w:val="auto"/>
                <w:w w:val="85"/>
              </w:rPr>
              <w:t>Consumer Products</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12.00%</w:t>
            </w:r>
          </w:p>
        </w:tc>
        <w:tc>
          <w:tcPr>
            <w:tcW w:w="100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34,000,000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31,964,822</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10,880,000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line="149" w:lineRule="exact"/>
              <w:rPr>
                <w:sz w:val="20"/>
                <w:szCs w:val="20"/>
                <w:color w:val="auto"/>
              </w:rPr>
            </w:pPr>
            <w:r>
              <w:rPr>
                <w:rFonts w:ascii="Arial" w:cs="Arial" w:eastAsia="Arial" w:hAnsi="Arial"/>
                <w:sz w:val="14"/>
                <w:szCs w:val="14"/>
                <w:color w:val="auto"/>
              </w:rPr>
              <w:t>Eureka Hunter Pipeline, LLC</w:t>
            </w:r>
          </w:p>
        </w:tc>
        <w:tc>
          <w:tcPr>
            <w:tcW w:w="13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08/16/2018</w:t>
            </w:r>
          </w:p>
        </w:tc>
        <w:tc>
          <w:tcPr>
            <w:tcW w:w="1800" w:type="dxa"/>
            <w:vAlign w:val="bottom"/>
          </w:tcPr>
          <w:p>
            <w:pPr>
              <w:jc w:val="center"/>
              <w:ind w:left="72"/>
              <w:spacing w:after="0" w:line="149" w:lineRule="exact"/>
              <w:rPr>
                <w:sz w:val="20"/>
                <w:szCs w:val="20"/>
                <w:color w:val="auto"/>
              </w:rPr>
            </w:pPr>
            <w:r>
              <w:rPr>
                <w:rFonts w:ascii="Arial" w:cs="Arial" w:eastAsia="Arial" w:hAnsi="Arial"/>
                <w:sz w:val="14"/>
                <w:szCs w:val="14"/>
                <w:color w:val="auto"/>
                <w:w w:val="92"/>
              </w:rPr>
              <w:t>Energy/Utilities</w:t>
            </w:r>
          </w:p>
        </w:tc>
        <w:tc>
          <w:tcPr>
            <w:tcW w:w="9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12.50%</w:t>
            </w:r>
          </w:p>
        </w:tc>
        <w:tc>
          <w:tcPr>
            <w:tcW w:w="1000" w:type="dxa"/>
            <w:vAlign w:val="bottom"/>
          </w:tcPr>
          <w:p>
            <w:pPr>
              <w:ind w:left="520"/>
              <w:spacing w:after="0" w:line="150" w:lineRule="exact"/>
              <w:rPr>
                <w:sz w:val="20"/>
                <w:szCs w:val="20"/>
                <w:color w:val="auto"/>
              </w:rPr>
            </w:pPr>
            <w:r>
              <w:rPr>
                <w:rFonts w:ascii="Arial" w:cs="Arial" w:eastAsia="Arial" w:hAnsi="Arial"/>
                <w:sz w:val="17"/>
                <w:szCs w:val="17"/>
                <w:color w:val="auto"/>
                <w:vertAlign w:val="superscript"/>
              </w:rPr>
              <w:t>—</w:t>
            </w:r>
            <w:r>
              <w:rPr>
                <w:rFonts w:ascii="Arial" w:cs="Arial" w:eastAsia="Arial" w:hAnsi="Arial"/>
                <w:sz w:val="9"/>
                <w:szCs w:val="9"/>
                <w:color w:val="auto"/>
              </w:rPr>
              <w:t xml:space="preserve"> (8)</w:t>
            </w:r>
          </w:p>
        </w:tc>
        <w:tc>
          <w:tcPr>
            <w:tcW w:w="11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45,000,000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44,543,688</w:t>
            </w: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45,000,000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060" w:type="dxa"/>
            <w:vAlign w:val="bottom"/>
          </w:tcPr>
          <w:p>
            <w:pPr>
              <w:spacing w:after="0" w:line="137" w:lineRule="exact"/>
              <w:rPr>
                <w:sz w:val="20"/>
                <w:szCs w:val="20"/>
                <w:color w:val="auto"/>
              </w:rPr>
            </w:pPr>
            <w:r>
              <w:rPr>
                <w:rFonts w:ascii="Arial" w:cs="Arial" w:eastAsia="Arial" w:hAnsi="Arial"/>
                <w:sz w:val="14"/>
                <w:szCs w:val="14"/>
                <w:color w:val="auto"/>
              </w:rPr>
              <w:t>Greatwide Logistics Services, L.L.C.</w:t>
            </w:r>
          </w:p>
        </w:tc>
        <w:tc>
          <w:tcPr>
            <w:tcW w:w="1360" w:type="dxa"/>
            <w:vAlign w:val="bottom"/>
          </w:tcPr>
          <w:p>
            <w:pPr>
              <w:jc w:val="right"/>
              <w:ind w:right="132"/>
              <w:spacing w:after="0" w:line="137" w:lineRule="exact"/>
              <w:rPr>
                <w:sz w:val="20"/>
                <w:szCs w:val="20"/>
                <w:color w:val="auto"/>
              </w:rPr>
            </w:pPr>
            <w:r>
              <w:rPr>
                <w:rFonts w:ascii="Arial" w:cs="Arial" w:eastAsia="Arial" w:hAnsi="Arial"/>
                <w:sz w:val="14"/>
                <w:szCs w:val="14"/>
                <w:color w:val="auto"/>
              </w:rPr>
              <w:t>03/01/2014</w:t>
            </w:r>
          </w:p>
        </w:tc>
        <w:tc>
          <w:tcPr>
            <w:tcW w:w="1800" w:type="dxa"/>
            <w:vAlign w:val="bottom"/>
          </w:tcPr>
          <w:p>
            <w:pPr>
              <w:jc w:val="center"/>
              <w:ind w:left="52"/>
              <w:spacing w:after="0" w:line="137" w:lineRule="exact"/>
              <w:rPr>
                <w:sz w:val="20"/>
                <w:szCs w:val="20"/>
                <w:color w:val="auto"/>
              </w:rPr>
            </w:pPr>
            <w:r>
              <w:rPr>
                <w:rFonts w:ascii="Arial" w:cs="Arial" w:eastAsia="Arial" w:hAnsi="Arial"/>
                <w:sz w:val="14"/>
                <w:szCs w:val="14"/>
                <w:color w:val="auto"/>
                <w:w w:val="86"/>
              </w:rPr>
              <w:t>Cargo Transport</w:t>
            </w:r>
          </w:p>
        </w:tc>
        <w:tc>
          <w:tcPr>
            <w:tcW w:w="900" w:type="dxa"/>
            <w:vAlign w:val="bottom"/>
          </w:tcPr>
          <w:p>
            <w:pPr>
              <w:jc w:val="right"/>
              <w:ind w:right="52"/>
              <w:spacing w:after="0" w:line="137" w:lineRule="exact"/>
              <w:rPr>
                <w:sz w:val="20"/>
                <w:szCs w:val="20"/>
                <w:color w:val="auto"/>
              </w:rPr>
            </w:pPr>
            <w:r>
              <w:rPr>
                <w:rFonts w:ascii="Arial" w:cs="Arial" w:eastAsia="Arial" w:hAnsi="Arial"/>
                <w:sz w:val="14"/>
                <w:szCs w:val="14"/>
                <w:color w:val="auto"/>
              </w:rPr>
              <w:t>11.00%</w:t>
            </w:r>
          </w:p>
        </w:tc>
        <w:tc>
          <w:tcPr>
            <w:tcW w:w="1000" w:type="dxa"/>
            <w:vAlign w:val="bottom"/>
          </w:tcPr>
          <w:p>
            <w:pPr>
              <w:jc w:val="right"/>
              <w:ind w:right="219"/>
              <w:spacing w:after="0" w:line="137" w:lineRule="exact"/>
              <w:rPr>
                <w:sz w:val="20"/>
                <w:szCs w:val="20"/>
                <w:color w:val="auto"/>
              </w:rPr>
            </w:pPr>
            <w:r>
              <w:rPr>
                <w:rFonts w:ascii="Arial" w:cs="Arial" w:eastAsia="Arial" w:hAnsi="Arial"/>
                <w:sz w:val="14"/>
                <w:szCs w:val="14"/>
                <w:color w:val="auto"/>
              </w:rPr>
              <w:t>L+700</w:t>
            </w:r>
          </w:p>
        </w:tc>
        <w:tc>
          <w:tcPr>
            <w:tcW w:w="1180" w:type="dxa"/>
            <w:vAlign w:val="bottom"/>
          </w:tcPr>
          <w:p>
            <w:pPr>
              <w:jc w:val="right"/>
              <w:ind w:right="352"/>
              <w:spacing w:after="0" w:line="137" w:lineRule="exact"/>
              <w:rPr>
                <w:sz w:val="20"/>
                <w:szCs w:val="20"/>
                <w:color w:val="auto"/>
              </w:rPr>
            </w:pPr>
            <w:r>
              <w:rPr>
                <w:rFonts w:ascii="Arial" w:cs="Arial" w:eastAsia="Arial" w:hAnsi="Arial"/>
                <w:sz w:val="14"/>
                <w:szCs w:val="14"/>
                <w:color w:val="auto"/>
              </w:rPr>
              <w:t>3,184,219</w:t>
            </w:r>
          </w:p>
        </w:tc>
        <w:tc>
          <w:tcPr>
            <w:tcW w:w="800" w:type="dxa"/>
            <w:vAlign w:val="bottom"/>
          </w:tcPr>
          <w:p>
            <w:pPr>
              <w:jc w:val="right"/>
              <w:spacing w:after="0" w:line="137" w:lineRule="exact"/>
              <w:rPr>
                <w:sz w:val="20"/>
                <w:szCs w:val="20"/>
                <w:color w:val="auto"/>
              </w:rPr>
            </w:pPr>
            <w:r>
              <w:rPr>
                <w:rFonts w:ascii="Arial" w:cs="Arial" w:eastAsia="Arial" w:hAnsi="Arial"/>
                <w:sz w:val="14"/>
                <w:szCs w:val="14"/>
                <w:color w:val="auto"/>
              </w:rPr>
              <w:t>3,184,222</w:t>
            </w:r>
          </w:p>
        </w:tc>
        <w:tc>
          <w:tcPr>
            <w:tcW w:w="280" w:type="dxa"/>
            <w:vAlign w:val="bottom"/>
          </w:tcPr>
          <w:p>
            <w:pPr>
              <w:spacing w:after="0"/>
              <w:rPr>
                <w:sz w:val="11"/>
                <w:szCs w:val="11"/>
                <w:color w:val="auto"/>
              </w:rPr>
            </w:pPr>
          </w:p>
        </w:tc>
        <w:tc>
          <w:tcPr>
            <w:tcW w:w="800" w:type="dxa"/>
            <w:vAlign w:val="bottom"/>
          </w:tcPr>
          <w:p>
            <w:pPr>
              <w:jc w:val="right"/>
              <w:spacing w:after="0" w:line="137" w:lineRule="exact"/>
              <w:rPr>
                <w:sz w:val="20"/>
                <w:szCs w:val="20"/>
                <w:color w:val="auto"/>
              </w:rPr>
            </w:pPr>
            <w:r>
              <w:rPr>
                <w:rFonts w:ascii="Arial" w:cs="Arial" w:eastAsia="Arial" w:hAnsi="Arial"/>
                <w:sz w:val="14"/>
                <w:szCs w:val="14"/>
                <w:color w:val="auto"/>
              </w:rPr>
              <w:t>2,292,640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w w:val="96"/>
              </w:rPr>
              <w:t>(PIK 11.00%)</w:t>
            </w: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color w:val="auto"/>
              </w:rPr>
              <w:t>L+1,100</w:t>
            </w:r>
            <w:r>
              <w:rPr>
                <w:rFonts w:ascii="Arial" w:cs="Arial" w:eastAsia="Arial" w:hAnsi="Arial"/>
                <w:sz w:val="22"/>
                <w:szCs w:val="22"/>
                <w:color w:val="auto"/>
                <w:vertAlign w:val="superscript"/>
              </w:rPr>
              <w:t>(8)</w:t>
            </w: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tcPr>
          <w:p>
            <w:pPr>
              <w:spacing w:after="0" w:line="139" w:lineRule="exact"/>
              <w:rPr>
                <w:sz w:val="20"/>
                <w:szCs w:val="20"/>
                <w:color w:val="auto"/>
              </w:rPr>
            </w:pPr>
            <w:r>
              <w:rPr>
                <w:rFonts w:ascii="Arial" w:cs="Arial" w:eastAsia="Arial" w:hAnsi="Arial"/>
                <w:sz w:val="14"/>
                <w:szCs w:val="14"/>
                <w:color w:val="auto"/>
              </w:rPr>
              <w:t>Paradigm Management Services, LLC</w:t>
            </w:r>
          </w:p>
        </w:tc>
        <w:tc>
          <w:tcPr>
            <w:tcW w:w="1360" w:type="dxa"/>
            <w:vAlign w:val="bottom"/>
          </w:tcPr>
          <w:p>
            <w:pPr>
              <w:jc w:val="right"/>
              <w:ind w:right="132"/>
              <w:spacing w:after="0" w:line="139" w:lineRule="exact"/>
              <w:rPr>
                <w:sz w:val="20"/>
                <w:szCs w:val="20"/>
                <w:color w:val="auto"/>
              </w:rPr>
            </w:pPr>
            <w:r>
              <w:rPr>
                <w:rFonts w:ascii="Arial" w:cs="Arial" w:eastAsia="Arial" w:hAnsi="Arial"/>
                <w:sz w:val="14"/>
                <w:szCs w:val="14"/>
                <w:color w:val="auto"/>
              </w:rPr>
              <w:t>07/31/2017</w:t>
            </w:r>
          </w:p>
        </w:tc>
        <w:tc>
          <w:tcPr>
            <w:tcW w:w="1800" w:type="dxa"/>
            <w:vAlign w:val="bottom"/>
          </w:tcPr>
          <w:p>
            <w:pPr>
              <w:jc w:val="center"/>
              <w:ind w:left="52"/>
              <w:spacing w:after="0" w:line="139" w:lineRule="exact"/>
              <w:rPr>
                <w:sz w:val="20"/>
                <w:szCs w:val="20"/>
                <w:color w:val="auto"/>
              </w:rPr>
            </w:pPr>
            <w:r>
              <w:rPr>
                <w:rFonts w:ascii="Arial" w:cs="Arial" w:eastAsia="Arial" w:hAnsi="Arial"/>
                <w:sz w:val="14"/>
                <w:szCs w:val="14"/>
                <w:color w:val="auto"/>
                <w:w w:val="87"/>
              </w:rPr>
              <w:t>Healthcare, Education and</w:t>
            </w:r>
          </w:p>
        </w:tc>
        <w:tc>
          <w:tcPr>
            <w:tcW w:w="900" w:type="dxa"/>
            <w:vAlign w:val="bottom"/>
          </w:tcPr>
          <w:p>
            <w:pPr>
              <w:jc w:val="right"/>
              <w:ind w:right="52"/>
              <w:spacing w:after="0" w:line="139" w:lineRule="exact"/>
              <w:rPr>
                <w:sz w:val="20"/>
                <w:szCs w:val="20"/>
                <w:color w:val="auto"/>
              </w:rPr>
            </w:pPr>
            <w:r>
              <w:rPr>
                <w:rFonts w:ascii="Arial" w:cs="Arial" w:eastAsia="Arial" w:hAnsi="Arial"/>
                <w:sz w:val="14"/>
                <w:szCs w:val="14"/>
                <w:color w:val="auto"/>
              </w:rPr>
              <w:t>12.50%</w:t>
            </w:r>
          </w:p>
        </w:tc>
        <w:tc>
          <w:tcPr>
            <w:tcW w:w="1000" w:type="dxa"/>
            <w:vAlign w:val="bottom"/>
            <w:vMerge w:val="continue"/>
          </w:tcPr>
          <w:p>
            <w:pPr>
              <w:spacing w:after="0"/>
              <w:rPr>
                <w:sz w:val="12"/>
                <w:szCs w:val="12"/>
                <w:color w:val="auto"/>
              </w:rPr>
            </w:pPr>
          </w:p>
        </w:tc>
        <w:tc>
          <w:tcPr>
            <w:tcW w:w="1180" w:type="dxa"/>
            <w:vAlign w:val="bottom"/>
          </w:tcPr>
          <w:p>
            <w:pPr>
              <w:jc w:val="right"/>
              <w:ind w:right="352"/>
              <w:spacing w:after="0" w:line="139" w:lineRule="exact"/>
              <w:rPr>
                <w:sz w:val="20"/>
                <w:szCs w:val="20"/>
                <w:color w:val="auto"/>
              </w:rPr>
            </w:pPr>
            <w:r>
              <w:rPr>
                <w:rFonts w:ascii="Arial" w:cs="Arial" w:eastAsia="Arial" w:hAnsi="Arial"/>
                <w:sz w:val="14"/>
                <w:szCs w:val="14"/>
                <w:color w:val="auto"/>
              </w:rPr>
              <w:t>20,512,821</w:t>
            </w: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20,059,979</w:t>
            </w:r>
          </w:p>
        </w:tc>
        <w:tc>
          <w:tcPr>
            <w:tcW w:w="28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color w:val="auto"/>
              </w:rPr>
              <w:t>20,512,821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jc w:val="center"/>
              <w:ind w:left="52"/>
              <w:spacing w:after="0"/>
              <w:rPr>
                <w:sz w:val="20"/>
                <w:szCs w:val="20"/>
                <w:color w:val="auto"/>
              </w:rPr>
            </w:pPr>
            <w:r>
              <w:rPr>
                <w:rFonts w:ascii="Arial" w:cs="Arial" w:eastAsia="Arial" w:hAnsi="Arial"/>
                <w:sz w:val="14"/>
                <w:szCs w:val="14"/>
                <w:color w:val="auto"/>
                <w:w w:val="87"/>
              </w:rPr>
              <w:t>Childcare</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Questex Media Group LLC, Term Loan A</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12/15/2014</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8"/>
              </w:rPr>
              <w:t>Other Media</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9.50%</w:t>
            </w:r>
          </w:p>
        </w:tc>
        <w:tc>
          <w:tcPr>
            <w:tcW w:w="1000" w:type="dxa"/>
            <w:vAlign w:val="bottom"/>
            <w:shd w:val="clear" w:color="auto" w:fill="CCEEFF"/>
          </w:tcPr>
          <w:p>
            <w:pPr>
              <w:jc w:val="right"/>
              <w:ind w:right="79"/>
              <w:spacing w:after="0" w:line="150" w:lineRule="exact"/>
              <w:rPr>
                <w:sz w:val="20"/>
                <w:szCs w:val="20"/>
                <w:color w:val="auto"/>
              </w:rPr>
            </w:pPr>
            <w:r>
              <w:rPr>
                <w:rFonts w:ascii="Arial" w:cs="Arial" w:eastAsia="Arial" w:hAnsi="Arial"/>
                <w:sz w:val="11"/>
                <w:szCs w:val="11"/>
                <w:color w:val="auto"/>
              </w:rPr>
              <w:t>L+650</w:t>
            </w:r>
            <w:r>
              <w:rPr>
                <w:rFonts w:ascii="Arial" w:cs="Arial" w:eastAsia="Arial" w:hAnsi="Arial"/>
                <w:sz w:val="17"/>
                <w:szCs w:val="17"/>
                <w:color w:val="auto"/>
                <w:vertAlign w:val="superscript"/>
              </w:rPr>
              <w:t>(8)</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2,752,666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2,752,666</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2,584,753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Questex Media Group LLC, Term Loan B</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12/15/2015</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88"/>
              </w:rPr>
              <w:t>Other Media</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11.50%</w:t>
            </w:r>
          </w:p>
        </w:tc>
        <w:tc>
          <w:tcPr>
            <w:tcW w:w="1000" w:type="dxa"/>
            <w:vAlign w:val="bottom"/>
          </w:tcPr>
          <w:p>
            <w:pPr>
              <w:jc w:val="right"/>
              <w:ind w:right="79"/>
              <w:spacing w:after="0" w:line="138" w:lineRule="exact"/>
              <w:rPr>
                <w:sz w:val="20"/>
                <w:szCs w:val="20"/>
                <w:color w:val="auto"/>
              </w:rPr>
            </w:pPr>
            <w:r>
              <w:rPr>
                <w:rFonts w:ascii="Arial" w:cs="Arial" w:eastAsia="Arial" w:hAnsi="Arial"/>
                <w:sz w:val="10"/>
                <w:szCs w:val="10"/>
                <w:color w:val="auto"/>
              </w:rPr>
              <w:t>L+850</w:t>
            </w:r>
            <w:r>
              <w:rPr>
                <w:rFonts w:ascii="Arial" w:cs="Arial" w:eastAsia="Arial" w:hAnsi="Arial"/>
                <w:sz w:val="15"/>
                <w:szCs w:val="15"/>
                <w:color w:val="auto"/>
                <w:vertAlign w:val="superscript"/>
              </w:rPr>
              <w:t>(8)</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2,230,508</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2,230,508</w:t>
            </w:r>
          </w:p>
        </w:tc>
        <w:tc>
          <w:tcPr>
            <w:tcW w:w="2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2,002,996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color w:val="auto"/>
                <w:w w:val="96"/>
              </w:rPr>
              <w:t>(PIK 11.50%)</w:t>
            </w: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0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Realogy Corp.</w:t>
            </w:r>
          </w:p>
        </w:tc>
        <w:tc>
          <w:tcPr>
            <w:tcW w:w="1360" w:type="dxa"/>
            <w:vAlign w:val="bottom"/>
            <w:shd w:val="clear" w:color="auto" w:fill="CCEEFF"/>
          </w:tcPr>
          <w:p>
            <w:pPr>
              <w:jc w:val="right"/>
              <w:ind w:right="132"/>
              <w:spacing w:after="0" w:line="139" w:lineRule="exact"/>
              <w:rPr>
                <w:sz w:val="20"/>
                <w:szCs w:val="20"/>
                <w:color w:val="auto"/>
              </w:rPr>
            </w:pPr>
            <w:r>
              <w:rPr>
                <w:rFonts w:ascii="Arial" w:cs="Arial" w:eastAsia="Arial" w:hAnsi="Arial"/>
                <w:sz w:val="14"/>
                <w:szCs w:val="14"/>
                <w:color w:val="auto"/>
              </w:rPr>
              <w:t>10/15/2017</w:t>
            </w:r>
          </w:p>
        </w:tc>
        <w:tc>
          <w:tcPr>
            <w:tcW w:w="1800" w:type="dxa"/>
            <w:vAlign w:val="bottom"/>
            <w:shd w:val="clear" w:color="auto" w:fill="CCEEFF"/>
          </w:tcPr>
          <w:p>
            <w:pPr>
              <w:jc w:val="center"/>
              <w:ind w:left="52"/>
              <w:spacing w:after="0" w:line="139" w:lineRule="exact"/>
              <w:rPr>
                <w:sz w:val="20"/>
                <w:szCs w:val="20"/>
                <w:color w:val="auto"/>
              </w:rPr>
            </w:pPr>
            <w:r>
              <w:rPr>
                <w:rFonts w:ascii="Arial" w:cs="Arial" w:eastAsia="Arial" w:hAnsi="Arial"/>
                <w:sz w:val="14"/>
                <w:szCs w:val="14"/>
                <w:color w:val="auto"/>
                <w:w w:val="89"/>
              </w:rPr>
              <w:t>Buildings and Real</w:t>
            </w:r>
          </w:p>
        </w:tc>
        <w:tc>
          <w:tcPr>
            <w:tcW w:w="900" w:type="dxa"/>
            <w:vAlign w:val="bottom"/>
            <w:shd w:val="clear" w:color="auto" w:fill="CCEEFF"/>
          </w:tcPr>
          <w:p>
            <w:pPr>
              <w:jc w:val="right"/>
              <w:ind w:right="52"/>
              <w:spacing w:after="0" w:line="139" w:lineRule="exact"/>
              <w:rPr>
                <w:sz w:val="20"/>
                <w:szCs w:val="20"/>
                <w:color w:val="auto"/>
              </w:rPr>
            </w:pPr>
            <w:r>
              <w:rPr>
                <w:rFonts w:ascii="Arial" w:cs="Arial" w:eastAsia="Arial" w:hAnsi="Arial"/>
                <w:sz w:val="14"/>
                <w:szCs w:val="14"/>
                <w:color w:val="auto"/>
              </w:rPr>
              <w:t>13.50%</w:t>
            </w:r>
          </w:p>
        </w:tc>
        <w:tc>
          <w:tcPr>
            <w:tcW w:w="100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352"/>
              <w:spacing w:after="0" w:line="139" w:lineRule="exact"/>
              <w:rPr>
                <w:sz w:val="20"/>
                <w:szCs w:val="20"/>
                <w:color w:val="auto"/>
              </w:rPr>
            </w:pPr>
            <w:r>
              <w:rPr>
                <w:rFonts w:ascii="Arial" w:cs="Arial" w:eastAsia="Arial" w:hAnsi="Arial"/>
                <w:sz w:val="14"/>
                <w:szCs w:val="14"/>
                <w:color w:val="auto"/>
              </w:rPr>
              <w:t>10,000,000</w:t>
            </w: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10,000,000</w:t>
            </w: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39" w:lineRule="exact"/>
              <w:rPr>
                <w:sz w:val="20"/>
                <w:szCs w:val="20"/>
                <w:color w:val="auto"/>
              </w:rPr>
            </w:pPr>
            <w:r>
              <w:rPr>
                <w:rFonts w:ascii="Arial" w:cs="Arial" w:eastAsia="Arial" w:hAnsi="Arial"/>
                <w:sz w:val="14"/>
                <w:szCs w:val="14"/>
                <w:color w:val="auto"/>
              </w:rPr>
              <w:t>10,062,500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800" w:type="dxa"/>
            <w:vAlign w:val="bottom"/>
            <w:shd w:val="clear" w:color="auto" w:fill="CCEEFF"/>
          </w:tcPr>
          <w:p>
            <w:pPr>
              <w:jc w:val="center"/>
              <w:ind w:left="52"/>
              <w:spacing w:after="0"/>
              <w:rPr>
                <w:sz w:val="20"/>
                <w:szCs w:val="20"/>
                <w:color w:val="auto"/>
              </w:rPr>
            </w:pPr>
            <w:r>
              <w:rPr>
                <w:rFonts w:ascii="Arial" w:cs="Arial" w:eastAsia="Arial" w:hAnsi="Arial"/>
                <w:sz w:val="14"/>
                <w:szCs w:val="14"/>
                <w:color w:val="auto"/>
                <w:w w:val="80"/>
              </w:rPr>
              <w:t>Estate</w:t>
            </w:r>
          </w:p>
        </w:tc>
        <w:tc>
          <w:tcPr>
            <w:tcW w:w="9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spacing w:after="0" w:line="138" w:lineRule="exact"/>
              <w:rPr>
                <w:sz w:val="20"/>
                <w:szCs w:val="20"/>
                <w:color w:val="auto"/>
              </w:rPr>
            </w:pPr>
            <w:r>
              <w:rPr>
                <w:rFonts w:ascii="Arial" w:cs="Arial" w:eastAsia="Arial" w:hAnsi="Arial"/>
                <w:sz w:val="14"/>
                <w:szCs w:val="14"/>
                <w:color w:val="auto"/>
              </w:rPr>
              <w:t>ROC Finance LLC and ROC Finance 1 Corp.</w:t>
            </w:r>
          </w:p>
        </w:tc>
        <w:tc>
          <w:tcPr>
            <w:tcW w:w="1360" w:type="dxa"/>
            <w:vAlign w:val="bottom"/>
          </w:tcPr>
          <w:p>
            <w:pPr>
              <w:jc w:val="right"/>
              <w:ind w:right="132"/>
              <w:spacing w:after="0" w:line="138" w:lineRule="exact"/>
              <w:rPr>
                <w:sz w:val="20"/>
                <w:szCs w:val="20"/>
                <w:color w:val="auto"/>
              </w:rPr>
            </w:pPr>
            <w:r>
              <w:rPr>
                <w:rFonts w:ascii="Arial" w:cs="Arial" w:eastAsia="Arial" w:hAnsi="Arial"/>
                <w:sz w:val="14"/>
                <w:szCs w:val="14"/>
                <w:color w:val="auto"/>
              </w:rPr>
              <w:t>09/01/2018</w:t>
            </w:r>
          </w:p>
        </w:tc>
        <w:tc>
          <w:tcPr>
            <w:tcW w:w="1800" w:type="dxa"/>
            <w:vAlign w:val="bottom"/>
          </w:tcPr>
          <w:p>
            <w:pPr>
              <w:jc w:val="center"/>
              <w:ind w:left="52"/>
              <w:spacing w:after="0" w:line="138" w:lineRule="exact"/>
              <w:rPr>
                <w:sz w:val="20"/>
                <w:szCs w:val="20"/>
                <w:color w:val="auto"/>
              </w:rPr>
            </w:pPr>
            <w:r>
              <w:rPr>
                <w:rFonts w:ascii="Arial" w:cs="Arial" w:eastAsia="Arial" w:hAnsi="Arial"/>
                <w:sz w:val="14"/>
                <w:szCs w:val="14"/>
                <w:color w:val="auto"/>
                <w:w w:val="90"/>
              </w:rPr>
              <w:t>Hotels, Motels,</w:t>
            </w:r>
          </w:p>
        </w:tc>
        <w:tc>
          <w:tcPr>
            <w:tcW w:w="900" w:type="dxa"/>
            <w:vAlign w:val="bottom"/>
          </w:tcPr>
          <w:p>
            <w:pPr>
              <w:jc w:val="right"/>
              <w:ind w:right="52"/>
              <w:spacing w:after="0" w:line="138" w:lineRule="exact"/>
              <w:rPr>
                <w:sz w:val="20"/>
                <w:szCs w:val="20"/>
                <w:color w:val="auto"/>
              </w:rPr>
            </w:pPr>
            <w:r>
              <w:rPr>
                <w:rFonts w:ascii="Arial" w:cs="Arial" w:eastAsia="Arial" w:hAnsi="Arial"/>
                <w:sz w:val="14"/>
                <w:szCs w:val="14"/>
                <w:color w:val="auto"/>
              </w:rPr>
              <w:t>12.13%</w:t>
            </w:r>
          </w:p>
        </w:tc>
        <w:tc>
          <w:tcPr>
            <w:tcW w:w="100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352"/>
              <w:spacing w:after="0" w:line="138" w:lineRule="exact"/>
              <w:rPr>
                <w:sz w:val="20"/>
                <w:szCs w:val="20"/>
                <w:color w:val="auto"/>
              </w:rPr>
            </w:pPr>
            <w:r>
              <w:rPr>
                <w:rFonts w:ascii="Arial" w:cs="Arial" w:eastAsia="Arial" w:hAnsi="Arial"/>
                <w:sz w:val="14"/>
                <w:szCs w:val="14"/>
                <w:color w:val="auto"/>
              </w:rPr>
              <w:t>16,000,000</w:t>
            </w: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15,752,822</w:t>
            </w:r>
          </w:p>
        </w:tc>
        <w:tc>
          <w:tcPr>
            <w:tcW w:w="280" w:type="dxa"/>
            <w:vAlign w:val="bottom"/>
          </w:tcPr>
          <w:p>
            <w:pPr>
              <w:spacing w:after="0"/>
              <w:rPr>
                <w:sz w:val="11"/>
                <w:szCs w:val="11"/>
                <w:color w:val="auto"/>
              </w:rPr>
            </w:pPr>
          </w:p>
        </w:tc>
        <w:tc>
          <w:tcPr>
            <w:tcW w:w="800" w:type="dxa"/>
            <w:vAlign w:val="bottom"/>
          </w:tcPr>
          <w:p>
            <w:pPr>
              <w:jc w:val="right"/>
              <w:spacing w:after="0" w:line="138" w:lineRule="exact"/>
              <w:rPr>
                <w:sz w:val="20"/>
                <w:szCs w:val="20"/>
                <w:color w:val="auto"/>
              </w:rPr>
            </w:pPr>
            <w:r>
              <w:rPr>
                <w:rFonts w:ascii="Arial" w:cs="Arial" w:eastAsia="Arial" w:hAnsi="Arial"/>
                <w:sz w:val="14"/>
                <w:szCs w:val="14"/>
                <w:color w:val="auto"/>
              </w:rPr>
              <w:t>18,560,000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0" w:type="dxa"/>
            <w:vAlign w:val="bottom"/>
          </w:tcPr>
          <w:p>
            <w:pPr>
              <w:jc w:val="center"/>
              <w:ind w:left="52"/>
              <w:spacing w:after="0"/>
              <w:rPr>
                <w:sz w:val="20"/>
                <w:szCs w:val="20"/>
                <w:color w:val="auto"/>
              </w:rPr>
            </w:pPr>
            <w:r>
              <w:rPr>
                <w:rFonts w:ascii="Arial" w:cs="Arial" w:eastAsia="Arial" w:hAnsi="Arial"/>
                <w:sz w:val="14"/>
                <w:szCs w:val="14"/>
                <w:color w:val="auto"/>
                <w:w w:val="86"/>
              </w:rPr>
              <w:t>Inns and Gaming</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TransFirst Holdings, Inc.</w:t>
            </w:r>
          </w:p>
        </w:tc>
        <w:tc>
          <w:tcPr>
            <w:tcW w:w="136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06/15/2015</w:t>
            </w:r>
          </w:p>
        </w:tc>
        <w:tc>
          <w:tcPr>
            <w:tcW w:w="1800" w:type="dxa"/>
            <w:vAlign w:val="bottom"/>
            <w:shd w:val="clear" w:color="auto" w:fill="CCEEFF"/>
          </w:tcPr>
          <w:p>
            <w:pPr>
              <w:jc w:val="center"/>
              <w:ind w:left="52"/>
              <w:spacing w:after="0" w:line="149" w:lineRule="exact"/>
              <w:rPr>
                <w:sz w:val="20"/>
                <w:szCs w:val="20"/>
                <w:color w:val="auto"/>
              </w:rPr>
            </w:pPr>
            <w:r>
              <w:rPr>
                <w:rFonts w:ascii="Arial" w:cs="Arial" w:eastAsia="Arial" w:hAnsi="Arial"/>
                <w:sz w:val="14"/>
                <w:szCs w:val="14"/>
                <w:color w:val="auto"/>
                <w:w w:val="87"/>
              </w:rPr>
              <w:t>Financial Services</w:t>
            </w:r>
          </w:p>
        </w:tc>
        <w:tc>
          <w:tcPr>
            <w:tcW w:w="90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6.22%</w:t>
            </w:r>
          </w:p>
        </w:tc>
        <w:tc>
          <w:tcPr>
            <w:tcW w:w="1000" w:type="dxa"/>
            <w:vAlign w:val="bottom"/>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L+600</w:t>
            </w:r>
          </w:p>
        </w:tc>
        <w:tc>
          <w:tcPr>
            <w:tcW w:w="1180" w:type="dxa"/>
            <w:vAlign w:val="bottom"/>
            <w:shd w:val="clear" w:color="auto" w:fill="CCEEFF"/>
          </w:tcPr>
          <w:p>
            <w:pPr>
              <w:jc w:val="right"/>
              <w:ind w:right="352"/>
              <w:spacing w:after="0" w:line="149" w:lineRule="exact"/>
              <w:rPr>
                <w:sz w:val="20"/>
                <w:szCs w:val="20"/>
                <w:color w:val="auto"/>
              </w:rPr>
            </w:pPr>
            <w:r>
              <w:rPr>
                <w:rFonts w:ascii="Arial" w:cs="Arial" w:eastAsia="Arial" w:hAnsi="Arial"/>
                <w:sz w:val="14"/>
                <w:szCs w:val="14"/>
                <w:color w:val="auto"/>
              </w:rPr>
              <w:t>7,811,488</w:t>
            </w: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7,511,344</w:t>
            </w: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7,411,149</w:t>
            </w:r>
          </w:p>
        </w:tc>
        <w:tc>
          <w:tcPr>
            <w:tcW w:w="0" w:type="dxa"/>
            <w:vAlign w:val="bottom"/>
          </w:tcPr>
          <w:p>
            <w:pPr>
              <w:spacing w:after="0"/>
              <w:rPr>
                <w:sz w:val="1"/>
                <w:szCs w:val="1"/>
                <w:color w:val="auto"/>
              </w:rPr>
            </w:pPr>
          </w:p>
        </w:tc>
      </w:tr>
      <w:tr>
        <w:trPr>
          <w:trHeight w:val="156"/>
        </w:trPr>
        <w:tc>
          <w:tcPr>
            <w:tcW w:w="3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3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188,644,968</w:t>
            </w:r>
          </w:p>
        </w:tc>
        <w:tc>
          <w:tcPr>
            <w:tcW w:w="28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169,366,959</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-4733290</wp:posOffset>
            </wp:positionV>
            <wp:extent cx="7246620" cy="946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-2555240</wp:posOffset>
            </wp:positionV>
            <wp:extent cx="7246620" cy="946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-1294130</wp:posOffset>
            </wp:positionV>
            <wp:extent cx="7246620" cy="1974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Basis Point</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88"/>
              </w:rPr>
              <w:t>Spread</w:t>
            </w: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980" w:type="dxa"/>
            <w:vAlign w:val="bottom"/>
          </w:tcPr>
          <w:p>
            <w:pPr>
              <w:jc w:val="right"/>
              <w:ind w:right="333"/>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ind w:right="53"/>
              <w:spacing w:after="0"/>
              <w:rPr>
                <w:sz w:val="20"/>
                <w:szCs w:val="20"/>
                <w:color w:val="auto"/>
              </w:rPr>
            </w:pPr>
            <w:r>
              <w:rPr>
                <w:rFonts w:ascii="Arial" w:cs="Arial" w:eastAsia="Arial" w:hAnsi="Arial"/>
                <w:sz w:val="14"/>
                <w:szCs w:val="14"/>
                <w:b w:val="1"/>
                <w:bCs w:val="1"/>
                <w:color w:val="auto"/>
                <w:w w:val="84"/>
              </w:rPr>
              <w:t>Above</w:t>
            </w: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38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980" w:type="dxa"/>
            <w:vAlign w:val="bottom"/>
          </w:tcPr>
          <w:p>
            <w:pPr>
              <w:jc w:val="right"/>
              <w:ind w:right="333"/>
              <w:spacing w:after="0" w:line="149" w:lineRule="exact"/>
              <w:rPr>
                <w:sz w:val="20"/>
                <w:szCs w:val="20"/>
                <w:color w:val="auto"/>
              </w:rPr>
            </w:pPr>
            <w:r>
              <w:rPr>
                <w:rFonts w:ascii="Arial" w:cs="Arial" w:eastAsia="Arial" w:hAnsi="Arial"/>
                <w:sz w:val="14"/>
                <w:szCs w:val="14"/>
                <w:b w:val="1"/>
                <w:bCs w:val="1"/>
                <w:color w:val="auto"/>
              </w:rPr>
              <w:t>Coupon</w:t>
            </w:r>
          </w:p>
        </w:tc>
        <w:tc>
          <w:tcPr>
            <w:tcW w:w="920" w:type="dxa"/>
            <w:vAlign w:val="bottom"/>
          </w:tcPr>
          <w:p>
            <w:pPr>
              <w:jc w:val="center"/>
              <w:ind w:right="33"/>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1000" w:type="dxa"/>
            <w:vAlign w:val="bottom"/>
          </w:tcPr>
          <w:p>
            <w:pPr>
              <w:jc w:val="right"/>
              <w:ind w:right="272"/>
              <w:spacing w:after="0" w:line="149"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Subordinated Debt/Corporate Notes—52.4%</w:t>
            </w:r>
          </w:p>
        </w:tc>
        <w:tc>
          <w:tcPr>
            <w:tcW w:w="840" w:type="dxa"/>
            <w:vAlign w:val="bottom"/>
            <w:tcBorders>
              <w:top w:val="single" w:sz="8" w:color="auto"/>
            </w:tcBorders>
            <w:shd w:val="clear" w:color="auto" w:fill="CCEEFF"/>
          </w:tcPr>
          <w:p>
            <w:pPr>
              <w:spacing w:after="0"/>
              <w:rPr>
                <w:sz w:val="12"/>
                <w:szCs w:val="12"/>
                <w:color w:val="auto"/>
              </w:rPr>
            </w:pPr>
          </w:p>
        </w:tc>
        <w:tc>
          <w:tcPr>
            <w:tcW w:w="16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Acentia, LLC</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10/02/2017</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0"/>
              </w:rPr>
              <w:t>Electronics</w:t>
            </w: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13.75%</w:t>
            </w:r>
          </w:p>
        </w:tc>
        <w:tc>
          <w:tcPr>
            <w:tcW w:w="9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19,000,000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$ 18,563,943</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$ 19,000,000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Affinion Group Holdings, Inc.</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11/15/2015</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9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11.63%</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35,552,000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34,172,451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24,175,360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Alegeus Technologies, LLC</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02/15/2019</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6"/>
              </w:rPr>
              <w:t>Financial Services</w:t>
            </w: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12.00%</w:t>
            </w:r>
          </w:p>
        </w:tc>
        <w:tc>
          <w:tcPr>
            <w:tcW w:w="9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8,930,000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8,754,461</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8,930,000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LLC</w:t>
            </w: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03/26/2018</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Electronics</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12.00%</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23,277,586</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22,812,086</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22,812,034</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1.00%)</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Diversitech Corporation</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01/29/2017</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90"/>
              </w:rPr>
              <w:t>Manufacturing/</w:t>
            </w:r>
          </w:p>
        </w:tc>
        <w:tc>
          <w:tcPr>
            <w:tcW w:w="980" w:type="dxa"/>
            <w:vAlign w:val="bottom"/>
          </w:tcPr>
          <w:p>
            <w:pPr>
              <w:jc w:val="right"/>
              <w:spacing w:after="0" w:line="138" w:lineRule="exact"/>
              <w:rPr>
                <w:sz w:val="20"/>
                <w:szCs w:val="20"/>
                <w:color w:val="auto"/>
              </w:rPr>
            </w:pPr>
            <w:r>
              <w:rPr>
                <w:rFonts w:ascii="Arial" w:cs="Arial" w:eastAsia="Arial" w:hAnsi="Arial"/>
                <w:sz w:val="10"/>
                <w:szCs w:val="10"/>
                <w:color w:val="auto"/>
              </w:rPr>
              <w:t>13.50%</w:t>
            </w:r>
            <w:r>
              <w:rPr>
                <w:rFonts w:ascii="Arial" w:cs="Arial" w:eastAsia="Arial" w:hAnsi="Arial"/>
                <w:sz w:val="15"/>
                <w:szCs w:val="15"/>
                <w:color w:val="auto"/>
                <w:vertAlign w:val="superscript"/>
              </w:rPr>
              <w:t>(7)</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11,000,000</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10,836,901</w:t>
            </w:r>
          </w:p>
        </w:tc>
        <w:tc>
          <w:tcPr>
            <w:tcW w:w="140" w:type="dxa"/>
            <w:vAlign w:val="bottom"/>
          </w:tcPr>
          <w:p>
            <w:pPr>
              <w:spacing w:after="0"/>
              <w:rPr>
                <w:sz w:val="11"/>
                <w:szCs w:val="11"/>
                <w:color w:val="auto"/>
              </w:rPr>
            </w:pPr>
          </w:p>
        </w:tc>
        <w:tc>
          <w:tcPr>
            <w:tcW w:w="110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11,275,000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88"/>
              </w:rPr>
              <w:t>Basic Industry</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Escort, Inc.</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06/01/2016</w:t>
            </w:r>
          </w:p>
        </w:tc>
        <w:tc>
          <w:tcPr>
            <w:tcW w:w="1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0"/>
              </w:rPr>
              <w:t>Electronics</w:t>
            </w:r>
          </w:p>
        </w:tc>
        <w:tc>
          <w:tcPr>
            <w:tcW w:w="980" w:type="dxa"/>
            <w:vAlign w:val="bottom"/>
            <w:shd w:val="clear" w:color="auto" w:fill="CCEEFF"/>
          </w:tcPr>
          <w:p>
            <w:pPr>
              <w:jc w:val="right"/>
              <w:ind w:right="133"/>
              <w:spacing w:after="0" w:line="139" w:lineRule="exact"/>
              <w:rPr>
                <w:sz w:val="20"/>
                <w:szCs w:val="20"/>
                <w:color w:val="auto"/>
              </w:rPr>
            </w:pPr>
            <w:r>
              <w:rPr>
                <w:rFonts w:ascii="Arial" w:cs="Arial" w:eastAsia="Arial" w:hAnsi="Arial"/>
                <w:sz w:val="14"/>
                <w:szCs w:val="14"/>
                <w:color w:val="auto"/>
              </w:rPr>
              <w:t>14.75%</w:t>
            </w:r>
          </w:p>
        </w:tc>
        <w:tc>
          <w:tcPr>
            <w:tcW w:w="92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25,254,035</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24,751,548</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25,254,035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2.75%)</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Galls, LLC; Quartermaster Inc.</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03/31/2017</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94"/>
              </w:rPr>
              <w:t>Distribution</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13.00%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21,797,263</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21,399,764</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21,906,249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(PIK 2.00%)</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JF Acquisition, LLC</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06/30/2017</w:t>
            </w:r>
          </w:p>
        </w:tc>
        <w:tc>
          <w:tcPr>
            <w:tcW w:w="1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Distribution</w:t>
            </w:r>
          </w:p>
        </w:tc>
        <w:tc>
          <w:tcPr>
            <w:tcW w:w="980" w:type="dxa"/>
            <w:vAlign w:val="bottom"/>
            <w:shd w:val="clear" w:color="auto" w:fill="CCEEFF"/>
          </w:tcPr>
          <w:p>
            <w:pPr>
              <w:jc w:val="right"/>
              <w:ind w:right="133"/>
              <w:spacing w:after="0" w:line="139" w:lineRule="exact"/>
              <w:rPr>
                <w:sz w:val="20"/>
                <w:szCs w:val="20"/>
                <w:color w:val="auto"/>
              </w:rPr>
            </w:pPr>
            <w:r>
              <w:rPr>
                <w:rFonts w:ascii="Arial" w:cs="Arial" w:eastAsia="Arial" w:hAnsi="Arial"/>
                <w:sz w:val="14"/>
                <w:szCs w:val="14"/>
                <w:color w:val="auto"/>
              </w:rPr>
              <w:t>14.00%</w:t>
            </w:r>
          </w:p>
        </w:tc>
        <w:tc>
          <w:tcPr>
            <w:tcW w:w="92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17,171,374</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16,748,220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17,377,430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2.00%)</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Last Mile Funding Corp.</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06/30/2016</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14.50%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45,597,139</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44,677,474</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45,095,570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(PIK 2.50%)</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Learning Care Group (US) Inc.</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06/30/2016</w:t>
            </w:r>
          </w:p>
        </w:tc>
        <w:tc>
          <w:tcPr>
            <w:tcW w:w="1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Education</w:t>
            </w:r>
          </w:p>
        </w:tc>
        <w:tc>
          <w:tcPr>
            <w:tcW w:w="980" w:type="dxa"/>
            <w:vAlign w:val="bottom"/>
            <w:shd w:val="clear" w:color="auto" w:fill="CCEEFF"/>
          </w:tcPr>
          <w:p>
            <w:pPr>
              <w:jc w:val="right"/>
              <w:ind w:right="133"/>
              <w:spacing w:after="0" w:line="139" w:lineRule="exact"/>
              <w:rPr>
                <w:sz w:val="20"/>
                <w:szCs w:val="20"/>
                <w:color w:val="auto"/>
              </w:rPr>
            </w:pPr>
            <w:r>
              <w:rPr>
                <w:rFonts w:ascii="Arial" w:cs="Arial" w:eastAsia="Arial" w:hAnsi="Arial"/>
                <w:sz w:val="14"/>
                <w:szCs w:val="14"/>
                <w:color w:val="auto"/>
              </w:rPr>
              <w:t>15.00%</w:t>
            </w:r>
          </w:p>
        </w:tc>
        <w:tc>
          <w:tcPr>
            <w:tcW w:w="92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5,277,718</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4,696,436</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4,815,918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w w:val="96"/>
              </w:rPr>
              <w:t>(PIK 15.00%)</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LTI Flexible Products, Inc.</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01/19/2019</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Chemical, Plastic and</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12.50%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30,000,000</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30,000,000</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30,000,000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LTI Flexible Products, Inc.</w:t>
            </w:r>
            <w:r>
              <w:rPr>
                <w:rFonts w:ascii="Arial" w:cs="Arial" w:eastAsia="Arial" w:hAnsi="Arial"/>
                <w:sz w:val="15"/>
                <w:szCs w:val="15"/>
                <w:color w:val="auto"/>
                <w:vertAlign w:val="superscript"/>
              </w:rPr>
              <w:t>(9)</w:t>
            </w: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01/11/2014</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Chemical, Plastic and</w:t>
            </w:r>
          </w:p>
        </w:tc>
        <w:tc>
          <w:tcPr>
            <w:tcW w:w="98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5,000,000</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4,825,000</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5,000,000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Rubber</w:t>
            </w: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Mailsouth, Inc.</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06/15/2017</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Printing and Publishing</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14.50%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15,000,000</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14,632,413</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15,210,000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(PIK 2.00%)</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8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PAS Technologies, Inc.</w:t>
            </w:r>
          </w:p>
        </w:tc>
        <w:tc>
          <w:tcPr>
            <w:tcW w:w="8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8"/>
              </w:rPr>
              <w:t>05/12/2017</w:t>
            </w:r>
          </w:p>
        </w:tc>
        <w:tc>
          <w:tcPr>
            <w:tcW w:w="1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Aerospace and Defense</w:t>
            </w:r>
          </w:p>
        </w:tc>
        <w:tc>
          <w:tcPr>
            <w:tcW w:w="980" w:type="dxa"/>
            <w:vAlign w:val="bottom"/>
            <w:shd w:val="clear" w:color="auto" w:fill="CCEEFF"/>
          </w:tcPr>
          <w:p>
            <w:pPr>
              <w:jc w:val="right"/>
              <w:ind w:right="133"/>
              <w:spacing w:after="0" w:line="139" w:lineRule="exact"/>
              <w:rPr>
                <w:sz w:val="20"/>
                <w:szCs w:val="20"/>
                <w:color w:val="auto"/>
              </w:rPr>
            </w:pPr>
            <w:r>
              <w:rPr>
                <w:rFonts w:ascii="Arial" w:cs="Arial" w:eastAsia="Arial" w:hAnsi="Arial"/>
                <w:sz w:val="14"/>
                <w:szCs w:val="14"/>
                <w:color w:val="auto"/>
              </w:rPr>
              <w:t>15.02%</w:t>
            </w:r>
          </w:p>
        </w:tc>
        <w:tc>
          <w:tcPr>
            <w:tcW w:w="920" w:type="dxa"/>
            <w:vAlign w:val="bottom"/>
            <w:shd w:val="clear" w:color="auto" w:fill="CCEEFF"/>
          </w:tcPr>
          <w:p>
            <w:pPr>
              <w:ind w:left="520"/>
              <w:spacing w:after="0" w:line="13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9" w:lineRule="exact"/>
              <w:rPr>
                <w:sz w:val="20"/>
                <w:szCs w:val="20"/>
                <w:color w:val="auto"/>
              </w:rPr>
            </w:pPr>
            <w:r>
              <w:rPr>
                <w:rFonts w:ascii="Arial" w:cs="Arial" w:eastAsia="Arial" w:hAnsi="Arial"/>
                <w:sz w:val="14"/>
                <w:szCs w:val="14"/>
                <w:color w:val="auto"/>
              </w:rPr>
              <w:t>17,123,218</w:t>
            </w:r>
          </w:p>
        </w:tc>
        <w:tc>
          <w:tcPr>
            <w:tcW w:w="96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16,783,033</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39" w:lineRule="exact"/>
              <w:rPr>
                <w:sz w:val="20"/>
                <w:szCs w:val="20"/>
                <w:color w:val="auto"/>
              </w:rPr>
            </w:pPr>
            <w:r>
              <w:rPr>
                <w:rFonts w:ascii="Arial" w:cs="Arial" w:eastAsia="Arial" w:hAnsi="Arial"/>
                <w:sz w:val="14"/>
                <w:szCs w:val="14"/>
                <w:color w:val="auto"/>
              </w:rPr>
              <w:t>17,123,218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3.02%)</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Prince Mineral Holdings Corp.</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12/03/2016</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90"/>
              </w:rPr>
              <w:t>Mining, Steel, Iron</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13.50%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26,696,517</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26,263,685</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26,696,517</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w w:val="87"/>
              </w:rPr>
              <w:t>and Non-Precious Metals</w:t>
            </w:r>
          </w:p>
        </w:tc>
        <w:tc>
          <w:tcPr>
            <w:tcW w:w="980" w:type="dxa"/>
            <w:vAlign w:val="bottom"/>
          </w:tcPr>
          <w:p>
            <w:pPr>
              <w:jc w:val="right"/>
              <w:ind w:right="93"/>
              <w:spacing w:after="0"/>
              <w:rPr>
                <w:sz w:val="20"/>
                <w:szCs w:val="20"/>
                <w:color w:val="auto"/>
              </w:rPr>
            </w:pPr>
            <w:r>
              <w:rPr>
                <w:rFonts w:ascii="Arial" w:cs="Arial" w:eastAsia="Arial" w:hAnsi="Arial"/>
                <w:sz w:val="14"/>
                <w:szCs w:val="14"/>
                <w:color w:val="auto"/>
              </w:rPr>
              <w:t>(PIK 2.00%)</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Realogy Corp.</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04/15/2018</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Buildings and Real Estate</w:t>
            </w:r>
          </w:p>
        </w:tc>
        <w:tc>
          <w:tcPr>
            <w:tcW w:w="9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11.00%</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10,000,000</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9,247,298</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9,400,000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TRAK Acquisition Corp.</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12/29/2015</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tcPr>
          <w:p>
            <w:pPr>
              <w:jc w:val="right"/>
              <w:spacing w:after="0" w:line="149" w:lineRule="exact"/>
              <w:rPr>
                <w:sz w:val="20"/>
                <w:szCs w:val="20"/>
                <w:color w:val="auto"/>
              </w:rPr>
            </w:pPr>
            <w:r>
              <w:rPr>
                <w:rFonts w:ascii="Arial" w:cs="Arial" w:eastAsia="Arial" w:hAnsi="Arial"/>
                <w:sz w:val="11"/>
                <w:szCs w:val="11"/>
                <w:color w:val="auto"/>
              </w:rPr>
              <w:t>15.00%</w:t>
            </w:r>
            <w:r>
              <w:rPr>
                <w:rFonts w:ascii="Arial" w:cs="Arial" w:eastAsia="Arial" w:hAnsi="Arial"/>
                <w:sz w:val="17"/>
                <w:szCs w:val="17"/>
                <w:color w:val="auto"/>
                <w:vertAlign w:val="superscript"/>
              </w:rPr>
              <w:t>(7)</w:t>
            </w:r>
          </w:p>
        </w:tc>
        <w:tc>
          <w:tcPr>
            <w:tcW w:w="9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12,020,950</w:t>
            </w:r>
          </w:p>
        </w:tc>
        <w:tc>
          <w:tcPr>
            <w:tcW w:w="11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11,708,199</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12,020,950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84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06/03/2019</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14.25%</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14,778,578</w:t>
            </w:r>
          </w:p>
        </w:tc>
        <w:tc>
          <w:tcPr>
            <w:tcW w:w="1100" w:type="dxa"/>
            <w:vAlign w:val="bottom"/>
            <w:gridSpan w:val="3"/>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14,527,411</w:t>
            </w: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14,778,578</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Tobacco</w:t>
            </w:r>
          </w:p>
        </w:tc>
        <w:tc>
          <w:tcPr>
            <w:tcW w:w="980" w:type="dxa"/>
            <w:vAlign w:val="bottom"/>
            <w:shd w:val="clear" w:color="auto" w:fill="CCEEFF"/>
          </w:tcPr>
          <w:p>
            <w:pPr>
              <w:jc w:val="right"/>
              <w:ind w:right="93"/>
              <w:spacing w:after="0"/>
              <w:rPr>
                <w:sz w:val="20"/>
                <w:szCs w:val="20"/>
                <w:color w:val="auto"/>
              </w:rPr>
            </w:pPr>
            <w:r>
              <w:rPr>
                <w:rFonts w:ascii="Arial" w:cs="Arial" w:eastAsia="Arial" w:hAnsi="Arial"/>
                <w:sz w:val="14"/>
                <w:szCs w:val="14"/>
                <w:color w:val="auto"/>
              </w:rPr>
              <w:t>(PIK 2.25%)</w:t>
            </w:r>
          </w:p>
        </w:tc>
        <w:tc>
          <w:tcPr>
            <w:tcW w:w="9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0"/>
                <w:szCs w:val="10"/>
                <w:color w:val="auto"/>
              </w:rPr>
              <w:t>TrustHouse Services Group, Inc.</w:t>
            </w:r>
            <w:r>
              <w:rPr>
                <w:rFonts w:ascii="Arial" w:cs="Arial" w:eastAsia="Arial" w:hAnsi="Arial"/>
                <w:sz w:val="15"/>
                <w:szCs w:val="15"/>
                <w:color w:val="auto"/>
                <w:vertAlign w:val="superscript"/>
              </w:rPr>
              <w:t>(9)</w:t>
            </w:r>
          </w:p>
        </w:tc>
        <w:tc>
          <w:tcPr>
            <w:tcW w:w="840" w:type="dxa"/>
            <w:vAlign w:val="bottom"/>
          </w:tcPr>
          <w:p>
            <w:pPr>
              <w:jc w:val="center"/>
              <w:spacing w:after="0" w:line="138" w:lineRule="exact"/>
              <w:rPr>
                <w:sz w:val="20"/>
                <w:szCs w:val="20"/>
                <w:color w:val="auto"/>
              </w:rPr>
            </w:pPr>
            <w:r>
              <w:rPr>
                <w:rFonts w:ascii="Arial" w:cs="Arial" w:eastAsia="Arial" w:hAnsi="Arial"/>
                <w:sz w:val="14"/>
                <w:szCs w:val="14"/>
                <w:color w:val="auto"/>
                <w:w w:val="88"/>
              </w:rPr>
              <w:t>06/02/2014</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980" w:type="dxa"/>
            <w:vAlign w:val="bottom"/>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4,000,000</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3,920,000</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4,000,000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5"/>
              </w:rPr>
              <w:t>Tobacco</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Veritext Corp.</w:t>
            </w:r>
          </w:p>
        </w:tc>
        <w:tc>
          <w:tcPr>
            <w:tcW w:w="8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12/31/2015</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9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13.00%</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16,200,000</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15,916,579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16,200,000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Subordinated Debt/Corporate Notes</w:t>
            </w:r>
          </w:p>
        </w:tc>
        <w:tc>
          <w:tcPr>
            <w:tcW w:w="8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355,236,902</w:t>
            </w:r>
          </w:p>
        </w:tc>
        <w:tc>
          <w:tcPr>
            <w:tcW w:w="140" w:type="dxa"/>
            <w:vAlign w:val="bottom"/>
          </w:tcPr>
          <w:p>
            <w:pPr>
              <w:spacing w:after="0"/>
              <w:rPr>
                <w:sz w:val="14"/>
                <w:szCs w:val="14"/>
                <w:color w:val="auto"/>
              </w:rPr>
            </w:pPr>
          </w:p>
        </w:tc>
        <w:tc>
          <w:tcPr>
            <w:tcW w:w="8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351,070,859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Equity/Partnership Interests—1.7% </w:t>
            </w:r>
            <w:r>
              <w:rPr>
                <w:rFonts w:ascii="Arial" w:cs="Arial" w:eastAsia="Arial" w:hAnsi="Arial"/>
                <w:sz w:val="17"/>
                <w:szCs w:val="17"/>
                <w:b w:val="1"/>
                <w:bCs w:val="1"/>
                <w:color w:val="auto"/>
                <w:vertAlign w:val="superscript"/>
              </w:rPr>
              <w:t>(6)</w:t>
            </w:r>
          </w:p>
        </w:tc>
        <w:tc>
          <w:tcPr>
            <w:tcW w:w="84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AH Holdings, Inc.</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6.00%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211</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624,081</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ind w:left="200"/>
              <w:spacing w:after="0" w:line="159" w:lineRule="exact"/>
              <w:rPr>
                <w:sz w:val="20"/>
                <w:szCs w:val="20"/>
                <w:color w:val="auto"/>
              </w:rPr>
            </w:pPr>
            <w:r>
              <w:rPr>
                <w:rFonts w:ascii="Arial" w:cs="Arial" w:eastAsia="Arial" w:hAnsi="Arial"/>
                <w:sz w:val="14"/>
                <w:szCs w:val="14"/>
                <w:color w:val="auto"/>
              </w:rPr>
              <w:t>(American Surgical Holdings, Inc.)</w:t>
            </w:r>
          </w:p>
        </w:tc>
        <w:tc>
          <w:tcPr>
            <w:tcW w:w="8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5"/>
              </w:rPr>
              <w:t>and Childcare</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AHC Mezzanine, LLC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98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7,505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318,896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Series A</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6"/>
              </w:rPr>
              <w:t>Financial Services</w:t>
            </w:r>
          </w:p>
        </w:tc>
        <w:tc>
          <w:tcPr>
            <w:tcW w:w="980" w:type="dxa"/>
            <w:vAlign w:val="bottom"/>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949</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949,050</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1,031,820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CI (IHS) Investment Holdings, LLC (Interactive Health Solutions,</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8.00%</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76,357</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765,307</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881,885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840" w:type="dxa"/>
            <w:vAlign w:val="bottom"/>
            <w:shd w:val="clear" w:color="auto" w:fill="CCEEFF"/>
          </w:tcPr>
          <w:p>
            <w:pPr>
              <w:spacing w:after="0"/>
              <w:rPr>
                <w:sz w:val="13"/>
                <w:szCs w:val="13"/>
                <w:color w:val="auto"/>
              </w:rPr>
            </w:pPr>
          </w:p>
        </w:tc>
        <w:tc>
          <w:tcPr>
            <w:tcW w:w="16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5"/>
              </w:rPr>
              <w:t>and Childcare</w:t>
            </w: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r>
              <w:rPr>
                <w:rFonts w:ascii="Arial" w:cs="Arial" w:eastAsia="Arial" w:hAnsi="Arial"/>
                <w:sz w:val="10"/>
                <w:szCs w:val="10"/>
                <w:color w:val="auto"/>
              </w:rPr>
              <w:t xml:space="preserve"> (Interactive Health Solutions,</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980" w:type="dxa"/>
            <w:vAlign w:val="bottom"/>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38,179</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382,654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ind w:left="200"/>
              <w:spacing w:after="0" w:line="159" w:lineRule="exact"/>
              <w:rPr>
                <w:sz w:val="20"/>
                <w:szCs w:val="20"/>
                <w:color w:val="auto"/>
              </w:rPr>
            </w:pPr>
            <w:r>
              <w:rPr>
                <w:rFonts w:ascii="Arial" w:cs="Arial" w:eastAsia="Arial" w:hAnsi="Arial"/>
                <w:sz w:val="14"/>
                <w:szCs w:val="14"/>
                <w:color w:val="auto"/>
              </w:rPr>
              <w:t>Inc.)</w:t>
            </w:r>
          </w:p>
        </w:tc>
        <w:tc>
          <w:tcPr>
            <w:tcW w:w="8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5"/>
              </w:rPr>
              <w:t>and Childcare</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Convergint Technologies Holdings, LLC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Electronics</w:t>
            </w:r>
          </w:p>
        </w:tc>
        <w:tc>
          <w:tcPr>
            <w:tcW w:w="980" w:type="dxa"/>
            <w:vAlign w:val="bottom"/>
            <w:shd w:val="clear" w:color="auto" w:fill="CCEEFF"/>
          </w:tcPr>
          <w:p>
            <w:pPr>
              <w:jc w:val="right"/>
              <w:ind w:right="313"/>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2,375</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2,375,000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Arial" w:cs="Arial" w:eastAsia="Arial" w:hAnsi="Arial"/>
                <w:sz w:val="14"/>
                <w:szCs w:val="14"/>
                <w:color w:val="auto"/>
              </w:rPr>
              <w:t>HW Topco, Inc. (Hanley-Wood, LLC)</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49" w:lineRule="exact"/>
              <w:rPr>
                <w:sz w:val="20"/>
                <w:szCs w:val="20"/>
                <w:color w:val="auto"/>
              </w:rPr>
            </w:pPr>
            <w:r>
              <w:rPr>
                <w:rFonts w:ascii="Arial" w:cs="Arial" w:eastAsia="Arial" w:hAnsi="Arial"/>
                <w:sz w:val="14"/>
                <w:szCs w:val="14"/>
                <w:color w:val="auto"/>
                <w:w w:val="90"/>
              </w:rPr>
              <w:t>Other Media</w:t>
            </w:r>
          </w:p>
        </w:tc>
        <w:tc>
          <w:tcPr>
            <w:tcW w:w="980" w:type="dxa"/>
            <w:vAlign w:val="bottom"/>
          </w:tcPr>
          <w:p>
            <w:pPr>
              <w:jc w:val="right"/>
              <w:ind w:right="133"/>
              <w:spacing w:after="0" w:line="149" w:lineRule="exact"/>
              <w:rPr>
                <w:sz w:val="20"/>
                <w:szCs w:val="20"/>
                <w:color w:val="auto"/>
              </w:rPr>
            </w:pPr>
            <w:r>
              <w:rPr>
                <w:rFonts w:ascii="Arial" w:cs="Arial" w:eastAsia="Arial" w:hAnsi="Arial"/>
                <w:sz w:val="14"/>
                <w:szCs w:val="14"/>
                <w:color w:val="auto"/>
              </w:rPr>
              <w:t>8.00%</w:t>
            </w:r>
          </w:p>
        </w:tc>
        <w:tc>
          <w:tcPr>
            <w:tcW w:w="920" w:type="dxa"/>
            <w:vAlign w:val="bottom"/>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3,591</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24,177</w:t>
            </w:r>
          </w:p>
        </w:tc>
        <w:tc>
          <w:tcPr>
            <w:tcW w:w="140" w:type="dxa"/>
            <w:vAlign w:val="bottom"/>
          </w:tcPr>
          <w:p>
            <w:pPr>
              <w:spacing w:after="0"/>
              <w:rPr>
                <w:sz w:val="12"/>
                <w:szCs w:val="12"/>
                <w:color w:val="auto"/>
              </w:rPr>
            </w:pP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27,916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 Series A-1</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3"/>
              </w:rPr>
              <w:t>Aerospace and Defense</w:t>
            </w:r>
          </w:p>
        </w:tc>
        <w:tc>
          <w:tcPr>
            <w:tcW w:w="980" w:type="dxa"/>
            <w:vAlign w:val="bottom"/>
            <w:shd w:val="clear" w:color="auto" w:fill="CCEEFF"/>
          </w:tcPr>
          <w:p>
            <w:pPr>
              <w:jc w:val="right"/>
              <w:ind w:right="133"/>
              <w:spacing w:after="0" w:line="138" w:lineRule="exact"/>
              <w:rPr>
                <w:sz w:val="20"/>
                <w:szCs w:val="20"/>
                <w:color w:val="auto"/>
              </w:rPr>
            </w:pPr>
            <w:r>
              <w:rPr>
                <w:rFonts w:ascii="Arial" w:cs="Arial" w:eastAsia="Arial" w:hAnsi="Arial"/>
                <w:sz w:val="14"/>
                <w:szCs w:val="14"/>
                <w:color w:val="auto"/>
              </w:rPr>
              <w:t>8.00%</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20,000</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1,980,000</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823,710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8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TrustHouse Services Holdings, LLC</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6"/>
              </w:rPr>
              <w:t>Beverage, Food,</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12.00%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1,099</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984,344</w:t>
            </w:r>
          </w:p>
        </w:tc>
        <w:tc>
          <w:tcPr>
            <w:tcW w:w="140" w:type="dxa"/>
            <w:vAlign w:val="bottom"/>
          </w:tcPr>
          <w:p>
            <w:pPr>
              <w:spacing w:after="0"/>
              <w:rPr>
                <w:sz w:val="11"/>
                <w:szCs w:val="11"/>
                <w:color w:val="auto"/>
              </w:rPr>
            </w:pPr>
          </w:p>
        </w:tc>
        <w:tc>
          <w:tcPr>
            <w:tcW w:w="110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1,111,742</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tcPr>
          <w:p>
            <w:pPr>
              <w:jc w:val="center"/>
              <w:spacing w:after="0" w:line="159" w:lineRule="exact"/>
              <w:rPr>
                <w:sz w:val="20"/>
                <w:szCs w:val="20"/>
                <w:color w:val="auto"/>
              </w:rPr>
            </w:pPr>
            <w:r>
              <w:rPr>
                <w:rFonts w:ascii="Arial" w:cs="Arial" w:eastAsia="Arial" w:hAnsi="Arial"/>
                <w:sz w:val="14"/>
                <w:szCs w:val="14"/>
                <w:color w:val="auto"/>
                <w:w w:val="83"/>
              </w:rPr>
              <w:t>and Tobacco</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TZ Holdings, L.P., Series A</w:t>
            </w:r>
          </w:p>
        </w:tc>
        <w:tc>
          <w:tcPr>
            <w:tcW w:w="840" w:type="dxa"/>
            <w:vAlign w:val="bottom"/>
            <w:shd w:val="clear" w:color="auto" w:fill="CCEEFF"/>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980" w:type="dxa"/>
            <w:vAlign w:val="bottom"/>
            <w:shd w:val="clear" w:color="auto" w:fill="CCEEFF"/>
          </w:tcPr>
          <w:p>
            <w:pPr>
              <w:jc w:val="right"/>
              <w:ind w:right="313"/>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38" w:lineRule="exact"/>
              <w:rPr>
                <w:sz w:val="20"/>
                <w:szCs w:val="20"/>
                <w:color w:val="auto"/>
              </w:rPr>
            </w:pPr>
            <w:r>
              <w:rPr>
                <w:rFonts w:ascii="Arial" w:cs="Arial" w:eastAsia="Arial" w:hAnsi="Arial"/>
                <w:sz w:val="14"/>
                <w:szCs w:val="14"/>
                <w:color w:val="auto"/>
              </w:rPr>
              <w:t>686</w:t>
            </w:r>
          </w:p>
        </w:tc>
        <w:tc>
          <w:tcPr>
            <w:tcW w:w="9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685,820</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4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860" w:type="dxa"/>
            <w:vAlign w:val="bottom"/>
          </w:tcPr>
          <w:p>
            <w:pPr>
              <w:spacing w:after="0" w:line="138" w:lineRule="exact"/>
              <w:rPr>
                <w:sz w:val="20"/>
                <w:szCs w:val="20"/>
                <w:color w:val="auto"/>
              </w:rPr>
            </w:pPr>
            <w:r>
              <w:rPr>
                <w:rFonts w:ascii="Arial" w:cs="Arial" w:eastAsia="Arial" w:hAnsi="Arial"/>
                <w:sz w:val="14"/>
                <w:szCs w:val="14"/>
                <w:color w:val="auto"/>
              </w:rPr>
              <w:t>TZ Holdings, L.P., Series B</w:t>
            </w:r>
          </w:p>
        </w:tc>
        <w:tc>
          <w:tcPr>
            <w:tcW w:w="840" w:type="dxa"/>
            <w:vAlign w:val="bottom"/>
          </w:tcPr>
          <w:p>
            <w:pPr>
              <w:ind w:left="320"/>
              <w:spacing w:after="0" w:line="138" w:lineRule="exact"/>
              <w:rPr>
                <w:sz w:val="20"/>
                <w:szCs w:val="20"/>
                <w:color w:val="auto"/>
              </w:rPr>
            </w:pPr>
            <w:r>
              <w:rPr>
                <w:rFonts w:ascii="Arial" w:cs="Arial" w:eastAsia="Arial" w:hAnsi="Arial"/>
                <w:sz w:val="14"/>
                <w:szCs w:val="14"/>
                <w:color w:val="auto"/>
              </w:rPr>
              <w:t>—</w:t>
            </w:r>
          </w:p>
        </w:tc>
        <w:tc>
          <w:tcPr>
            <w:tcW w:w="1600" w:type="dxa"/>
            <w:vAlign w:val="bottom"/>
          </w:tcPr>
          <w:p>
            <w:pPr>
              <w:jc w:val="center"/>
              <w:spacing w:after="0" w:line="138" w:lineRule="exact"/>
              <w:rPr>
                <w:sz w:val="20"/>
                <w:szCs w:val="20"/>
                <w:color w:val="auto"/>
              </w:rPr>
            </w:pPr>
            <w:r>
              <w:rPr>
                <w:rFonts w:ascii="Arial" w:cs="Arial" w:eastAsia="Arial" w:hAnsi="Arial"/>
                <w:sz w:val="14"/>
                <w:szCs w:val="14"/>
                <w:color w:val="auto"/>
                <w:w w:val="87"/>
              </w:rPr>
              <w:t>Insurance</w:t>
            </w:r>
          </w:p>
        </w:tc>
        <w:tc>
          <w:tcPr>
            <w:tcW w:w="980" w:type="dxa"/>
            <w:vAlign w:val="bottom"/>
          </w:tcPr>
          <w:p>
            <w:pPr>
              <w:jc w:val="right"/>
              <w:ind w:right="133"/>
              <w:spacing w:after="0" w:line="138" w:lineRule="exact"/>
              <w:rPr>
                <w:sz w:val="20"/>
                <w:szCs w:val="20"/>
                <w:color w:val="auto"/>
              </w:rPr>
            </w:pPr>
            <w:r>
              <w:rPr>
                <w:rFonts w:ascii="Arial" w:cs="Arial" w:eastAsia="Arial" w:hAnsi="Arial"/>
                <w:sz w:val="14"/>
                <w:szCs w:val="14"/>
                <w:color w:val="auto"/>
              </w:rPr>
              <w:t>6.50%</w:t>
            </w:r>
          </w:p>
        </w:tc>
        <w:tc>
          <w:tcPr>
            <w:tcW w:w="920" w:type="dxa"/>
            <w:vAlign w:val="bottom"/>
          </w:tcPr>
          <w:p>
            <w:pPr>
              <w:ind w:left="520"/>
              <w:spacing w:after="0" w:line="138"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52"/>
              <w:spacing w:after="0" w:line="138" w:lineRule="exact"/>
              <w:rPr>
                <w:sz w:val="20"/>
                <w:szCs w:val="20"/>
                <w:color w:val="auto"/>
              </w:rPr>
            </w:pPr>
            <w:r>
              <w:rPr>
                <w:rFonts w:ascii="Arial" w:cs="Arial" w:eastAsia="Arial" w:hAnsi="Arial"/>
                <w:sz w:val="14"/>
                <w:szCs w:val="14"/>
                <w:color w:val="auto"/>
              </w:rPr>
              <w:t>1,312</w:t>
            </w:r>
          </w:p>
        </w:tc>
        <w:tc>
          <w:tcPr>
            <w:tcW w:w="96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1,312,006</w:t>
            </w:r>
          </w:p>
        </w:tc>
        <w:tc>
          <w:tcPr>
            <w:tcW w:w="140" w:type="dxa"/>
            <w:vAlign w:val="bottom"/>
          </w:tcPr>
          <w:p>
            <w:pPr>
              <w:spacing w:after="0"/>
              <w:rPr>
                <w:sz w:val="11"/>
                <w:szCs w:val="11"/>
                <w:color w:val="auto"/>
              </w:rPr>
            </w:pPr>
          </w:p>
        </w:tc>
        <w:tc>
          <w:tcPr>
            <w:tcW w:w="8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1,666,679</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860" w:type="dxa"/>
            <w:vAlign w:val="bottom"/>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Personal Transportation</w:t>
            </w:r>
          </w:p>
        </w:tc>
        <w:tc>
          <w:tcPr>
            <w:tcW w:w="980" w:type="dxa"/>
            <w:vAlign w:val="bottom"/>
            <w:shd w:val="clear" w:color="auto" w:fill="CCEEFF"/>
          </w:tcPr>
          <w:p>
            <w:pPr>
              <w:jc w:val="right"/>
              <w:ind w:right="133"/>
              <w:spacing w:after="0" w:line="149" w:lineRule="exact"/>
              <w:rPr>
                <w:sz w:val="20"/>
                <w:szCs w:val="20"/>
                <w:color w:val="auto"/>
              </w:rPr>
            </w:pPr>
            <w:r>
              <w:rPr>
                <w:rFonts w:ascii="Arial" w:cs="Arial" w:eastAsia="Arial" w:hAnsi="Arial"/>
                <w:sz w:val="14"/>
                <w:szCs w:val="14"/>
                <w:color w:val="auto"/>
              </w:rPr>
              <w:t>8.00%</w:t>
            </w:r>
          </w:p>
        </w:tc>
        <w:tc>
          <w:tcPr>
            <w:tcW w:w="920" w:type="dxa"/>
            <w:vAlign w:val="bottom"/>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1,824,167</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1,824,167</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1,949,629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Preferred Equity/Partnership Interests</w:t>
            </w:r>
          </w:p>
        </w:tc>
        <w:tc>
          <w:tcPr>
            <w:tcW w:w="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12,101,421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11,178,282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11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Maturity</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Above</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Par/</w:t>
            </w:r>
          </w:p>
        </w:tc>
        <w:tc>
          <w:tcPr>
            <w:tcW w:w="7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468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400" w:type="dxa"/>
            <w:vAlign w:val="bottom"/>
            <w:vMerge w:val="continue"/>
          </w:tcPr>
          <w:p>
            <w:pPr>
              <w:spacing w:after="0"/>
              <w:rPr>
                <w:sz w:val="12"/>
                <w:szCs w:val="12"/>
                <w:color w:val="auto"/>
              </w:rPr>
            </w:pP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Coupon</w:t>
            </w: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740" w:type="dxa"/>
            <w:vAlign w:val="bottom"/>
            <w:vMerge w:val="continue"/>
          </w:tcPr>
          <w:p>
            <w:pPr>
              <w:spacing w:after="0"/>
              <w:rPr>
                <w:sz w:val="12"/>
                <w:szCs w:val="12"/>
                <w:color w:val="auto"/>
              </w:rPr>
            </w:pPr>
          </w:p>
        </w:tc>
        <w:tc>
          <w:tcPr>
            <w:tcW w:w="920" w:type="dxa"/>
            <w:vAlign w:val="bottom"/>
            <w:gridSpan w:val="2"/>
          </w:tcPr>
          <w:p>
            <w:pPr>
              <w:jc w:val="right"/>
              <w:ind w:right="252"/>
              <w:spacing w:after="0"/>
              <w:rPr>
                <w:sz w:val="20"/>
                <w:szCs w:val="20"/>
                <w:color w:val="auto"/>
              </w:rPr>
            </w:pPr>
            <w:r>
              <w:rPr>
                <w:rFonts w:ascii="Arial" w:cs="Arial" w:eastAsia="Arial" w:hAnsi="Arial"/>
                <w:sz w:val="11"/>
                <w:szCs w:val="11"/>
                <w:b w:val="1"/>
                <w:bCs w:val="1"/>
                <w:color w:val="auto"/>
              </w:rPr>
              <w:t>(3)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6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3"/>
                <w:szCs w:val="13"/>
                <w:b w:val="1"/>
                <w:bCs w:val="1"/>
                <w:color w:val="auto"/>
              </w:rPr>
              <w:t>Common Equity/Warrants/Partnership Interests—9.2%</w:t>
            </w:r>
            <w:r>
              <w:rPr>
                <w:rFonts w:ascii="Arial" w:cs="Arial" w:eastAsia="Arial" w:hAnsi="Arial"/>
                <w:sz w:val="21"/>
                <w:szCs w:val="21"/>
                <w:b w:val="1"/>
                <w:bCs w:val="1"/>
                <w:color w:val="auto"/>
                <w:vertAlign w:val="superscript"/>
              </w:rPr>
              <w:t>(6)</w:t>
            </w:r>
          </w:p>
        </w:tc>
        <w:tc>
          <w:tcPr>
            <w:tcW w:w="1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1"/>
                <w:szCs w:val="11"/>
                <w:color w:val="auto"/>
              </w:rPr>
              <w:t xml:space="preserve">Acentia, LLC, Class A Units </w:t>
            </w:r>
            <w:r>
              <w:rPr>
                <w:rFonts w:ascii="Arial" w:cs="Arial" w:eastAsia="Arial" w:hAnsi="Arial"/>
                <w:sz w:val="17"/>
                <w:szCs w:val="17"/>
                <w:color w:val="auto"/>
                <w:vertAlign w:val="superscript"/>
              </w:rPr>
              <w:t>(12)</w:t>
            </w:r>
          </w:p>
        </w:tc>
        <w:tc>
          <w:tcPr>
            <w:tcW w:w="110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7"/>
              </w:rPr>
              <w:t>Electronics</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1,998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2"/>
              </w:rPr>
              <w:t>$  2,000,000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1,737,396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AH Holdings, Inc. (Warrants) (American Surgical Holdings, Inc.)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13"/>
                <w:szCs w:val="13"/>
                <w:color w:val="auto"/>
              </w:rPr>
            </w:pPr>
          </w:p>
        </w:tc>
        <w:tc>
          <w:tcPr>
            <w:tcW w:w="11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1"/>
              </w:rPr>
              <w:t>03/23/2021</w:t>
            </w:r>
          </w:p>
        </w:tc>
        <w:tc>
          <w:tcPr>
            <w:tcW w:w="14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5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753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2,063,780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Alegeus Technologies Holding Corp., Class A</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7"/>
              </w:rPr>
              <w:t>Financial Services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(Alegeus Technologies, LLC)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950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1,033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Autumn Games, LLC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Broadcasting and</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13"/>
                <w:szCs w:val="13"/>
                <w:color w:val="auto"/>
              </w:rPr>
            </w:pP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Entertainment</w:t>
            </w: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89"/>
              </w:rPr>
              <w:t>1,333,330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0"/>
                <w:szCs w:val="10"/>
                <w:color w:val="auto"/>
              </w:rPr>
              <w:t xml:space="preserve">CI (Galls) Prime Investment Holdings, LLC </w:t>
            </w:r>
            <w:r>
              <w:rPr>
                <w:rFonts w:ascii="Arial" w:cs="Arial" w:eastAsia="Arial" w:hAnsi="Arial"/>
                <w:sz w:val="15"/>
                <w:szCs w:val="15"/>
                <w:color w:val="auto"/>
                <w:vertAlign w:val="superscript"/>
              </w:rPr>
              <w:t>(11)</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91"/>
              </w:rPr>
              <w:t>Distribution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(Galls, LLC; Quartermaster Inc.)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1,505,000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1,505,000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1,680,720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CI (IHS) Investment Holdings, LLC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23,416</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234,693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270,457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0"/>
                <w:szCs w:val="10"/>
                <w:color w:val="auto"/>
              </w:rPr>
              <w:t xml:space="preserve">CI (IHS) Investment Holdings, LLC </w:t>
            </w:r>
            <w:r>
              <w:rPr>
                <w:rFonts w:ascii="Arial" w:cs="Arial" w:eastAsia="Arial" w:hAnsi="Arial"/>
                <w:sz w:val="15"/>
                <w:szCs w:val="15"/>
                <w:color w:val="auto"/>
                <w:vertAlign w:val="superscript"/>
              </w:rPr>
              <w:t>(9)</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(Interactive Health Solutions, Inc.)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11,708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117,346</w:t>
            </w:r>
          </w:p>
        </w:tc>
        <w:tc>
          <w:tcPr>
            <w:tcW w:w="160" w:type="dxa"/>
            <w:vAlign w:val="bottom"/>
          </w:tcPr>
          <w:p>
            <w:pPr>
              <w:spacing w:after="0"/>
              <w:rPr>
                <w:sz w:val="13"/>
                <w:szCs w:val="13"/>
                <w:color w:val="auto"/>
              </w:rPr>
            </w:pPr>
          </w:p>
        </w:tc>
        <w:tc>
          <w:tcPr>
            <w:tcW w:w="820" w:type="dxa"/>
            <w:vAlign w:val="bottom"/>
            <w:gridSpan w:val="2"/>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Convergint Technologies Holdings, LLC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Electronics</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(Convergint Technologies) LLC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2,375</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CT Technologies Holdings, LLC</w:t>
            </w:r>
          </w:p>
        </w:tc>
        <w:tc>
          <w:tcPr>
            <w:tcW w:w="110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5,556</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1,904,033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6,665,183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DirectBuy Investors, L.P.</w:t>
            </w:r>
          </w:p>
        </w:tc>
        <w:tc>
          <w:tcPr>
            <w:tcW w:w="1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Consumer Products</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30,000</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HW Topco, Inc.</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(Hanley-Wood, LLC)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348,912</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2,443,050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2,642,438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Kadmon Holdings, LLC, Class A</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89"/>
              </w:rPr>
              <w:t>1,079,920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1,236,832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12,013,688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Kadmon Holdings, LLC, Class D</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(Kadmon Pharmaceuticals, LLC)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jc w:val="center"/>
              <w:spacing w:after="0" w:line="159" w:lineRule="exact"/>
              <w:rPr>
                <w:sz w:val="20"/>
                <w:szCs w:val="20"/>
                <w:color w:val="auto"/>
              </w:rPr>
            </w:pPr>
            <w:r>
              <w:rPr>
                <w:rFonts w:ascii="Arial" w:cs="Arial" w:eastAsia="Arial" w:hAnsi="Arial"/>
                <w:sz w:val="14"/>
                <w:szCs w:val="14"/>
                <w:color w:val="auto"/>
                <w:w w:val="87"/>
              </w:rPr>
              <w:t>and Childcare</w:t>
            </w: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1,079,920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1,028,807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1,028,807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Learning Care Group (US) Inc. (Warrants)</w:t>
            </w:r>
          </w:p>
        </w:tc>
        <w:tc>
          <w:tcPr>
            <w:tcW w:w="11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1"/>
              </w:rPr>
              <w:t>04/27/2020</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Education</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1,267</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779,920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Magnum Hunter Resources Corporation</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(Eureka Hunter Pipeline, LLC)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w w:val="89"/>
              </w:rPr>
              <w:t>1,221,932</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3,239,999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5,425,378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Magnum Hunter Resources Corporation (Warrants)</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Oil and Gas</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(Eureka Hunter Pipeline, LLC)</w:t>
            </w:r>
          </w:p>
        </w:tc>
        <w:tc>
          <w:tcPr>
            <w:tcW w:w="110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w w:val="91"/>
              </w:rPr>
              <w:t>10/14/2013</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122,193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105,697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31,778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MidOcean JF Holdings Corp.</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91"/>
              </w:rPr>
              <w:t>Distribution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(JF Acquisition, LLC)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1,700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1,700,000</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1,641,575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MidOcean PPL Holdings, Inc.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Personal, Food and</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(Pre-Paid Legal Services, Inc.)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59" w:lineRule="exact"/>
              <w:rPr>
                <w:sz w:val="20"/>
                <w:szCs w:val="20"/>
                <w:color w:val="auto"/>
              </w:rPr>
            </w:pPr>
            <w:r>
              <w:rPr>
                <w:rFonts w:ascii="Arial" w:cs="Arial" w:eastAsia="Arial" w:hAnsi="Arial"/>
                <w:sz w:val="14"/>
                <w:szCs w:val="14"/>
                <w:color w:val="auto"/>
                <w:w w:val="87"/>
              </w:rPr>
              <w:t>Miscellaneous Services</w:t>
            </w: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3,000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4,377,360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Paradigm Acquisition Corp.</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7"/>
              </w:rPr>
              <w:t>Healthcare, Education</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(Paradigm Management Services, LLC)</w:t>
            </w:r>
          </w:p>
        </w:tc>
        <w:tc>
          <w:tcPr>
            <w:tcW w:w="1100" w:type="dxa"/>
            <w:vAlign w:val="bottom"/>
          </w:tcPr>
          <w:p>
            <w:pPr>
              <w:ind w:left="6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87"/>
              </w:rPr>
              <w:t>and Childcare</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20,000</w:t>
            </w: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2,124,491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PAS Tech Holdings, Inc.</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Aerospace and Defense</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(PAS Technologies, Inc.)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20,000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QMG HoldCo, LLC, Class A</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4,325</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1,306,166</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1,404,661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QMG HoldCo, LLC, Class B</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8"/>
              </w:rPr>
              <w:t>Other Media</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(Questex Media Group, Inc.)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531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172,457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SPG Boyd Holdings Corp.</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7"/>
              </w:rPr>
              <w:t>Chemical, Plastic</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ind w:left="200"/>
              <w:spacing w:after="0"/>
              <w:rPr>
                <w:sz w:val="20"/>
                <w:szCs w:val="20"/>
                <w:color w:val="auto"/>
              </w:rPr>
            </w:pPr>
            <w:r>
              <w:rPr>
                <w:rFonts w:ascii="Arial" w:cs="Arial" w:eastAsia="Arial" w:hAnsi="Arial"/>
                <w:sz w:val="14"/>
                <w:szCs w:val="14"/>
                <w:color w:val="auto"/>
              </w:rPr>
              <w:t>(LTI Flexible Products, Inc.)</w:t>
            </w:r>
          </w:p>
        </w:tc>
        <w:tc>
          <w:tcPr>
            <w:tcW w:w="1100" w:type="dxa"/>
            <w:vAlign w:val="bottom"/>
          </w:tcPr>
          <w:p>
            <w:pPr>
              <w:ind w:left="640"/>
              <w:spacing w:after="0"/>
              <w:rPr>
                <w:sz w:val="20"/>
                <w:szCs w:val="20"/>
                <w:color w:val="auto"/>
              </w:rPr>
            </w:pPr>
            <w:r>
              <w:rPr>
                <w:rFonts w:ascii="Arial" w:cs="Arial" w:eastAsia="Arial" w:hAnsi="Arial"/>
                <w:sz w:val="14"/>
                <w:szCs w:val="14"/>
                <w:color w:val="auto"/>
              </w:rPr>
              <w:t>—</w:t>
            </w:r>
          </w:p>
        </w:tc>
        <w:tc>
          <w:tcPr>
            <w:tcW w:w="1400" w:type="dxa"/>
            <w:vAlign w:val="bottom"/>
          </w:tcPr>
          <w:p>
            <w:pPr>
              <w:jc w:val="center"/>
              <w:spacing w:after="0"/>
              <w:rPr>
                <w:sz w:val="20"/>
                <w:szCs w:val="20"/>
                <w:color w:val="auto"/>
              </w:rPr>
            </w:pPr>
            <w:r>
              <w:rPr>
                <w:rFonts w:ascii="Arial" w:cs="Arial" w:eastAsia="Arial" w:hAnsi="Arial"/>
                <w:sz w:val="14"/>
                <w:szCs w:val="14"/>
                <w:color w:val="auto"/>
                <w:w w:val="87"/>
              </w:rPr>
              <w:t>and Rubber</w:t>
            </w:r>
          </w:p>
        </w:tc>
        <w:tc>
          <w:tcPr>
            <w:tcW w:w="82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300,000</w:t>
            </w:r>
          </w:p>
        </w:tc>
        <w:tc>
          <w:tcPr>
            <w:tcW w:w="740" w:type="dxa"/>
            <w:vAlign w:val="bottom"/>
          </w:tcPr>
          <w:p>
            <w:pPr>
              <w:jc w:val="right"/>
              <w:spacing w:after="0"/>
              <w:rPr>
                <w:sz w:val="20"/>
                <w:szCs w:val="20"/>
                <w:color w:val="auto"/>
              </w:rPr>
            </w:pPr>
            <w:r>
              <w:rPr>
                <w:rFonts w:ascii="Arial" w:cs="Arial" w:eastAsia="Arial" w:hAnsi="Arial"/>
                <w:sz w:val="14"/>
                <w:szCs w:val="14"/>
                <w:color w:val="auto"/>
              </w:rPr>
              <w:t>3,000,000</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3,000,000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 – Class A</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7"/>
              </w:rPr>
              <w:t>Telecommunications</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w w:val="89"/>
              </w:rPr>
              <w:t>2,276,847</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2,274,883</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6,182,426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TRAK Acquisition Corp. (Warrants)</w:t>
            </w:r>
          </w:p>
        </w:tc>
        <w:tc>
          <w:tcPr>
            <w:tcW w:w="1100" w:type="dxa"/>
            <w:vAlign w:val="bottom"/>
          </w:tcPr>
          <w:p>
            <w:pPr>
              <w:ind w:left="440"/>
              <w:spacing w:after="0" w:line="149" w:lineRule="exact"/>
              <w:rPr>
                <w:sz w:val="20"/>
                <w:szCs w:val="20"/>
                <w:color w:val="auto"/>
              </w:rPr>
            </w:pPr>
            <w:r>
              <w:rPr>
                <w:rFonts w:ascii="Arial" w:cs="Arial" w:eastAsia="Arial" w:hAnsi="Arial"/>
                <w:sz w:val="14"/>
                <w:szCs w:val="14"/>
                <w:color w:val="auto"/>
                <w:w w:val="91"/>
              </w:rPr>
              <w:t>12/29/2019</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29,400</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1,197,412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Transportation 100 Holdco, L.L.C. </w:t>
            </w:r>
            <w:r>
              <w:rPr>
                <w:rFonts w:ascii="Arial" w:cs="Arial" w:eastAsia="Arial" w:hAnsi="Arial"/>
                <w:sz w:val="15"/>
                <w:szCs w:val="15"/>
                <w:color w:val="auto"/>
                <w:vertAlign w:val="superscript"/>
              </w:rPr>
              <w:t>(13)</w:t>
            </w:r>
          </w:p>
        </w:tc>
        <w:tc>
          <w:tcPr>
            <w:tcW w:w="1100" w:type="dxa"/>
            <w:vAlign w:val="bottom"/>
            <w:shd w:val="clear" w:color="auto" w:fill="CCEEFF"/>
          </w:tcPr>
          <w:p>
            <w:pPr>
              <w:spacing w:after="0"/>
              <w:rPr>
                <w:sz w:val="11"/>
                <w:szCs w:val="11"/>
                <w:color w:val="auto"/>
              </w:rPr>
            </w:pPr>
          </w:p>
        </w:tc>
        <w:tc>
          <w:tcPr>
            <w:tcW w:w="140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w w:val="86"/>
              </w:rPr>
              <w:t>Cargo Transport</w:t>
            </w: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(Greatwide Logistics Services, L.L.C.)</w:t>
            </w:r>
          </w:p>
        </w:tc>
        <w:tc>
          <w:tcPr>
            <w:tcW w:w="110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137,923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2,111,588</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54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60" w:type="dxa"/>
            <w:vAlign w:val="bottom"/>
          </w:tcPr>
          <w:p>
            <w:pPr>
              <w:spacing w:after="0" w:line="138" w:lineRule="exact"/>
              <w:rPr>
                <w:sz w:val="20"/>
                <w:szCs w:val="20"/>
                <w:color w:val="auto"/>
              </w:rPr>
            </w:pPr>
            <w:r>
              <w:rPr>
                <w:rFonts w:ascii="Arial" w:cs="Arial" w:eastAsia="Arial" w:hAnsi="Arial"/>
                <w:sz w:val="14"/>
                <w:szCs w:val="14"/>
                <w:color w:val="auto"/>
              </w:rPr>
              <w:t>TZ Holdings, L.P.</w:t>
            </w:r>
          </w:p>
        </w:tc>
        <w:tc>
          <w:tcPr>
            <w:tcW w:w="1100" w:type="dxa"/>
            <w:vAlign w:val="bottom"/>
          </w:tcPr>
          <w:p>
            <w:pPr>
              <w:spacing w:after="0"/>
              <w:rPr>
                <w:sz w:val="11"/>
                <w:szCs w:val="11"/>
                <w:color w:val="auto"/>
              </w:rPr>
            </w:pPr>
          </w:p>
        </w:tc>
        <w:tc>
          <w:tcPr>
            <w:tcW w:w="1400" w:type="dxa"/>
            <w:vAlign w:val="bottom"/>
          </w:tcPr>
          <w:p>
            <w:pPr>
              <w:jc w:val="center"/>
              <w:spacing w:after="0" w:line="138" w:lineRule="exact"/>
              <w:rPr>
                <w:sz w:val="20"/>
                <w:szCs w:val="20"/>
                <w:color w:val="auto"/>
              </w:rPr>
            </w:pPr>
            <w:r>
              <w:rPr>
                <w:rFonts w:ascii="Arial" w:cs="Arial" w:eastAsia="Arial" w:hAnsi="Arial"/>
                <w:sz w:val="14"/>
                <w:szCs w:val="14"/>
                <w:color w:val="auto"/>
                <w:w w:val="84"/>
              </w:rPr>
              <w:t>Insurance</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660" w:type="dxa"/>
            <w:vAlign w:val="bottom"/>
          </w:tcPr>
          <w:p>
            <w:pPr>
              <w:ind w:left="200"/>
              <w:spacing w:after="0" w:line="159" w:lineRule="exact"/>
              <w:rPr>
                <w:sz w:val="20"/>
                <w:szCs w:val="20"/>
                <w:color w:val="auto"/>
              </w:rPr>
            </w:pPr>
            <w:r>
              <w:rPr>
                <w:rFonts w:ascii="Arial" w:cs="Arial" w:eastAsia="Arial" w:hAnsi="Arial"/>
                <w:sz w:val="14"/>
                <w:szCs w:val="14"/>
                <w:color w:val="auto"/>
              </w:rPr>
              <w:t>(Trizetto Group, Inc.)</w:t>
            </w:r>
          </w:p>
        </w:tc>
        <w:tc>
          <w:tcPr>
            <w:tcW w:w="1100" w:type="dxa"/>
            <w:vAlign w:val="bottom"/>
          </w:tcPr>
          <w:p>
            <w:pPr>
              <w:ind w:left="640"/>
              <w:spacing w:after="0" w:line="159" w:lineRule="exact"/>
              <w:rPr>
                <w:sz w:val="20"/>
                <w:szCs w:val="20"/>
                <w:color w:val="auto"/>
              </w:rPr>
            </w:pPr>
            <w:r>
              <w:rPr>
                <w:rFonts w:ascii="Arial" w:cs="Arial" w:eastAsia="Arial" w:hAnsi="Arial"/>
                <w:sz w:val="14"/>
                <w:szCs w:val="14"/>
                <w:color w:val="auto"/>
              </w:rPr>
              <w:t>—</w:t>
            </w:r>
          </w:p>
        </w:tc>
        <w:tc>
          <w:tcPr>
            <w:tcW w:w="1400" w:type="dxa"/>
            <w:vAlign w:val="bottom"/>
          </w:tcPr>
          <w:p>
            <w:pPr>
              <w:spacing w:after="0"/>
              <w:rPr>
                <w:sz w:val="13"/>
                <w:szCs w:val="13"/>
                <w:color w:val="auto"/>
              </w:rPr>
            </w:pPr>
          </w:p>
        </w:tc>
        <w:tc>
          <w:tcPr>
            <w:tcW w:w="820" w:type="dxa"/>
            <w:vAlign w:val="bottom"/>
            <w:gridSpan w:val="2"/>
          </w:tcPr>
          <w:p>
            <w:pPr>
              <w:ind w:left="32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2</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9,567</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713,718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Verde Parent Holdings, Inc.</w:t>
            </w:r>
          </w:p>
        </w:tc>
        <w:tc>
          <w:tcPr>
            <w:tcW w:w="1100" w:type="dxa"/>
            <w:vAlign w:val="bottom"/>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Personal Transportation</w:t>
            </w:r>
          </w:p>
        </w:tc>
        <w:tc>
          <w:tcPr>
            <w:tcW w:w="82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9,166</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9,167</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tcPr>
          <w:p>
            <w:pPr>
              <w:spacing w:after="0" w:line="149" w:lineRule="exact"/>
              <w:rPr>
                <w:sz w:val="20"/>
                <w:szCs w:val="20"/>
                <w:color w:val="auto"/>
              </w:rPr>
            </w:pPr>
            <w:r>
              <w:rPr>
                <w:rFonts w:ascii="Arial" w:cs="Arial" w:eastAsia="Arial" w:hAnsi="Arial"/>
                <w:sz w:val="14"/>
                <w:szCs w:val="14"/>
                <w:color w:val="auto"/>
              </w:rPr>
              <w:t>VText Holdings, Inc. (Veritext Corp.)</w:t>
            </w:r>
          </w:p>
        </w:tc>
        <w:tc>
          <w:tcPr>
            <w:tcW w:w="1100" w:type="dxa"/>
            <w:vAlign w:val="bottom"/>
          </w:tcPr>
          <w:p>
            <w:pPr>
              <w:ind w:left="640"/>
              <w:spacing w:after="0" w:line="149" w:lineRule="exact"/>
              <w:rPr>
                <w:sz w:val="20"/>
                <w:szCs w:val="20"/>
                <w:color w:val="auto"/>
              </w:rPr>
            </w:pPr>
            <w:r>
              <w:rPr>
                <w:rFonts w:ascii="Arial" w:cs="Arial" w:eastAsia="Arial" w:hAnsi="Arial"/>
                <w:sz w:val="14"/>
                <w:szCs w:val="14"/>
                <w:color w:val="auto"/>
              </w:rPr>
              <w:t>—</w:t>
            </w:r>
          </w:p>
        </w:tc>
        <w:tc>
          <w:tcPr>
            <w:tcW w:w="1400" w:type="dxa"/>
            <w:vAlign w:val="bottom"/>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2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35,526</w:t>
            </w: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4,050,000</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6,941,000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Equity/Warrants/ Partnership Interests</w:t>
            </w:r>
          </w:p>
        </w:tc>
        <w:tc>
          <w:tcPr>
            <w:tcW w:w="1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38,457,098</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61,315,758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Non-Affiliated Portfolio Companies</w:t>
            </w: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871,867,953</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871,892,745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Basis Point</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jc w:val="center"/>
              <w:ind w:right="73"/>
              <w:spacing w:after="0" w:line="149" w:lineRule="exact"/>
              <w:rPr>
                <w:sz w:val="20"/>
                <w:szCs w:val="20"/>
                <w:color w:val="auto"/>
              </w:rPr>
            </w:pPr>
            <w:r>
              <w:rPr>
                <w:rFonts w:ascii="Arial" w:cs="Arial" w:eastAsia="Arial" w:hAnsi="Arial"/>
                <w:sz w:val="14"/>
                <w:szCs w:val="14"/>
                <w:b w:val="1"/>
                <w:bCs w:val="1"/>
                <w:color w:val="auto"/>
                <w:w w:val="88"/>
              </w:rPr>
              <w:t>Spread</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95"/>
              </w:rPr>
              <w:t>Maturity</w:t>
            </w:r>
          </w:p>
        </w:tc>
        <w:tc>
          <w:tcPr>
            <w:tcW w:w="17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0"/>
              </w:rPr>
              <w:t>Industry</w:t>
            </w:r>
          </w:p>
        </w:tc>
        <w:tc>
          <w:tcPr>
            <w:tcW w:w="1080" w:type="dxa"/>
            <w:vAlign w:val="bottom"/>
          </w:tcPr>
          <w:p>
            <w:pPr>
              <w:jc w:val="right"/>
              <w:ind w:right="335"/>
              <w:spacing w:after="0"/>
              <w:rPr>
                <w:sz w:val="20"/>
                <w:szCs w:val="20"/>
                <w:color w:val="auto"/>
              </w:rPr>
            </w:pPr>
            <w:r>
              <w:rPr>
                <w:rFonts w:ascii="Arial" w:cs="Arial" w:eastAsia="Arial" w:hAnsi="Arial"/>
                <w:sz w:val="14"/>
                <w:szCs w:val="14"/>
                <w:b w:val="1"/>
                <w:bCs w:val="1"/>
                <w:color w:val="auto"/>
              </w:rPr>
              <w:t>Current</w:t>
            </w:r>
          </w:p>
        </w:tc>
        <w:tc>
          <w:tcPr>
            <w:tcW w:w="920" w:type="dxa"/>
            <w:vAlign w:val="bottom"/>
          </w:tcPr>
          <w:p>
            <w:pPr>
              <w:jc w:val="center"/>
              <w:ind w:right="73"/>
              <w:spacing w:after="0"/>
              <w:rPr>
                <w:sz w:val="20"/>
                <w:szCs w:val="20"/>
                <w:color w:val="auto"/>
              </w:rPr>
            </w:pPr>
            <w:r>
              <w:rPr>
                <w:rFonts w:ascii="Arial" w:cs="Arial" w:eastAsia="Arial" w:hAnsi="Arial"/>
                <w:sz w:val="14"/>
                <w:szCs w:val="14"/>
                <w:b w:val="1"/>
                <w:bCs w:val="1"/>
                <w:color w:val="auto"/>
                <w:w w:val="88"/>
              </w:rPr>
              <w:t>Above</w:t>
            </w:r>
          </w:p>
        </w:tc>
        <w:tc>
          <w:tcPr>
            <w:tcW w:w="980" w:type="dxa"/>
            <w:vAlign w:val="bottom"/>
          </w:tcPr>
          <w:p>
            <w:pPr>
              <w:jc w:val="right"/>
              <w:ind w:right="452"/>
              <w:spacing w:after="0"/>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4"/>
                <w:szCs w:val="14"/>
                <w:color w:val="auto"/>
              </w:rPr>
            </w:pPr>
          </w:p>
        </w:tc>
        <w:tc>
          <w:tcPr>
            <w:tcW w:w="10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149"/>
        </w:trPr>
        <w:tc>
          <w:tcPr>
            <w:tcW w:w="368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1080" w:type="dxa"/>
            <w:vAlign w:val="bottom"/>
          </w:tcPr>
          <w:p>
            <w:pPr>
              <w:jc w:val="right"/>
              <w:ind w:right="355"/>
              <w:spacing w:after="0" w:line="149" w:lineRule="exact"/>
              <w:rPr>
                <w:sz w:val="20"/>
                <w:szCs w:val="20"/>
                <w:color w:val="auto"/>
              </w:rPr>
            </w:pPr>
            <w:r>
              <w:rPr>
                <w:rFonts w:ascii="Arial" w:cs="Arial" w:eastAsia="Arial" w:hAnsi="Arial"/>
                <w:sz w:val="14"/>
                <w:szCs w:val="14"/>
                <w:b w:val="1"/>
                <w:bCs w:val="1"/>
                <w:color w:val="auto"/>
              </w:rPr>
              <w:t>Coupon</w:t>
            </w:r>
          </w:p>
        </w:tc>
        <w:tc>
          <w:tcPr>
            <w:tcW w:w="920" w:type="dxa"/>
            <w:vAlign w:val="bottom"/>
          </w:tcPr>
          <w:p>
            <w:pPr>
              <w:jc w:val="center"/>
              <w:ind w:right="73"/>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(4)</w:t>
            </w:r>
          </w:p>
        </w:tc>
        <w:tc>
          <w:tcPr>
            <w:tcW w:w="980" w:type="dxa"/>
            <w:vAlign w:val="bottom"/>
          </w:tcPr>
          <w:p>
            <w:pPr>
              <w:jc w:val="right"/>
              <w:ind w:right="372"/>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253"/>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 xml:space="preserve">Investments in Non-Controlled, Affiliated Portfolio Companies—12.0% </w:t>
            </w:r>
            <w:r>
              <w:rPr>
                <w:rFonts w:ascii="Arial" w:cs="Arial" w:eastAsia="Arial" w:hAnsi="Arial"/>
                <w:sz w:val="16"/>
                <w:szCs w:val="16"/>
                <w:b w:val="1"/>
                <w:bCs w:val="1"/>
                <w:color w:val="auto"/>
                <w:vertAlign w:val="superscript"/>
              </w:rPr>
              <w:t>(1),(2)</w:t>
            </w:r>
          </w:p>
        </w:tc>
        <w:tc>
          <w:tcPr>
            <w:tcW w:w="17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rPr>
              <w:t>Second Lien Secured Debt—1.1%</w:t>
            </w:r>
          </w:p>
        </w:tc>
        <w:tc>
          <w:tcPr>
            <w:tcW w:w="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vMerge w:val="restart"/>
          </w:tcPr>
          <w:p>
            <w:pPr>
              <w:ind w:left="340"/>
              <w:spacing w:after="0"/>
              <w:rPr>
                <w:sz w:val="20"/>
                <w:szCs w:val="20"/>
                <w:color w:val="auto"/>
              </w:rPr>
            </w:pPr>
            <w:r>
              <w:rPr>
                <w:rFonts w:ascii="Arial" w:cs="Arial" w:eastAsia="Arial" w:hAnsi="Arial"/>
                <w:sz w:val="14"/>
                <w:szCs w:val="14"/>
                <w:color w:val="auto"/>
                <w:w w:val="97"/>
              </w:rPr>
              <w:t>L+625</w:t>
            </w:r>
            <w:r>
              <w:rPr>
                <w:rFonts w:ascii="Arial" w:cs="Arial" w:eastAsia="Arial" w:hAnsi="Arial"/>
                <w:sz w:val="22"/>
                <w:szCs w:val="22"/>
                <w:color w:val="auto"/>
                <w:w w:val="97"/>
                <w:vertAlign w:val="superscript"/>
              </w:rPr>
              <w:t>(8)</w:t>
            </w: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spacing w:after="0" w:line="138" w:lineRule="exact"/>
              <w:rPr>
                <w:sz w:val="20"/>
                <w:szCs w:val="20"/>
                <w:color w:val="auto"/>
              </w:rPr>
            </w:pPr>
            <w:r>
              <w:rPr>
                <w:rFonts w:ascii="Arial" w:cs="Arial" w:eastAsia="Arial" w:hAnsi="Arial"/>
                <w:sz w:val="14"/>
                <w:szCs w:val="14"/>
                <w:color w:val="auto"/>
              </w:rPr>
              <w:t>Performance, Inc.</w:t>
            </w:r>
          </w:p>
        </w:tc>
        <w:tc>
          <w:tcPr>
            <w:tcW w:w="840" w:type="dxa"/>
            <w:vAlign w:val="bottom"/>
          </w:tcPr>
          <w:p>
            <w:pPr>
              <w:jc w:val="center"/>
              <w:ind w:right="112"/>
              <w:spacing w:after="0" w:line="138" w:lineRule="exact"/>
              <w:rPr>
                <w:sz w:val="20"/>
                <w:szCs w:val="20"/>
                <w:color w:val="auto"/>
              </w:rPr>
            </w:pPr>
            <w:r>
              <w:rPr>
                <w:rFonts w:ascii="Arial" w:cs="Arial" w:eastAsia="Arial" w:hAnsi="Arial"/>
                <w:sz w:val="14"/>
                <w:szCs w:val="14"/>
                <w:color w:val="auto"/>
                <w:w w:val="88"/>
              </w:rPr>
              <w:t>01/16/2015</w:t>
            </w:r>
          </w:p>
        </w:tc>
        <w:tc>
          <w:tcPr>
            <w:tcW w:w="1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9"/>
              </w:rPr>
              <w:t>Leisure, Amusement Motion</w:t>
            </w:r>
          </w:p>
        </w:tc>
        <w:tc>
          <w:tcPr>
            <w:tcW w:w="1080" w:type="dxa"/>
            <w:vAlign w:val="bottom"/>
          </w:tcPr>
          <w:p>
            <w:pPr>
              <w:jc w:val="right"/>
              <w:ind w:right="135"/>
              <w:spacing w:after="0" w:line="138" w:lineRule="exact"/>
              <w:rPr>
                <w:sz w:val="20"/>
                <w:szCs w:val="20"/>
                <w:color w:val="auto"/>
              </w:rPr>
            </w:pPr>
            <w:r>
              <w:rPr>
                <w:rFonts w:ascii="Arial" w:cs="Arial" w:eastAsia="Arial" w:hAnsi="Arial"/>
                <w:sz w:val="14"/>
                <w:szCs w:val="14"/>
                <w:color w:val="auto"/>
              </w:rPr>
              <w:t>7.25%</w:t>
            </w:r>
          </w:p>
        </w:tc>
        <w:tc>
          <w:tcPr>
            <w:tcW w:w="920" w:type="dxa"/>
            <w:vAlign w:val="bottom"/>
            <w:vMerge w:val="continue"/>
          </w:tcPr>
          <w:p>
            <w:pPr>
              <w:spacing w:after="0"/>
              <w:rPr>
                <w:sz w:val="11"/>
                <w:szCs w:val="11"/>
                <w:color w:val="auto"/>
              </w:rPr>
            </w:pPr>
          </w:p>
        </w:tc>
        <w:tc>
          <w:tcPr>
            <w:tcW w:w="98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8,000,000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8,000,000</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7,672,000</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tcPr>
          <w:p>
            <w:pPr>
              <w:jc w:val="center"/>
              <w:ind w:right="32"/>
              <w:spacing w:after="0" w:line="159" w:lineRule="exact"/>
              <w:rPr>
                <w:sz w:val="20"/>
                <w:szCs w:val="20"/>
                <w:color w:val="auto"/>
              </w:rPr>
            </w:pPr>
            <w:r>
              <w:rPr>
                <w:rFonts w:ascii="Arial" w:cs="Arial" w:eastAsia="Arial" w:hAnsi="Arial"/>
                <w:sz w:val="14"/>
                <w:szCs w:val="14"/>
                <w:color w:val="auto"/>
                <w:w w:val="86"/>
              </w:rPr>
              <w:t>Pictures and Entertainment</w:t>
            </w: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Subordinated Debt/Corporate Notes—7.1%</w:t>
            </w:r>
          </w:p>
        </w:tc>
        <w:tc>
          <w:tcPr>
            <w:tcW w:w="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Performance Holdings, Inc.</w:t>
            </w:r>
          </w:p>
        </w:tc>
        <w:tc>
          <w:tcPr>
            <w:tcW w:w="840" w:type="dxa"/>
            <w:vAlign w:val="bottom"/>
            <w:shd w:val="clear" w:color="auto" w:fill="CCEEFF"/>
          </w:tcPr>
          <w:p>
            <w:pPr>
              <w:jc w:val="center"/>
              <w:ind w:right="112"/>
              <w:spacing w:after="0" w:line="138" w:lineRule="exact"/>
              <w:rPr>
                <w:sz w:val="20"/>
                <w:szCs w:val="20"/>
                <w:color w:val="auto"/>
              </w:rPr>
            </w:pPr>
            <w:r>
              <w:rPr>
                <w:rFonts w:ascii="Arial" w:cs="Arial" w:eastAsia="Arial" w:hAnsi="Arial"/>
                <w:sz w:val="14"/>
                <w:szCs w:val="14"/>
                <w:color w:val="auto"/>
                <w:w w:val="88"/>
              </w:rPr>
              <w:t>07/16/2015</w:t>
            </w:r>
          </w:p>
        </w:tc>
        <w:tc>
          <w:tcPr>
            <w:tcW w:w="1760" w:type="dxa"/>
            <w:vAlign w:val="bottom"/>
            <w:shd w:val="clear" w:color="auto" w:fill="CCEEFF"/>
          </w:tcPr>
          <w:p>
            <w:pPr>
              <w:jc w:val="center"/>
              <w:ind w:right="12"/>
              <w:spacing w:after="0" w:line="138" w:lineRule="exact"/>
              <w:rPr>
                <w:sz w:val="20"/>
                <w:szCs w:val="20"/>
                <w:color w:val="auto"/>
              </w:rPr>
            </w:pPr>
            <w:r>
              <w:rPr>
                <w:rFonts w:ascii="Arial" w:cs="Arial" w:eastAsia="Arial" w:hAnsi="Arial"/>
                <w:sz w:val="14"/>
                <w:szCs w:val="14"/>
                <w:color w:val="auto"/>
                <w:w w:val="87"/>
              </w:rPr>
              <w:t>Leisure, Amusement,</w:t>
            </w:r>
          </w:p>
        </w:tc>
        <w:tc>
          <w:tcPr>
            <w:tcW w:w="1080" w:type="dxa"/>
            <w:vAlign w:val="bottom"/>
            <w:shd w:val="clear" w:color="auto" w:fill="CCEEFF"/>
          </w:tcPr>
          <w:p>
            <w:pPr>
              <w:jc w:val="right"/>
              <w:ind w:right="15"/>
              <w:spacing w:after="0" w:line="138" w:lineRule="exact"/>
              <w:rPr>
                <w:sz w:val="20"/>
                <w:szCs w:val="20"/>
                <w:color w:val="auto"/>
              </w:rPr>
            </w:pPr>
            <w:r>
              <w:rPr>
                <w:rFonts w:ascii="Arial" w:cs="Arial" w:eastAsia="Arial" w:hAnsi="Arial"/>
                <w:sz w:val="10"/>
                <w:szCs w:val="10"/>
                <w:color w:val="auto"/>
              </w:rPr>
              <w:t>15.00%</w:t>
            </w:r>
            <w:r>
              <w:rPr>
                <w:rFonts w:ascii="Arial" w:cs="Arial" w:eastAsia="Arial" w:hAnsi="Arial"/>
                <w:sz w:val="15"/>
                <w:szCs w:val="15"/>
                <w:color w:val="auto"/>
                <w:vertAlign w:val="superscript"/>
              </w:rPr>
              <w:t>(7)</w:t>
            </w:r>
          </w:p>
        </w:tc>
        <w:tc>
          <w:tcPr>
            <w:tcW w:w="92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7,567,234</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7,435,314</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7,453,725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right="32"/>
              <w:spacing w:after="0" w:line="149" w:lineRule="exact"/>
              <w:rPr>
                <w:sz w:val="20"/>
                <w:szCs w:val="20"/>
                <w:color w:val="auto"/>
              </w:rPr>
            </w:pPr>
            <w:r>
              <w:rPr>
                <w:rFonts w:ascii="Arial" w:cs="Arial" w:eastAsia="Arial" w:hAnsi="Arial"/>
                <w:sz w:val="14"/>
                <w:szCs w:val="14"/>
                <w:color w:val="auto"/>
                <w:w w:val="88"/>
              </w:rPr>
              <w:t>Motion Pictures and</w:t>
            </w: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6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87"/>
              </w:rPr>
              <w:t>Entertainment</w:t>
            </w:r>
          </w:p>
        </w:tc>
        <w:tc>
          <w:tcPr>
            <w:tcW w:w="10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Service Champ, Inc.</w:t>
            </w: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88"/>
              </w:rPr>
              <w:t>10/02/2017</w:t>
            </w:r>
          </w:p>
        </w:tc>
        <w:tc>
          <w:tcPr>
            <w:tcW w:w="17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7"/>
              </w:rPr>
              <w:t>Auto Sector</w:t>
            </w:r>
          </w:p>
        </w:tc>
        <w:tc>
          <w:tcPr>
            <w:tcW w:w="108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12.50%</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w w:val="91"/>
              </w:rPr>
              <w:t>24,000,000</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23,495,700</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24,000,000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Service Champ, Inc. </w:t>
            </w:r>
            <w:r>
              <w:rPr>
                <w:rFonts w:ascii="Arial" w:cs="Arial" w:eastAsia="Arial" w:hAnsi="Arial"/>
                <w:sz w:val="17"/>
                <w:szCs w:val="17"/>
                <w:color w:val="auto"/>
                <w:vertAlign w:val="superscript"/>
              </w:rPr>
              <w:t>(9)</w:t>
            </w:r>
          </w:p>
        </w:tc>
        <w:tc>
          <w:tcPr>
            <w:tcW w:w="840" w:type="dxa"/>
            <w:vAlign w:val="bottom"/>
            <w:shd w:val="clear" w:color="auto" w:fill="CCEEFF"/>
          </w:tcPr>
          <w:p>
            <w:pPr>
              <w:jc w:val="center"/>
              <w:ind w:right="112"/>
              <w:spacing w:after="0" w:line="149" w:lineRule="exact"/>
              <w:rPr>
                <w:sz w:val="20"/>
                <w:szCs w:val="20"/>
                <w:color w:val="auto"/>
              </w:rPr>
            </w:pPr>
            <w:r>
              <w:rPr>
                <w:rFonts w:ascii="Arial" w:cs="Arial" w:eastAsia="Arial" w:hAnsi="Arial"/>
                <w:sz w:val="14"/>
                <w:szCs w:val="14"/>
                <w:color w:val="auto"/>
                <w:w w:val="88"/>
              </w:rPr>
              <w:t>10/02/2013</w:t>
            </w:r>
          </w:p>
        </w:tc>
        <w:tc>
          <w:tcPr>
            <w:tcW w:w="176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7"/>
              </w:rPr>
              <w:t>Auto Sector</w:t>
            </w:r>
          </w:p>
        </w:tc>
        <w:tc>
          <w:tcPr>
            <w:tcW w:w="1080" w:type="dxa"/>
            <w:vAlign w:val="bottom"/>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1"/>
              </w:rPr>
              <w:t>16,000,000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15,640,000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16,000,000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Subordinated Debt/Corporate Notes</w:t>
            </w: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46,571,014</w:t>
            </w:r>
          </w:p>
        </w:tc>
        <w:tc>
          <w:tcPr>
            <w:tcW w:w="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47,453,725</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Equity/Partnership Interest—3.8% </w:t>
            </w:r>
            <w:r>
              <w:rPr>
                <w:rFonts w:ascii="Arial" w:cs="Arial" w:eastAsia="Arial" w:hAnsi="Arial"/>
                <w:sz w:val="17"/>
                <w:szCs w:val="17"/>
                <w:b w:val="1"/>
                <w:bCs w:val="1"/>
                <w:color w:val="auto"/>
                <w:vertAlign w:val="superscript"/>
              </w:rPr>
              <w:t>(6)</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EnviroSolutions, Inc.</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76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Environmental Services</w:t>
            </w:r>
          </w:p>
        </w:tc>
        <w:tc>
          <w:tcPr>
            <w:tcW w:w="1080" w:type="dxa"/>
            <w:vAlign w:val="bottom"/>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125,106</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10,055,844</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18,425,519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NCP-Performance</w:t>
            </w:r>
          </w:p>
        </w:tc>
        <w:tc>
          <w:tcPr>
            <w:tcW w:w="84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ind w:right="12"/>
              <w:spacing w:after="0" w:line="138" w:lineRule="exact"/>
              <w:rPr>
                <w:sz w:val="20"/>
                <w:szCs w:val="20"/>
                <w:color w:val="auto"/>
              </w:rPr>
            </w:pPr>
            <w:r>
              <w:rPr>
                <w:rFonts w:ascii="Arial" w:cs="Arial" w:eastAsia="Arial" w:hAnsi="Arial"/>
                <w:sz w:val="14"/>
                <w:szCs w:val="14"/>
                <w:color w:val="auto"/>
                <w:w w:val="87"/>
              </w:rPr>
              <w:t>Leisure, Amusement,</w:t>
            </w:r>
          </w:p>
        </w:tc>
        <w:tc>
          <w:tcPr>
            <w:tcW w:w="1080" w:type="dxa"/>
            <w:vAlign w:val="bottom"/>
            <w:shd w:val="clear" w:color="auto" w:fill="CCEEFF"/>
          </w:tcPr>
          <w:p>
            <w:pPr>
              <w:jc w:val="right"/>
              <w:ind w:right="315"/>
              <w:spacing w:after="0" w:line="138"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00"/>
              <w:spacing w:after="0" w:line="138"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38" w:lineRule="exact"/>
              <w:rPr>
                <w:sz w:val="20"/>
                <w:szCs w:val="20"/>
                <w:color w:val="auto"/>
              </w:rPr>
            </w:pPr>
            <w:r>
              <w:rPr>
                <w:rFonts w:ascii="Arial" w:cs="Arial" w:eastAsia="Arial" w:hAnsi="Arial"/>
                <w:sz w:val="14"/>
                <w:szCs w:val="14"/>
                <w:color w:val="auto"/>
              </w:rPr>
              <w:t>375,000</w:t>
            </w: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3,750,000</w:t>
            </w: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2,902,355</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(Performance Holdings, Inc.)</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jc w:val="center"/>
              <w:ind w:right="32"/>
              <w:spacing w:after="0" w:line="149" w:lineRule="exact"/>
              <w:rPr>
                <w:sz w:val="20"/>
                <w:szCs w:val="20"/>
                <w:color w:val="auto"/>
              </w:rPr>
            </w:pPr>
            <w:r>
              <w:rPr>
                <w:rFonts w:ascii="Arial" w:cs="Arial" w:eastAsia="Arial" w:hAnsi="Arial"/>
                <w:sz w:val="14"/>
                <w:szCs w:val="14"/>
                <w:color w:val="auto"/>
                <w:w w:val="88"/>
              </w:rPr>
              <w:t>Motion Pictures and</w:t>
            </w: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60" w:type="dxa"/>
            <w:vAlign w:val="bottom"/>
            <w:shd w:val="clear" w:color="auto" w:fill="CCEEFF"/>
          </w:tcPr>
          <w:p>
            <w:pPr>
              <w:jc w:val="center"/>
              <w:ind w:right="12"/>
              <w:spacing w:after="0"/>
              <w:rPr>
                <w:sz w:val="20"/>
                <w:szCs w:val="20"/>
                <w:color w:val="auto"/>
              </w:rPr>
            </w:pPr>
            <w:r>
              <w:rPr>
                <w:rFonts w:ascii="Arial" w:cs="Arial" w:eastAsia="Arial" w:hAnsi="Arial"/>
                <w:sz w:val="14"/>
                <w:szCs w:val="14"/>
                <w:color w:val="auto"/>
                <w:w w:val="87"/>
              </w:rPr>
              <w:t>Entertainment</w:t>
            </w:r>
          </w:p>
        </w:tc>
        <w:tc>
          <w:tcPr>
            <w:tcW w:w="10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spacing w:after="0" w:line="138" w:lineRule="exact"/>
              <w:rPr>
                <w:sz w:val="20"/>
                <w:szCs w:val="20"/>
                <w:color w:val="auto"/>
              </w:rPr>
            </w:pPr>
            <w:r>
              <w:rPr>
                <w:rFonts w:ascii="Arial" w:cs="Arial" w:eastAsia="Arial" w:hAnsi="Arial"/>
                <w:sz w:val="14"/>
                <w:szCs w:val="14"/>
                <w:color w:val="auto"/>
              </w:rPr>
              <w:t>New Service Champ Holdings, Inc.</w:t>
            </w:r>
          </w:p>
        </w:tc>
        <w:tc>
          <w:tcPr>
            <w:tcW w:w="840" w:type="dxa"/>
            <w:vAlign w:val="bottom"/>
          </w:tcPr>
          <w:p>
            <w:pPr>
              <w:ind w:left="220"/>
              <w:spacing w:after="0" w:line="138" w:lineRule="exact"/>
              <w:rPr>
                <w:sz w:val="20"/>
                <w:szCs w:val="20"/>
                <w:color w:val="auto"/>
              </w:rPr>
            </w:pPr>
            <w:r>
              <w:rPr>
                <w:rFonts w:ascii="Arial" w:cs="Arial" w:eastAsia="Arial" w:hAnsi="Arial"/>
                <w:sz w:val="14"/>
                <w:szCs w:val="14"/>
                <w:color w:val="auto"/>
              </w:rPr>
              <w:t>—</w:t>
            </w:r>
          </w:p>
        </w:tc>
        <w:tc>
          <w:tcPr>
            <w:tcW w:w="1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7"/>
              </w:rPr>
              <w:t>Auto Sector</w:t>
            </w:r>
          </w:p>
        </w:tc>
        <w:tc>
          <w:tcPr>
            <w:tcW w:w="1080" w:type="dxa"/>
            <w:vAlign w:val="bottom"/>
          </w:tcPr>
          <w:p>
            <w:pPr>
              <w:jc w:val="right"/>
              <w:ind w:right="315"/>
              <w:spacing w:after="0" w:line="138" w:lineRule="exact"/>
              <w:rPr>
                <w:sz w:val="20"/>
                <w:szCs w:val="20"/>
                <w:color w:val="auto"/>
              </w:rPr>
            </w:pPr>
            <w:r>
              <w:rPr>
                <w:rFonts w:ascii="Arial" w:cs="Arial" w:eastAsia="Arial" w:hAnsi="Arial"/>
                <w:sz w:val="14"/>
                <w:szCs w:val="14"/>
                <w:color w:val="auto"/>
              </w:rPr>
              <w:t>—</w:t>
            </w:r>
          </w:p>
        </w:tc>
        <w:tc>
          <w:tcPr>
            <w:tcW w:w="920" w:type="dxa"/>
            <w:vAlign w:val="bottom"/>
          </w:tcPr>
          <w:p>
            <w:pPr>
              <w:ind w:left="500"/>
              <w:spacing w:after="0" w:line="13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38" w:lineRule="exact"/>
              <w:rPr>
                <w:sz w:val="20"/>
                <w:szCs w:val="20"/>
                <w:color w:val="auto"/>
              </w:rPr>
            </w:pPr>
            <w:r>
              <w:rPr>
                <w:rFonts w:ascii="Arial" w:cs="Arial" w:eastAsia="Arial" w:hAnsi="Arial"/>
                <w:sz w:val="14"/>
                <w:szCs w:val="14"/>
                <w:color w:val="auto"/>
              </w:rPr>
              <w:t>16,800</w:t>
            </w:r>
          </w:p>
        </w:tc>
        <w:tc>
          <w:tcPr>
            <w:tcW w:w="80" w:type="dxa"/>
            <w:vAlign w:val="bottom"/>
          </w:tcPr>
          <w:p>
            <w:pPr>
              <w:spacing w:after="0"/>
              <w:rPr>
                <w:sz w:val="11"/>
                <w:szCs w:val="11"/>
                <w:color w:val="auto"/>
              </w:rPr>
            </w:pPr>
          </w:p>
        </w:tc>
        <w:tc>
          <w:tcPr>
            <w:tcW w:w="10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4,200,000</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4,501,658</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ind w:left="200"/>
              <w:spacing w:after="0"/>
              <w:rPr>
                <w:sz w:val="20"/>
                <w:szCs w:val="20"/>
                <w:color w:val="auto"/>
              </w:rPr>
            </w:pPr>
            <w:r>
              <w:rPr>
                <w:rFonts w:ascii="Arial" w:cs="Arial" w:eastAsia="Arial" w:hAnsi="Arial"/>
                <w:sz w:val="14"/>
                <w:szCs w:val="14"/>
                <w:color w:val="auto"/>
              </w:rPr>
              <w:t>(Service Champ, Inc.)</w:t>
            </w:r>
          </w:p>
        </w:tc>
        <w:tc>
          <w:tcPr>
            <w:tcW w:w="8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Equity/Partnership Interest</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18,005,844</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25,829,532</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Investments in Non-Controlled, Affiliated Portfolio Companies</w:t>
            </w: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20" w:type="dxa"/>
            <w:vAlign w:val="bottom"/>
            <w:gridSpan w:val="3"/>
            <w:vMerge w:val="continue"/>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72,576,858</w:t>
            </w:r>
          </w:p>
        </w:tc>
        <w:tc>
          <w:tcPr>
            <w:tcW w:w="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80,955,257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Investments in Controlled, Affiliated Portfolio Companies—5.6% </w:t>
            </w:r>
            <w:r>
              <w:rPr>
                <w:rFonts w:ascii="Arial" w:cs="Arial" w:eastAsia="Arial" w:hAnsi="Arial"/>
                <w:sz w:val="17"/>
                <w:szCs w:val="17"/>
                <w:b w:val="1"/>
                <w:bCs w:val="1"/>
                <w:color w:val="auto"/>
                <w:vertAlign w:val="superscript"/>
              </w:rPr>
              <w:t>(1),(2)</w:t>
            </w: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b w:val="1"/>
                <w:bCs w:val="1"/>
                <w:color w:val="auto"/>
              </w:rPr>
              <w:t>First Lien Secured Debt—1.9%</w:t>
            </w:r>
          </w:p>
        </w:tc>
        <w:tc>
          <w:tcPr>
            <w:tcW w:w="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shd w:val="clear" w:color="auto" w:fill="CCEEFF"/>
          </w:tcPr>
          <w:p>
            <w:pPr>
              <w:jc w:val="center"/>
              <w:ind w:right="112"/>
              <w:spacing w:after="0" w:line="149" w:lineRule="exact"/>
              <w:rPr>
                <w:sz w:val="20"/>
                <w:szCs w:val="20"/>
                <w:color w:val="auto"/>
              </w:rPr>
            </w:pPr>
            <w:r>
              <w:rPr>
                <w:rFonts w:ascii="Arial" w:cs="Arial" w:eastAsia="Arial" w:hAnsi="Arial"/>
                <w:sz w:val="14"/>
                <w:szCs w:val="14"/>
                <w:color w:val="auto"/>
                <w:w w:val="88"/>
              </w:rPr>
              <w:t>06/30/2020</w:t>
            </w:r>
          </w:p>
        </w:tc>
        <w:tc>
          <w:tcPr>
            <w:tcW w:w="176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shd w:val="clear" w:color="auto" w:fill="CCEEFF"/>
          </w:tcPr>
          <w:p>
            <w:pPr>
              <w:jc w:val="right"/>
              <w:ind w:right="15"/>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w w:val="91"/>
              </w:rPr>
              <w:t>10,800,000</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10,800,000</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10,800,000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88"/>
              </w:rPr>
              <w:t>12/31/2015</w:t>
            </w:r>
          </w:p>
        </w:tc>
        <w:tc>
          <w:tcPr>
            <w:tcW w:w="17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6"/>
              </w:rPr>
              <w:t>Oil and Gas</w:t>
            </w:r>
          </w:p>
        </w:tc>
        <w:tc>
          <w:tcPr>
            <w:tcW w:w="1080" w:type="dxa"/>
            <w:vAlign w:val="bottom"/>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743,187</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668,632</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743,187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UP Support Services, Inc. </w:t>
            </w:r>
            <w:r>
              <w:rPr>
                <w:rFonts w:ascii="Arial" w:cs="Arial" w:eastAsia="Arial" w:hAnsi="Arial"/>
                <w:sz w:val="17"/>
                <w:szCs w:val="17"/>
                <w:color w:val="auto"/>
                <w:vertAlign w:val="superscript"/>
              </w:rPr>
              <w:t>(9)</w:t>
            </w:r>
          </w:p>
        </w:tc>
        <w:tc>
          <w:tcPr>
            <w:tcW w:w="840" w:type="dxa"/>
            <w:vAlign w:val="bottom"/>
            <w:shd w:val="clear" w:color="auto" w:fill="CCEEFF"/>
          </w:tcPr>
          <w:p>
            <w:pPr>
              <w:jc w:val="center"/>
              <w:ind w:right="112"/>
              <w:spacing w:after="0" w:line="149" w:lineRule="exact"/>
              <w:rPr>
                <w:sz w:val="20"/>
                <w:szCs w:val="20"/>
                <w:color w:val="auto"/>
              </w:rPr>
            </w:pPr>
            <w:r>
              <w:rPr>
                <w:rFonts w:ascii="Arial" w:cs="Arial" w:eastAsia="Arial" w:hAnsi="Arial"/>
                <w:sz w:val="14"/>
                <w:szCs w:val="14"/>
                <w:color w:val="auto"/>
                <w:w w:val="88"/>
              </w:rPr>
              <w:t>12/31/2015</w:t>
            </w:r>
          </w:p>
        </w:tc>
        <w:tc>
          <w:tcPr>
            <w:tcW w:w="176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6"/>
              </w:rPr>
              <w:t>Oil and Gas</w:t>
            </w:r>
          </w:p>
        </w:tc>
        <w:tc>
          <w:tcPr>
            <w:tcW w:w="1080" w:type="dxa"/>
            <w:vAlign w:val="bottom"/>
            <w:shd w:val="clear" w:color="auto" w:fill="CCEEFF"/>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1,173,479</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1,068,059</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1,173,479</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First Lien Secured Debt</w:t>
            </w: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12,536,691</w:t>
            </w:r>
          </w:p>
        </w:tc>
        <w:tc>
          <w:tcPr>
            <w:tcW w:w="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99"/>
              </w:rPr>
              <w:t>12,716,666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Debt—2.1%</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tcPr>
          <w:p>
            <w:pPr>
              <w:spacing w:after="0" w:line="138" w:lineRule="exact"/>
              <w:rPr>
                <w:sz w:val="20"/>
                <w:szCs w:val="20"/>
                <w:color w:val="auto"/>
              </w:rPr>
            </w:pPr>
            <w:r>
              <w:rPr>
                <w:rFonts w:ascii="Arial" w:cs="Arial" w:eastAsia="Arial" w:hAnsi="Arial"/>
                <w:sz w:val="14"/>
                <w:szCs w:val="14"/>
                <w:color w:val="auto"/>
              </w:rPr>
              <w:t>UP Support Services, Inc.</w:t>
            </w:r>
          </w:p>
        </w:tc>
        <w:tc>
          <w:tcPr>
            <w:tcW w:w="840" w:type="dxa"/>
            <w:vAlign w:val="bottom"/>
          </w:tcPr>
          <w:p>
            <w:pPr>
              <w:jc w:val="center"/>
              <w:ind w:right="112"/>
              <w:spacing w:after="0" w:line="138" w:lineRule="exact"/>
              <w:rPr>
                <w:sz w:val="20"/>
                <w:szCs w:val="20"/>
                <w:color w:val="auto"/>
              </w:rPr>
            </w:pPr>
            <w:r>
              <w:rPr>
                <w:rFonts w:ascii="Arial" w:cs="Arial" w:eastAsia="Arial" w:hAnsi="Arial"/>
                <w:sz w:val="14"/>
                <w:szCs w:val="14"/>
                <w:color w:val="auto"/>
                <w:w w:val="88"/>
              </w:rPr>
              <w:t>12/31/2015</w:t>
            </w:r>
          </w:p>
        </w:tc>
        <w:tc>
          <w:tcPr>
            <w:tcW w:w="1760" w:type="dxa"/>
            <w:vAlign w:val="bottom"/>
          </w:tcPr>
          <w:p>
            <w:pPr>
              <w:jc w:val="center"/>
              <w:ind w:right="12"/>
              <w:spacing w:after="0" w:line="138" w:lineRule="exact"/>
              <w:rPr>
                <w:sz w:val="20"/>
                <w:szCs w:val="20"/>
                <w:color w:val="auto"/>
              </w:rPr>
            </w:pPr>
            <w:r>
              <w:rPr>
                <w:rFonts w:ascii="Arial" w:cs="Arial" w:eastAsia="Arial" w:hAnsi="Arial"/>
                <w:sz w:val="14"/>
                <w:szCs w:val="14"/>
                <w:color w:val="auto"/>
                <w:w w:val="86"/>
              </w:rPr>
              <w:t>Oil and Gas</w:t>
            </w:r>
          </w:p>
        </w:tc>
        <w:tc>
          <w:tcPr>
            <w:tcW w:w="1080" w:type="dxa"/>
            <w:vAlign w:val="bottom"/>
          </w:tcPr>
          <w:p>
            <w:pPr>
              <w:jc w:val="right"/>
              <w:ind w:right="135"/>
              <w:spacing w:after="0" w:line="138" w:lineRule="exact"/>
              <w:rPr>
                <w:sz w:val="20"/>
                <w:szCs w:val="20"/>
                <w:color w:val="auto"/>
              </w:rPr>
            </w:pPr>
            <w:r>
              <w:rPr>
                <w:rFonts w:ascii="Arial" w:cs="Arial" w:eastAsia="Arial" w:hAnsi="Arial"/>
                <w:sz w:val="14"/>
                <w:szCs w:val="14"/>
                <w:color w:val="auto"/>
              </w:rPr>
              <w:t>15.00%</w:t>
            </w:r>
          </w:p>
        </w:tc>
        <w:tc>
          <w:tcPr>
            <w:tcW w:w="920" w:type="dxa"/>
            <w:vAlign w:val="bottom"/>
          </w:tcPr>
          <w:p>
            <w:pPr>
              <w:ind w:left="500"/>
              <w:spacing w:after="0" w:line="138"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38" w:lineRule="exact"/>
              <w:rPr>
                <w:sz w:val="20"/>
                <w:szCs w:val="20"/>
                <w:color w:val="auto"/>
              </w:rPr>
            </w:pPr>
            <w:r>
              <w:rPr>
                <w:rFonts w:ascii="Arial" w:cs="Arial" w:eastAsia="Arial" w:hAnsi="Arial"/>
                <w:sz w:val="14"/>
                <w:szCs w:val="14"/>
                <w:color w:val="auto"/>
                <w:w w:val="91"/>
              </w:rPr>
              <w:t>14,300,282</w:t>
            </w:r>
          </w:p>
        </w:tc>
        <w:tc>
          <w:tcPr>
            <w:tcW w:w="80" w:type="dxa"/>
            <w:vAlign w:val="bottom"/>
          </w:tcPr>
          <w:p>
            <w:pPr>
              <w:spacing w:after="0"/>
              <w:rPr>
                <w:sz w:val="11"/>
                <w:szCs w:val="11"/>
                <w:color w:val="auto"/>
              </w:rPr>
            </w:pPr>
          </w:p>
        </w:tc>
        <w:tc>
          <w:tcPr>
            <w:tcW w:w="108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11,809,647</w:t>
            </w:r>
          </w:p>
        </w:tc>
        <w:tc>
          <w:tcPr>
            <w:tcW w:w="6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w w:val="99"/>
              </w:rPr>
              <w:t>14,300,282</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color w:val="auto"/>
              </w:rPr>
              <w:t>(PIK 15.00)%</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Subordinated Debt/Corporate Notes—0.3%</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88"/>
              </w:rPr>
              <w:t>06/30/2020</w:t>
            </w:r>
          </w:p>
        </w:tc>
        <w:tc>
          <w:tcPr>
            <w:tcW w:w="17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tcPr>
          <w:p>
            <w:pPr>
              <w:jc w:val="right"/>
              <w:ind w:right="15"/>
              <w:spacing w:after="0" w:line="149" w:lineRule="exact"/>
              <w:rPr>
                <w:sz w:val="20"/>
                <w:szCs w:val="20"/>
                <w:color w:val="auto"/>
              </w:rPr>
            </w:pPr>
            <w:r>
              <w:rPr>
                <w:rFonts w:ascii="Arial" w:cs="Arial" w:eastAsia="Arial" w:hAnsi="Arial"/>
                <w:sz w:val="11"/>
                <w:szCs w:val="11"/>
                <w:color w:val="auto"/>
              </w:rPr>
              <w:t>14.00%</w:t>
            </w:r>
            <w:r>
              <w:rPr>
                <w:rFonts w:ascii="Arial" w:cs="Arial" w:eastAsia="Arial" w:hAnsi="Arial"/>
                <w:sz w:val="17"/>
                <w:szCs w:val="17"/>
                <w:color w:val="auto"/>
                <w:vertAlign w:val="superscript"/>
              </w:rPr>
              <w:t>(7)</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2,700,000</w:t>
            </w:r>
          </w:p>
        </w:tc>
        <w:tc>
          <w:tcPr>
            <w:tcW w:w="80" w:type="dxa"/>
            <w:vAlign w:val="bottom"/>
          </w:tcPr>
          <w:p>
            <w:pPr>
              <w:spacing w:after="0"/>
              <w:rPr>
                <w:sz w:val="13"/>
                <w:szCs w:val="13"/>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2,700,000</w:t>
            </w:r>
          </w:p>
        </w:tc>
        <w:tc>
          <w:tcPr>
            <w:tcW w:w="6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2,158,053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Preferred Equity—1.3%</w:t>
            </w:r>
            <w:r>
              <w:rPr>
                <w:rFonts w:ascii="Arial" w:cs="Arial" w:eastAsia="Arial" w:hAnsi="Arial"/>
                <w:sz w:val="17"/>
                <w:szCs w:val="17"/>
                <w:b w:val="1"/>
                <w:bCs w:val="1"/>
                <w:color w:val="auto"/>
                <w:vertAlign w:val="superscript"/>
              </w:rPr>
              <w:t>(6)</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7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tcPr>
          <w:p>
            <w:pPr>
              <w:jc w:val="right"/>
              <w:ind w:right="135"/>
              <w:spacing w:after="0" w:line="149" w:lineRule="exact"/>
              <w:rPr>
                <w:sz w:val="20"/>
                <w:szCs w:val="20"/>
                <w:color w:val="auto"/>
              </w:rPr>
            </w:pPr>
            <w:r>
              <w:rPr>
                <w:rFonts w:ascii="Arial" w:cs="Arial" w:eastAsia="Arial" w:hAnsi="Arial"/>
                <w:sz w:val="14"/>
                <w:szCs w:val="14"/>
                <w:color w:val="auto"/>
              </w:rPr>
              <w:t>14.00%</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2,000</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2,000,000</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216,947</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Universal Pegasus International Holdings, Inc.</w:t>
            </w:r>
          </w:p>
        </w:tc>
        <w:tc>
          <w:tcPr>
            <w:tcW w:w="8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760" w:type="dxa"/>
            <w:vAlign w:val="bottom"/>
            <w:shd w:val="clear" w:color="auto" w:fill="CCEEFF"/>
          </w:tcPr>
          <w:p>
            <w:pPr>
              <w:jc w:val="center"/>
              <w:ind w:right="12"/>
              <w:spacing w:after="0" w:line="149" w:lineRule="exact"/>
              <w:rPr>
                <w:sz w:val="20"/>
                <w:szCs w:val="20"/>
                <w:color w:val="auto"/>
              </w:rPr>
            </w:pPr>
            <w:r>
              <w:rPr>
                <w:rFonts w:ascii="Arial" w:cs="Arial" w:eastAsia="Arial" w:hAnsi="Arial"/>
                <w:sz w:val="14"/>
                <w:szCs w:val="14"/>
                <w:color w:val="auto"/>
                <w:w w:val="86"/>
              </w:rPr>
              <w:t>Oil and Gas</w:t>
            </w:r>
          </w:p>
        </w:tc>
        <w:tc>
          <w:tcPr>
            <w:tcW w:w="1080" w:type="dxa"/>
            <w:vAlign w:val="bottom"/>
            <w:shd w:val="clear" w:color="auto" w:fill="CCEEFF"/>
          </w:tcPr>
          <w:p>
            <w:pPr>
              <w:jc w:val="right"/>
              <w:ind w:right="135"/>
              <w:spacing w:after="0" w:line="149" w:lineRule="exact"/>
              <w:rPr>
                <w:sz w:val="20"/>
                <w:szCs w:val="20"/>
                <w:color w:val="auto"/>
              </w:rPr>
            </w:pPr>
            <w:r>
              <w:rPr>
                <w:rFonts w:ascii="Arial" w:cs="Arial" w:eastAsia="Arial" w:hAnsi="Arial"/>
                <w:sz w:val="14"/>
                <w:szCs w:val="14"/>
                <w:color w:val="auto"/>
              </w:rPr>
              <w:t>8.00%</w:t>
            </w:r>
          </w:p>
        </w:tc>
        <w:tc>
          <w:tcPr>
            <w:tcW w:w="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411,988</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35,120,613</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8,239,760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Preferred Equity</w:t>
            </w: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6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rPr>
              <w:t>37,120,613</w:t>
            </w:r>
          </w:p>
        </w:tc>
        <w:tc>
          <w:tcPr>
            <w:tcW w:w="60" w:type="dxa"/>
            <w:vAlign w:val="bottom"/>
          </w:tcPr>
          <w:p>
            <w:pPr>
              <w:spacing w:after="0"/>
              <w:rPr>
                <w:sz w:val="14"/>
                <w:szCs w:val="14"/>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8,456,707</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Equity—0.0% </w:t>
            </w:r>
            <w:r>
              <w:rPr>
                <w:rFonts w:ascii="Arial" w:cs="Arial" w:eastAsia="Arial" w:hAnsi="Arial"/>
                <w:sz w:val="17"/>
                <w:szCs w:val="17"/>
                <w:b w:val="1"/>
                <w:bCs w:val="1"/>
                <w:color w:val="auto"/>
                <w:vertAlign w:val="superscript"/>
              </w:rPr>
              <w:t>(6)</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SuttonPark Holdings, Inc.</w:t>
            </w:r>
          </w:p>
        </w:tc>
        <w:tc>
          <w:tcPr>
            <w:tcW w:w="8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1760" w:type="dxa"/>
            <w:vAlign w:val="bottom"/>
          </w:tcPr>
          <w:p>
            <w:pPr>
              <w:jc w:val="center"/>
              <w:ind w:right="12"/>
              <w:spacing w:after="0" w:line="149" w:lineRule="exact"/>
              <w:rPr>
                <w:sz w:val="20"/>
                <w:szCs w:val="20"/>
                <w:color w:val="auto"/>
              </w:rPr>
            </w:pPr>
            <w:r>
              <w:rPr>
                <w:rFonts w:ascii="Arial" w:cs="Arial" w:eastAsia="Arial" w:hAnsi="Arial"/>
                <w:sz w:val="14"/>
                <w:szCs w:val="14"/>
                <w:color w:val="auto"/>
                <w:w w:val="83"/>
              </w:rPr>
              <w:t>Business Services</w:t>
            </w:r>
          </w:p>
        </w:tc>
        <w:tc>
          <w:tcPr>
            <w:tcW w:w="1080" w:type="dxa"/>
            <w:vAlign w:val="bottom"/>
          </w:tcPr>
          <w:p>
            <w:pPr>
              <w:jc w:val="right"/>
              <w:ind w:right="315"/>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ind w:left="500"/>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100</w:t>
            </w:r>
          </w:p>
        </w:tc>
        <w:tc>
          <w:tcPr>
            <w:tcW w:w="80" w:type="dxa"/>
            <w:vAlign w:val="bottom"/>
          </w:tcPr>
          <w:p>
            <w:pPr>
              <w:spacing w:after="0"/>
              <w:rPr>
                <w:sz w:val="12"/>
                <w:szCs w:val="12"/>
                <w:color w:val="auto"/>
              </w:rPr>
            </w:pPr>
          </w:p>
        </w:tc>
        <w:tc>
          <w:tcPr>
            <w:tcW w:w="10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87"/>
              </w:rPr>
              <w:t>Total Investments in Controlled, Affiliated Portfolio Companies</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64,167,051</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37,631,708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Investments—147.9%</w:t>
            </w: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84"/>
              </w:rPr>
              <w:t>1,008,611,862</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990,479,710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Equivalents—1.1%</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7,559,453</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7,559,453</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and Cash Equivalents—149.0%</w:t>
            </w: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8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1080" w:type="dxa"/>
            <w:vAlign w:val="bottom"/>
            <w:gridSpan w:val="2"/>
          </w:tcPr>
          <w:p>
            <w:pPr>
              <w:jc w:val="right"/>
              <w:ind w:right="300"/>
              <w:spacing w:after="0" w:line="155" w:lineRule="exact"/>
              <w:rPr>
                <w:sz w:val="20"/>
                <w:szCs w:val="20"/>
                <w:color w:val="auto"/>
              </w:rPr>
            </w:pPr>
            <w:r>
              <w:rPr>
                <w:rFonts w:ascii="Arial" w:cs="Arial" w:eastAsia="Arial" w:hAnsi="Arial"/>
                <w:sz w:val="14"/>
                <w:szCs w:val="14"/>
                <w:color w:val="auto"/>
                <w:w w:val="84"/>
              </w:rPr>
              <w:t>1,016,171,315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w w:val="89"/>
              </w:rPr>
              <w:t>998,039,163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6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Assets—(49.0%)</w:t>
            </w:r>
          </w:p>
        </w:tc>
        <w:tc>
          <w:tcPr>
            <w:tcW w:w="84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3" w:lineRule="exact"/>
              <w:rPr>
                <w:sz w:val="20"/>
                <w:szCs w:val="20"/>
                <w:color w:val="auto"/>
              </w:rPr>
            </w:pPr>
            <w:r>
              <w:rPr>
                <w:rFonts w:ascii="Arial" w:cs="Arial" w:eastAsia="Arial" w:hAnsi="Arial"/>
                <w:sz w:val="14"/>
                <w:szCs w:val="14"/>
                <w:color w:val="auto"/>
                <w:w w:val="84"/>
              </w:rPr>
              <w:t>(328,322,116)</w:t>
            </w:r>
          </w:p>
        </w:tc>
        <w:tc>
          <w:tcPr>
            <w:tcW w:w="0" w:type="dxa"/>
            <w:vAlign w:val="bottom"/>
          </w:tcPr>
          <w:p>
            <w:pPr>
              <w:spacing w:after="0"/>
              <w:rPr>
                <w:sz w:val="1"/>
                <w:szCs w:val="1"/>
                <w:color w:val="auto"/>
              </w:rPr>
            </w:pPr>
          </w:p>
        </w:tc>
      </w:tr>
      <w:tr>
        <w:trPr>
          <w:trHeight w:val="156"/>
        </w:trPr>
        <w:tc>
          <w:tcPr>
            <w:tcW w:w="36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Assets—100.0%</w:t>
            </w:r>
          </w:p>
        </w:tc>
        <w:tc>
          <w:tcPr>
            <w:tcW w:w="8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9"/>
              </w:rPr>
              <w:t>669,717,047</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-4253230</wp:posOffset>
            </wp:positionV>
            <wp:extent cx="7246620" cy="1885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22466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31" w:lineRule="exact"/>
        <w:rPr>
          <w:sz w:val="20"/>
          <w:szCs w:val="20"/>
          <w:color w:val="auto"/>
        </w:rPr>
      </w:pPr>
    </w:p>
    <w:p>
      <w:pPr>
        <w:ind w:left="460" w:right="600" w:hanging="452"/>
        <w:spacing w:after="0" w:line="268" w:lineRule="auto"/>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460" w:right="20" w:hanging="452"/>
        <w:spacing w:after="0" w:line="258" w:lineRule="auto"/>
        <w:tabs>
          <w:tab w:leader="none" w:pos="460" w:val="left"/>
        </w:tabs>
        <w:numPr>
          <w:ilvl w:val="0"/>
          <w:numId w:val="8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or “P”, rate.</w:t>
      </w:r>
    </w:p>
    <w:p>
      <w:pPr>
        <w:ind w:left="460" w:right="64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payable in cash and/or PIK.</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Coupon is subject to a LIBOR or Prime rate floor.</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investments). This security does not have a basis point spread above an index.</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U.S.</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Investment is held through PNNT CI (Galls) Prime Investment Holdings, LLC, a consolidated subsidiary.</w:t>
      </w:r>
    </w:p>
    <w:p>
      <w:pPr>
        <w:ind w:left="460" w:hanging="452"/>
        <w:spacing w:after="0" w:line="22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Investment is held through PNNT Acentia LLC, a consolidated subsidiary.</w:t>
      </w: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Investment is held through PNNT Transportation 100 Holdco, LLC, a consolidated subsidiary.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165"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Except where the context suggests otherwise, “we,” “our” or “us” refer to PennantPark Investment Corporation and its consolidated subsidiaries. “PennantPark Investment” refers to only PennantPark Investment Corporation; “our SBIC Funds” refers collectively to our consolidated subsidiaries, PennantPark SBIC LP, or SBIC LP, and its general partner, PennantPark SBIC GP, LLC, and PennantPark SBIC II LP, or SBIC II, and its general partner, PennantPark SBIC GP II, LLC; “SBA” refers to the Small Business Administration; “Credit Facility” refers to our multi-currency, senior secured revolving credit facility; “2025 Notes” refers to our 6.25% senior notes due 2025; “BDC” refers to a business development company under the Investment Company Act of 1940, as amended, or the 1940 Act; “Code” refers to the Internal Revenue Code of 1986, as amended; “RIC” refers to a regulated investment company under the Code.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20" w:firstLine="799"/>
        <w:spacing w:after="0" w:line="294" w:lineRule="auto"/>
        <w:rPr>
          <w:sz w:val="20"/>
          <w:szCs w:val="20"/>
          <w:color w:val="auto"/>
        </w:rPr>
      </w:pPr>
      <w:r>
        <w:rPr>
          <w:rFonts w:ascii="Arial" w:cs="Arial" w:eastAsia="Arial" w:hAnsi="Arial"/>
          <w:sz w:val="16"/>
          <w:szCs w:val="16"/>
          <w:color w:val="auto"/>
        </w:rPr>
        <w:t>PennantPark Investment Corporation was organized as a Maryland corporation in January 2007. PennantPark Investment is a closed-end, externally managed, non-diversified investment company that has elected to be treated as a BDC. PennantPark Investment’s objective is to generate both current income and capital appreciation through debt and equity investments. We invest primarily in U.S. middle-market companies in the form of senior secured loans, mezzanine debt and, to a lesser extent, equity investments. On April 24, 2007, we closed our initial public offering and our common stock trades on the NASDAQ Global Select Market under the symbol “PNNT.” Our 2025 Notes trade on the NYSE under the symbol “PNTA.”</w:t>
      </w:r>
    </w:p>
    <w:p>
      <w:pPr>
        <w:spacing w:after="0" w:line="89" w:lineRule="exact"/>
        <w:rPr>
          <w:sz w:val="20"/>
          <w:szCs w:val="20"/>
          <w:color w:val="auto"/>
        </w:rPr>
      </w:pPr>
    </w:p>
    <w:p>
      <w:pPr>
        <w:ind w:right="40" w:firstLine="571"/>
        <w:spacing w:after="0" w:line="291"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operations. We have also entered into an administration agreement, or the Administration Agreement, with the Administrator, which provides the administrative services necessary for us to operate. PennantPark Investment, through the Investment Adviser, manages day-to-day operations of and provides investment advisory services to each of our SBIC Funds under separate investment management agreements. PennantPark Investment, through the Administrator, also provides similar services to each of our SBIC Funds and our controlled affiliate SuttonPark Holdings, Inc. and its subsidiaries, or SPH, under separate administration agreements. See Note 3.</w:t>
      </w:r>
    </w:p>
    <w:p>
      <w:pPr>
        <w:spacing w:after="0" w:line="93" w:lineRule="exact"/>
        <w:rPr>
          <w:sz w:val="20"/>
          <w:szCs w:val="20"/>
          <w:color w:val="auto"/>
        </w:rPr>
      </w:pPr>
    </w:p>
    <w:p>
      <w:pPr>
        <w:ind w:right="140" w:firstLine="571"/>
        <w:spacing w:after="0" w:line="255" w:lineRule="auto"/>
        <w:rPr>
          <w:sz w:val="20"/>
          <w:szCs w:val="20"/>
          <w:color w:val="auto"/>
        </w:rPr>
      </w:pPr>
      <w:r>
        <w:rPr>
          <w:rFonts w:ascii="Arial" w:cs="Arial" w:eastAsia="Arial" w:hAnsi="Arial"/>
          <w:sz w:val="18"/>
          <w:szCs w:val="18"/>
          <w:color w:val="auto"/>
        </w:rPr>
        <w:t>Our wholly owned subsidiaries, SBIC LP and SBIC II, were organized as Delaware limited partnerships in May 2010 and July 2012, respectively. SBIC LP and SBIC II received licenses from the SBA to operate as small business investment companies, or SBICs, under Section 301(c) of the Small Business Investment Act of 1958, as amended, or the 1958 Act, in July 2010 and January 2013, respectively. Our SBIC Funds’ objectives are to generate both current income and capital appreciation through debt and equity investments generally by investing with us in SBA eligible businesses that meet the investment criteria used by PennantPark Investment.</w:t>
      </w:r>
    </w:p>
    <w:p>
      <w:pPr>
        <w:spacing w:after="0" w:line="1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We have formed and expect to continue to form certain taxable subsidiaries, or the Taxable Subsidiaries, which are taxed as corporations for federal income tax purposes. These Taxable Subsidiaries allow us to hold equity securities of portfolio companies organized as pass-through entities while continuing to satisfy the requirements of a RIC under the Code.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571"/>
        <w:spacing w:after="0" w:line="290" w:lineRule="auto"/>
        <w:rPr>
          <w:sz w:val="20"/>
          <w:szCs w:val="20"/>
          <w:color w:val="auto"/>
        </w:rPr>
      </w:pPr>
      <w:r>
        <w:rPr>
          <w:rFonts w:ascii="Arial" w:cs="Arial" w:eastAsia="Arial" w:hAnsi="Arial"/>
          <w:sz w:val="16"/>
          <w:szCs w:val="16"/>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may reclassify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91"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Investment Valuations</w:t>
      </w:r>
    </w:p>
    <w:p>
      <w:pPr>
        <w:spacing w:after="0" w:line="90"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93"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We expect that there will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93"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118" w:lineRule="exact"/>
        <w:rPr>
          <w:sz w:val="20"/>
          <w:szCs w:val="20"/>
          <w:color w:val="auto"/>
        </w:rPr>
      </w:pPr>
    </w:p>
    <w:p>
      <w:pPr>
        <w:ind w:left="1020" w:right="340" w:hanging="566"/>
        <w:spacing w:after="0" w:line="268"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ectPr>
          <w:pgSz w:w="11900" w:h="16838" w:orient="portrait"/>
          <w:cols w:equalWidth="0" w:num="1">
            <w:col w:w="11420"/>
          </w:cols>
          <w:pgMar w:left="240" w:top="459" w:right="239" w:bottom="0" w:gutter="0" w:footer="0" w:header="0"/>
        </w:sectPr>
      </w:pPr>
    </w:p>
    <w:bookmarkStart w:id="149" w:name="page150"/>
    <w:bookmarkEnd w:id="149"/>
    <w:p>
      <w:pPr>
        <w:ind w:left="566" w:hanging="566"/>
        <w:spacing w:after="0"/>
        <w:tabs>
          <w:tab w:leader="none" w:pos="5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57" w:lineRule="exact"/>
        <w:rPr>
          <w:rFonts w:ascii="Arial" w:cs="Arial" w:eastAsia="Arial" w:hAnsi="Arial"/>
          <w:sz w:val="18"/>
          <w:szCs w:val="18"/>
          <w:color w:val="auto"/>
        </w:rPr>
      </w:pPr>
    </w:p>
    <w:p>
      <w:pPr>
        <w:ind w:left="566" w:hanging="566"/>
        <w:spacing w:after="0" w:line="256" w:lineRule="auto"/>
        <w:tabs>
          <w:tab w:leader="none" w:pos="5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906"/>
          </w:cols>
          <w:pgMar w:left="694" w:top="131" w:right="299" w:bottom="1440" w:gutter="0" w:footer="0" w:header="0"/>
        </w:sectPr>
      </w:pPr>
    </w:p>
    <w:bookmarkStart w:id="150" w:name="page151"/>
    <w:bookmarkEnd w:id="150"/>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left="1020" w:right="80" w:hanging="566"/>
        <w:spacing w:after="0" w:line="306" w:lineRule="auto"/>
        <w:tabs>
          <w:tab w:leader="none" w:pos="10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93" w:lineRule="exact"/>
        <w:rPr>
          <w:rFonts w:ascii="Arial" w:cs="Arial" w:eastAsia="Arial" w:hAnsi="Arial"/>
          <w:sz w:val="16"/>
          <w:szCs w:val="16"/>
          <w:color w:val="auto"/>
        </w:rPr>
      </w:pPr>
    </w:p>
    <w:p>
      <w:pPr>
        <w:ind w:left="1020" w:right="120" w:hanging="566"/>
        <w:spacing w:after="0" w:line="268" w:lineRule="auto"/>
        <w:tabs>
          <w:tab w:leader="none" w:pos="1020" w:val="left"/>
        </w:tabs>
        <w:numPr>
          <w:ilvl w:val="1"/>
          <w:numId w:val="92"/>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58" w:lineRule="exact"/>
        <w:rPr>
          <w:rFonts w:ascii="Arial" w:cs="Arial" w:eastAsia="Arial" w:hAnsi="Arial"/>
          <w:sz w:val="18"/>
          <w:szCs w:val="18"/>
          <w:color w:val="auto"/>
        </w:rPr>
      </w:pPr>
    </w:p>
    <w:p>
      <w:pPr>
        <w:ind w:left="480" w:hanging="244"/>
        <w:spacing w:after="0"/>
        <w:tabs>
          <w:tab w:leader="none" w:pos="48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 / Unrealized Gains or Losses</w:t>
      </w:r>
    </w:p>
    <w:p>
      <w:pPr>
        <w:spacing w:after="0" w:line="144" w:lineRule="exact"/>
        <w:rPr>
          <w:sz w:val="20"/>
          <w:szCs w:val="20"/>
          <w:color w:val="auto"/>
        </w:rPr>
      </w:pPr>
    </w:p>
    <w:p>
      <w:pPr>
        <w:ind w:firstLine="571"/>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and our Credit Facility during the reporting period, including any reversal of previously recorded unrealized appreciation or depreciation, when gains or losses are realized.</w:t>
      </w:r>
    </w:p>
    <w:p>
      <w:pPr>
        <w:spacing w:after="0" w:line="116"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are capitalized and we then accrete or amortize such amounts using the effective interest method as interest income or interest expense as it relates to our deferred financing costs. We record prepayment penalties on loans and debt investments as income. Dividend income, if any, is recognized on an accrual basis on the ex-dividend date to the extent that we expect to collect such amounts.</w:t>
      </w:r>
    </w:p>
    <w:p>
      <w:pPr>
        <w:spacing w:after="0" w:line="91" w:lineRule="exact"/>
        <w:rPr>
          <w:sz w:val="20"/>
          <w:szCs w:val="20"/>
          <w:color w:val="auto"/>
        </w:rPr>
      </w:pPr>
    </w:p>
    <w:p>
      <w:pPr>
        <w:jc w:val="both"/>
        <w:ind w:right="20" w:firstLine="571"/>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are paid and, in management’s judgment, are likely to remain current.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 Income Taxes</w:t>
      </w:r>
    </w:p>
    <w:p>
      <w:pPr>
        <w:spacing w:after="0" w:line="144"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Investment’s qualification and election to be subject to tax as a RIC, we do not anticipate paying any material level of federal income taxes in the future. Although we are not subject to tax as a RIC, we have elected to retain a portion of our calendar year income and accrued estimated excise taxes of $(0.1) million, $0.3 million and $0.2 million for the fiscal years ended September 30, 2013, 2012 and 2011, respectively.</w:t>
      </w:r>
    </w:p>
    <w:p>
      <w:pPr>
        <w:spacing w:after="0" w:line="93" w:lineRule="exact"/>
        <w:rPr>
          <w:sz w:val="20"/>
          <w:szCs w:val="20"/>
          <w:color w:val="auto"/>
        </w:rPr>
      </w:pPr>
    </w:p>
    <w:p>
      <w:pPr>
        <w:ind w:right="220" w:firstLine="571"/>
        <w:spacing w:after="0" w:line="255" w:lineRule="auto"/>
        <w:rPr>
          <w:sz w:val="20"/>
          <w:szCs w:val="20"/>
          <w:color w:val="auto"/>
        </w:rPr>
      </w:pPr>
      <w:r>
        <w:rPr>
          <w:rFonts w:ascii="Arial" w:cs="Arial" w:eastAsia="Arial" w:hAnsi="Arial"/>
          <w:sz w:val="18"/>
          <w:szCs w:val="18"/>
          <w:color w:val="auto"/>
        </w:rPr>
        <w:t>PennantPark Investment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2009 remain subject to examination by the Internal Revenue Service and the state department of revenue.</w:t>
      </w:r>
    </w:p>
    <w:p>
      <w:pPr>
        <w:spacing w:after="0" w:line="116" w:lineRule="exact"/>
        <w:rPr>
          <w:sz w:val="20"/>
          <w:szCs w:val="20"/>
          <w:color w:val="auto"/>
        </w:rPr>
      </w:pPr>
    </w:p>
    <w:p>
      <w:pPr>
        <w:ind w:right="180" w:firstLine="571"/>
        <w:spacing w:after="0" w:line="294" w:lineRule="auto"/>
        <w:rPr>
          <w:sz w:val="20"/>
          <w:szCs w:val="20"/>
          <w:color w:val="auto"/>
        </w:rPr>
      </w:pPr>
      <w:r>
        <w:rPr>
          <w:rFonts w:ascii="Arial" w:cs="Arial" w:eastAsia="Arial" w:hAnsi="Arial"/>
          <w:sz w:val="16"/>
          <w:szCs w:val="16"/>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 We do not consolidate the Taxable Subsidiaries for income tax purposes, but we do consolidate the results of these Taxable Subsidiaries for financial reporting purposes.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Distributions and Capital Transactions</w:t>
      </w:r>
    </w:p>
    <w:p>
      <w:pPr>
        <w:spacing w:after="0" w:line="144" w:lineRule="exact"/>
        <w:rPr>
          <w:sz w:val="20"/>
          <w:szCs w:val="20"/>
          <w:color w:val="auto"/>
        </w:rPr>
      </w:pPr>
    </w:p>
    <w:p>
      <w:pPr>
        <w:jc w:val="both"/>
        <w:ind w:right="80" w:firstLine="571"/>
        <w:spacing w:after="0" w:line="306" w:lineRule="auto"/>
        <w:rPr>
          <w:sz w:val="20"/>
          <w:szCs w:val="20"/>
          <w:color w:val="auto"/>
        </w:rPr>
      </w:pPr>
      <w:r>
        <w:rPr>
          <w:rFonts w:ascii="Arial" w:cs="Arial" w:eastAsia="Arial" w:hAnsi="Arial"/>
          <w:sz w:val="16"/>
          <w:szCs w:val="16"/>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80" w:lineRule="exact"/>
        <w:rPr>
          <w:sz w:val="20"/>
          <w:szCs w:val="20"/>
          <w:color w:val="auto"/>
        </w:rPr>
      </w:pPr>
    </w:p>
    <w:p>
      <w:pPr>
        <w:jc w:val="both"/>
        <w:ind w:right="60" w:firstLine="571"/>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 Consolidation</w:t>
      </w:r>
    </w:p>
    <w:p>
      <w:pPr>
        <w:spacing w:after="0" w:line="144" w:lineRule="exact"/>
        <w:rPr>
          <w:sz w:val="20"/>
          <w:szCs w:val="20"/>
          <w:color w:val="auto"/>
        </w:rPr>
      </w:pPr>
    </w:p>
    <w:p>
      <w:pPr>
        <w:ind w:right="200" w:firstLine="571"/>
        <w:spacing w:after="0" w:line="306" w:lineRule="auto"/>
        <w:rPr>
          <w:sz w:val="20"/>
          <w:szCs w:val="20"/>
          <w:color w:val="auto"/>
        </w:rPr>
      </w:pPr>
      <w:r>
        <w:rPr>
          <w:rFonts w:ascii="Arial" w:cs="Arial" w:eastAsia="Arial" w:hAnsi="Arial"/>
          <w:sz w:val="16"/>
          <w:szCs w:val="16"/>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SBIC LP, SBIC GP and our Taxable Subsidiaries in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150" w:lineRule="exact"/>
        <w:rPr>
          <w:sz w:val="20"/>
          <w:szCs w:val="20"/>
          <w:color w:val="auto"/>
        </w:rPr>
      </w:pPr>
    </w:p>
    <w:p>
      <w:pPr>
        <w:ind w:right="80" w:firstLine="571"/>
        <w:spacing w:after="0" w:line="318" w:lineRule="auto"/>
        <w:rPr>
          <w:sz w:val="20"/>
          <w:szCs w:val="20"/>
          <w:color w:val="auto"/>
        </w:rPr>
      </w:pPr>
      <w:r>
        <w:rPr>
          <w:rFonts w:ascii="Arial" w:cs="Arial" w:eastAsia="Arial" w:hAnsi="Arial"/>
          <w:sz w:val="15"/>
          <w:szCs w:val="15"/>
          <w:color w:val="auto"/>
        </w:rPr>
        <w:t>The Investment Management Agreement with the Investment Adviser was re-approved by our board of directors, including a majority of our directors who are not interested persons of us or the Investment Adviser, in February 2013. Under the Investment Management Agreement the Investment Adviser, subject to the overall supervision of our board of directors, manages the day-to-day operations of and provides investment advisory services to, PennantPark Investment.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w:t>
      </w:r>
    </w:p>
    <w:p>
      <w:pPr>
        <w:spacing w:after="0" w:line="73" w:lineRule="exact"/>
        <w:rPr>
          <w:sz w:val="20"/>
          <w:szCs w:val="20"/>
          <w:color w:val="auto"/>
        </w:rPr>
      </w:pPr>
    </w:p>
    <w:p>
      <w:pPr>
        <w:ind w:right="340" w:firstLine="571"/>
        <w:spacing w:after="0" w:line="370" w:lineRule="auto"/>
        <w:rPr>
          <w:sz w:val="20"/>
          <w:szCs w:val="20"/>
          <w:color w:val="auto"/>
        </w:rPr>
      </w:pPr>
      <w:r>
        <w:rPr>
          <w:rFonts w:ascii="Arial" w:cs="Arial" w:eastAsia="Arial" w:hAnsi="Arial"/>
          <w:sz w:val="15"/>
          <w:szCs w:val="15"/>
          <w:color w:val="auto"/>
        </w:rPr>
        <w:t>The base management fee is calculated at an annual rate of 2.00% of our “average adjusted gross assets” (net of U.S. Treasury Bills and/or temporary draws under any credit facility, repurchase agreements or other balance sheet transactions undertaken at the end of a fiscal quarter for purposes of preserving</w:t>
      </w:r>
    </w:p>
    <w:p>
      <w:pPr>
        <w:sectPr>
          <w:pgSz w:w="11900" w:h="16962" w:orient="portrait"/>
          <w:cols w:equalWidth="0" w:num="1">
            <w:col w:w="11420"/>
          </w:cols>
          <w:pgMar w:left="240" w:top="459" w:right="239" w:bottom="0" w:gutter="0" w:footer="0" w:header="0"/>
        </w:sectPr>
      </w:pPr>
    </w:p>
    <w:bookmarkStart w:id="151" w:name="page152"/>
    <w:bookmarkEnd w:id="151"/>
    <w:p>
      <w:pPr>
        <w:spacing w:after="0" w:line="254" w:lineRule="auto"/>
        <w:rPr>
          <w:sz w:val="20"/>
          <w:szCs w:val="20"/>
          <w:color w:val="auto"/>
        </w:rPr>
      </w:pPr>
      <w:r>
        <w:rPr>
          <w:rFonts w:ascii="Arial" w:cs="Arial" w:eastAsia="Arial" w:hAnsi="Arial"/>
          <w:sz w:val="18"/>
          <w:szCs w:val="18"/>
          <w:color w:val="auto"/>
        </w:rPr>
        <w:t>investment flexibility for the next quarter,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fiscal years ended September 30, 2013, 2012 and 2011, the Investment Adviser earned base management fees of $21.3 million, $17.5 million and $14.9 million, respectively, from 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131"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incentive fee has two parts, as follows:</w:t>
      </w:r>
    </w:p>
    <w:p>
      <w:pPr>
        <w:spacing w:after="0" w:line="144" w:lineRule="exact"/>
        <w:rPr>
          <w:sz w:val="20"/>
          <w:szCs w:val="20"/>
          <w:color w:val="auto"/>
        </w:rPr>
      </w:pPr>
    </w:p>
    <w:p>
      <w:pPr>
        <w:ind w:right="40" w:firstLine="571"/>
        <w:spacing w:after="0" w:line="285" w:lineRule="auto"/>
        <w:rPr>
          <w:sz w:val="20"/>
          <w:szCs w:val="20"/>
          <w:color w:val="auto"/>
        </w:rPr>
      </w:pPr>
      <w:r>
        <w:rPr>
          <w:rFonts w:ascii="Arial" w:cs="Arial" w:eastAsia="Arial" w:hAnsi="Arial"/>
          <w:sz w:val="16"/>
          <w:szCs w:val="16"/>
          <w:color w:val="auto"/>
        </w:rPr>
        <w:t>One part is calculated and payable quarterly in arrears based on our Pre-Incentive Fee Net Investment Income for the immediately preceding calendar quarter. For this purpose, Pre-Incentive Fee Net Investment Income means interest income, distribution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deferred interest feature (such as OID, debt instruments with PIK interest and zero coupon securities), accrued income not yet received in cash. Pre-Incentive Fee Net Investment Income does not include any realized capital gains, realized capital losses or unrealized capital appreciation or depreciation. Pre-Incentive Fee Net Investment Income, expressed as a rate of return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2.1875% in any calendar quarter (8.75% annualized), and (3) 20% of the amount of our Pre-Incentive Fee Net Investment Income, if any, that exceeds 2.1875% in any calendar quarter. These calculations are adjusted for any share issuances or repurchases during the relevant quarter. For the fiscal years ended September 30, 2013, 2012 and 2011, the Investment Adviser received an incentive fee of $16.8 million, $14.2 million and $13.2 million, respectively, from us.</w:t>
      </w:r>
    </w:p>
    <w:p>
      <w:pPr>
        <w:spacing w:after="0" w:line="99"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fiscal years ended September 30, 2013, 2012 and 2011 the Investment Adviser did not earn an incentive fee on capital gains as calculated under the Investment Management Agreement (as described above).</w:t>
      </w:r>
    </w:p>
    <w:p>
      <w:pPr>
        <w:spacing w:after="0" w:line="89"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years ended September 30, 2013, 2012 and 2011, our unrealized and realized capital gains did not exceed our cumulative realized and unrealized losses and resulted in no accrual under GAAP.</w:t>
      </w:r>
    </w:p>
    <w:p>
      <w:pPr>
        <w:spacing w:after="0" w:line="93" w:lineRule="exact"/>
        <w:rPr>
          <w:sz w:val="20"/>
          <w:szCs w:val="20"/>
          <w:color w:val="auto"/>
        </w:rPr>
      </w:pPr>
    </w:p>
    <w:p>
      <w:pPr>
        <w:ind w:right="40" w:firstLine="571"/>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our directors who are not interested persons of us, in February 2013.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technology systems, insurance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 of Operations. For the fiscal years ended September 30, 2013, 2012 and 2011, the Investment Adviser and Administrator, collectively, were reimbursed $2.9 million, $3.6 million and $2.6 million, respectively, from us, including expenses incurred on behalf of the Administrator, for the services described above.</w:t>
      </w:r>
    </w:p>
    <w:p>
      <w:pPr>
        <w:spacing w:after="0" w:line="96"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PennantPark Investment has entered into an administration agreement with its controlled affiliate SPH. Under the administration agreement with SPH, or the SPH Administration Agreement, PennantPark Investment through the Administrator furnishes SPH with office facilities, equipment and clerical, bookkeeping and record keeping services at such facilities. Additionally, the Administrator performs or oversees the performance of SPH’s required administrative services, which include, among other things, maintaining financial records, preparing financial reports and filing tax returns. Payments under the SPH Administration Agreement are equal to an amount based upon SPH’s allocable portion of the Administrator’s overhead in performing its obligations under the SPH Administration Agreement, including rent and allocable portion of the cost of compensation and related expenses of our Chief Financial Officer and his staff. For the fiscal years ended September 30, 2013, 2012 and 2011, PennantPark Investment was reimbursed $0.4 million, $0.7 million and $0.5 million, respectively, for the services described above.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5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Purchases of long-term investments, including PIK, for the fiscal years ended September 30, 2013, 2012 and 2011 totaled $516.2 million, $337.3 million and $490.6 million, respectively. Sales and repayments of long-term investments for the fiscal years ended September 30, 2013, 2012 and 2011 totaled $437.1 million, $201.7 million and $304.0 million, respectively.</w:t>
      </w:r>
    </w:p>
    <w:p>
      <w:pPr>
        <w:spacing w:after="0" w:line="1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220" w:type="dxa"/>
            <w:vAlign w:val="bottom"/>
          </w:tcPr>
          <w:p>
            <w:pPr>
              <w:spacing w:after="0"/>
              <w:rPr>
                <w:sz w:val="14"/>
                <w:szCs w:val="14"/>
                <w:color w:val="auto"/>
              </w:rPr>
            </w:pPr>
          </w:p>
        </w:tc>
        <w:tc>
          <w:tcPr>
            <w:tcW w:w="272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September 30, 2013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2"/>
        </w:trPr>
        <w:tc>
          <w:tcPr>
            <w:tcW w:w="42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76"/>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Cost</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290,000,430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299,516,291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289,964,255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291,677,553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346,717,448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357,543,217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208,454,615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191,339,241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311,240,637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302,447,308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404,507,916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400,682,637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Preferred equity and partnership interests</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65,943,244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12,830,669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49,222,034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19,634,989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equity and partnership interests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77,616,126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105,838,068</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56,463,042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87,145,290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1,091,517,885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1,078,175,553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1,008,611,862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990,479,710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58,440,829</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7,559,453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spacing w:after="0"/>
              <w:rPr>
                <w:sz w:val="20"/>
                <w:szCs w:val="20"/>
                <w:color w:val="auto"/>
              </w:rPr>
            </w:pPr>
            <w:r>
              <w:rPr>
                <w:rFonts w:ascii="Arial" w:cs="Arial" w:eastAsia="Arial" w:hAnsi="Arial"/>
                <w:sz w:val="18"/>
                <w:szCs w:val="18"/>
                <w:color w:val="auto"/>
              </w:rPr>
              <w:t>Total investments, cash and cash equivalents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1,149,958,714</w:t>
            </w:r>
          </w:p>
        </w:tc>
        <w:tc>
          <w:tcPr>
            <w:tcW w:w="4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1,136,616,382</w:t>
            </w:r>
          </w:p>
        </w:tc>
        <w:tc>
          <w:tcPr>
            <w:tcW w:w="4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1,016,171,315</w:t>
            </w:r>
          </w:p>
        </w:tc>
        <w:tc>
          <w:tcPr>
            <w:tcW w:w="44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998,039,163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w:t>
      </w:r>
    </w:p>
    <w:p>
      <w:pPr>
        <w:spacing w:after="0" w:line="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Industry Classification</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As of September 30,</w:t>
            </w:r>
          </w:p>
        </w:tc>
        <w:tc>
          <w:tcPr>
            <w:tcW w:w="0" w:type="dxa"/>
            <w:vAlign w:val="bottom"/>
          </w:tcPr>
          <w:p>
            <w:pPr>
              <w:spacing w:after="0"/>
              <w:rPr>
                <w:sz w:val="1"/>
                <w:szCs w:val="1"/>
                <w:color w:val="auto"/>
              </w:rPr>
            </w:pPr>
          </w:p>
        </w:tc>
      </w:tr>
      <w:tr>
        <w:trPr>
          <w:trHeight w:val="129"/>
        </w:trPr>
        <w:tc>
          <w:tcPr>
            <w:tcW w:w="7840" w:type="dxa"/>
            <w:vAlign w:val="bottom"/>
            <w:gridSpan w:val="2"/>
            <w:vMerge w:val="continue"/>
          </w:tcPr>
          <w:p>
            <w:pPr>
              <w:spacing w:after="0"/>
              <w:rPr>
                <w:sz w:val="11"/>
                <w:szCs w:val="11"/>
                <w:color w:val="auto"/>
              </w:rPr>
            </w:pP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shd w:val="clear" w:color="auto" w:fill="000000"/>
          </w:tcPr>
          <w:p>
            <w:pPr>
              <w:spacing w:after="0" w:line="20" w:lineRule="exact"/>
              <w:rPr>
                <w:sz w:val="1"/>
                <w:szCs w:val="1"/>
                <w:color w:val="auto"/>
              </w:rPr>
            </w:pPr>
          </w:p>
        </w:tc>
        <w:tc>
          <w:tcPr>
            <w:tcW w:w="67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Personal, Food and Miscellaneous Services</w:t>
            </w:r>
          </w:p>
        </w:tc>
        <w:tc>
          <w:tcPr>
            <w:tcW w:w="110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Printing and Publishing</w:t>
            </w: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Energy/Utilities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Healthcare, Education and Childcare</w:t>
            </w: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Oil and Gas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Hotels, Motels, Inns and Gaming</w:t>
            </w: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Media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Auto Sector</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Communication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Distribution</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Natural Resources, Precious Metals and Minerals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Environmental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Cargo Transport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Mining, Steel, Iron and Non-Precious Metals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Insurance</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Buildings and Real Estate</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Leisure, Amusement, Motion Pictures, Entertainment</w:t>
            </w: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40" w:top="460" w:right="2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5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tabs>
          <w:tab w:leader="none" w:pos="15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that are quoted prices (unadjusted) in active markets for identical assets or liabilities, accessible by us at the measurement date.</w:t>
      </w:r>
    </w:p>
    <w:p>
      <w:pPr>
        <w:spacing w:after="0" w:line="185" w:lineRule="exact"/>
        <w:rPr>
          <w:sz w:val="20"/>
          <w:szCs w:val="20"/>
          <w:color w:val="auto"/>
        </w:rPr>
      </w:pPr>
    </w:p>
    <w:p>
      <w:pPr>
        <w:ind w:left="1520" w:right="400" w:hanging="1052"/>
        <w:spacing w:after="0" w:line="259" w:lineRule="auto"/>
        <w:tabs>
          <w:tab w:leader="none" w:pos="15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54" w:lineRule="exact"/>
        <w:rPr>
          <w:sz w:val="20"/>
          <w:szCs w:val="20"/>
          <w:color w:val="auto"/>
        </w:rPr>
      </w:pPr>
    </w:p>
    <w:p>
      <w:pPr>
        <w:ind w:left="1520" w:right="620" w:hanging="1052"/>
        <w:spacing w:after="0" w:line="268" w:lineRule="auto"/>
        <w:tabs>
          <w:tab w:leader="none" w:pos="15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20"/>
          </w:cols>
          <w:pgMar w:left="240" w:top="125"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right="320" w:firstLine="571"/>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6"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are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17" w:lineRule="exact"/>
        <w:rPr>
          <w:sz w:val="20"/>
          <w:szCs w:val="20"/>
          <w:color w:val="auto"/>
        </w:rPr>
      </w:pPr>
    </w:p>
    <w:p>
      <w:pPr>
        <w:ind w:right="20" w:firstLine="571"/>
        <w:spacing w:after="0" w:line="288" w:lineRule="auto"/>
        <w:rPr>
          <w:sz w:val="20"/>
          <w:szCs w:val="20"/>
          <w:color w:val="auto"/>
        </w:rPr>
      </w:pPr>
      <w:r>
        <w:rPr>
          <w:rFonts w:ascii="Arial" w:cs="Arial" w:eastAsia="Arial" w:hAnsi="Arial"/>
          <w:sz w:val="16"/>
          <w:szCs w:val="16"/>
          <w:color w:val="auto"/>
        </w:rPr>
        <w:t>Our investments are generally structured as debt and equity investments in the form of senior secured loans, mezzanine debt and equity co-investments.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Within our fair value hierarchy table, our investments are generally categorized as first lien, second lien, subordinated debt and preferred and common equity investments.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w:t>
      </w:r>
    </w:p>
    <w:p>
      <w:pPr>
        <w:spacing w:after="0" w:line="93"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fiscal year ended September 30, 2013, our ability to observe valuation inputs has resulted in a reclassification of an investment from Level 3 to 2 with no other reclassifications of assets between levels. During the fiscal year ended September 30, 2012, our ability to observe valuation inputs resulted in no reclassification of assets between levels.</w:t>
      </w:r>
    </w:p>
    <w:p>
      <w:pPr>
        <w:spacing w:after="0" w:line="89" w:lineRule="exact"/>
        <w:rPr>
          <w:sz w:val="20"/>
          <w:szCs w:val="20"/>
          <w:color w:val="auto"/>
        </w:rPr>
      </w:pPr>
    </w:p>
    <w:p>
      <w:pPr>
        <w:jc w:val="both"/>
        <w:ind w:right="80" w:firstLine="571"/>
        <w:spacing w:after="0" w:line="259" w:lineRule="auto"/>
        <w:rPr>
          <w:sz w:val="20"/>
          <w:szCs w:val="20"/>
          <w:color w:val="auto"/>
        </w:rPr>
      </w:pPr>
      <w:r>
        <w:rPr>
          <w:rFonts w:ascii="Arial" w:cs="Arial" w:eastAsia="Arial" w:hAnsi="Arial"/>
          <w:sz w:val="18"/>
          <w:szCs w:val="18"/>
          <w:color w:val="auto"/>
        </w:rPr>
        <w:t>In addition to using the above inputs in cash equivalents, investments, the 2025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3"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16" w:lineRule="exact"/>
        <w:rPr>
          <w:sz w:val="20"/>
          <w:szCs w:val="20"/>
          <w:color w:val="auto"/>
        </w:rPr>
      </w:pPr>
    </w:p>
    <w:p>
      <w:pPr>
        <w:ind w:right="240" w:firstLine="571"/>
        <w:spacing w:after="0" w:line="309" w:lineRule="auto"/>
        <w:rPr>
          <w:sz w:val="20"/>
          <w:szCs w:val="20"/>
          <w:color w:val="auto"/>
        </w:rPr>
      </w:pPr>
      <w:r>
        <w:rPr>
          <w:rFonts w:ascii="Arial" w:cs="Arial" w:eastAsia="Arial" w:hAnsi="Arial"/>
          <w:sz w:val="15"/>
          <w:szCs w:val="15"/>
          <w:color w:val="auto"/>
        </w:rPr>
        <w:t>The remainder of our portfolio, including our long-term Credit Facility, classified as Level 3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6"/>
              <w:spacing w:after="0"/>
              <w:rPr>
                <w:sz w:val="20"/>
                <w:szCs w:val="20"/>
                <w:color w:val="auto"/>
              </w:rPr>
            </w:pPr>
            <w:r>
              <w:rPr>
                <w:rFonts w:ascii="Arial" w:cs="Arial" w:eastAsia="Arial" w:hAnsi="Arial"/>
                <w:sz w:val="14"/>
                <w:szCs w:val="14"/>
                <w:b w:val="1"/>
                <w:bCs w:val="1"/>
                <w:color w:val="auto"/>
                <w:w w:val="93"/>
              </w:rPr>
              <w:t>Fair Value at</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1"/>
        </w:trPr>
        <w:tc>
          <w:tcPr>
            <w:tcW w:w="4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2013</w:t>
            </w:r>
          </w:p>
        </w:tc>
        <w:tc>
          <w:tcPr>
            <w:tcW w:w="2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Valuation Technique</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Unobservable Input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 second lien, subordinated debt/corporate notes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448,842,465</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Broker/Dealer bid quotes</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First lien, second lien, subordinated debt/corporate notes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466,571,947</w:t>
            </w: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Market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9.5% - 21.5% (13.5%)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110,923,754</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 – 15.0 (9.0)</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8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$ 1,026,338,166</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117,500,000</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0" w:type="dxa"/>
            <w:vAlign w:val="bottom"/>
          </w:tcPr>
          <w:p>
            <w:pPr>
              <w:spacing w:after="0"/>
              <w:rPr>
                <w:sz w:val="1"/>
                <w:szCs w:val="1"/>
                <w:color w:val="auto"/>
              </w:rPr>
            </w:pPr>
          </w:p>
        </w:tc>
      </w:tr>
      <w:tr>
        <w:trPr>
          <w:trHeight w:val="318"/>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Fair Value at</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1"/>
        </w:trPr>
        <w:tc>
          <w:tcPr>
            <w:tcW w:w="4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September 30, 2012</w:t>
            </w:r>
          </w:p>
        </w:tc>
        <w:tc>
          <w:tcPr>
            <w:tcW w:w="2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Valuation Technique</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Unobservable Input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(Weighted Average)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lien, second lien, subordinated debt/corporate notes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258,617,082</w:t>
            </w:r>
          </w:p>
        </w:tc>
        <w:tc>
          <w:tcPr>
            <w:tcW w:w="2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Market Comparable</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Broker/Dealer bid quotes</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First lien, second lien, subordinated debt/corporate notes</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589,806,989</w:t>
            </w:r>
          </w:p>
        </w:tc>
        <w:tc>
          <w:tcPr>
            <w:tcW w:w="2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Market Yield</w:t>
            </w:r>
          </w:p>
        </w:tc>
        <w:tc>
          <w:tcPr>
            <w:tcW w:w="1580" w:type="dxa"/>
            <w:vAlign w:val="bottom"/>
          </w:tcPr>
          <w:p>
            <w:pPr>
              <w:jc w:val="center"/>
              <w:spacing w:after="0"/>
              <w:rPr>
                <w:sz w:val="20"/>
                <w:szCs w:val="20"/>
                <w:color w:val="auto"/>
              </w:rPr>
            </w:pPr>
            <w:r>
              <w:rPr>
                <w:rFonts w:ascii="Arial" w:cs="Arial" w:eastAsia="Arial" w:hAnsi="Arial"/>
                <w:sz w:val="18"/>
                <w:szCs w:val="18"/>
                <w:color w:val="auto"/>
                <w:w w:val="89"/>
              </w:rPr>
              <w:t>8.4% - 19.0% (14.1%)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101,323,123</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4.3x - 15.5x (8.5x)</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Total Level 3 investments</w:t>
            </w:r>
          </w:p>
        </w:tc>
        <w:tc>
          <w:tcPr>
            <w:tcW w:w="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949,747,194</w:t>
            </w: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144,452,500</w:t>
            </w:r>
          </w:p>
        </w:tc>
        <w:tc>
          <w:tcPr>
            <w:tcW w:w="2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F-21</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Our cash equivalents, 2025 Notes and investments and our Credit Facility were categorized as follows in the fair value hierarchy for ASC 820 purposes: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0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4"/>
                <w:szCs w:val="14"/>
                <w:b w:val="1"/>
                <w:bCs w:val="1"/>
                <w:color w:val="auto"/>
                <w:w w:val="97"/>
              </w:rPr>
              <w:t>Fair Value at September 30, 2013</w:t>
            </w:r>
          </w:p>
        </w:tc>
        <w:tc>
          <w:tcPr>
            <w:tcW w:w="12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959,506,815</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44,092,400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915,414,415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118,668,738</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7,539,320</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205,667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110,923,751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1,078,175,553</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7,539,320</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44,298,067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1,026,338,166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58,440,829</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1,136,616,382</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65,980,149</w:t>
            </w:r>
          </w:p>
        </w:tc>
        <w:tc>
          <w:tcPr>
            <w:tcW w:w="6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44,298,067</w:t>
            </w:r>
          </w:p>
        </w:tc>
        <w:tc>
          <w:tcPr>
            <w:tcW w:w="4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1,026,338,166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$28.0</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million)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6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2025 Notes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68,400,000</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68,400,000</w:t>
            </w:r>
          </w:p>
        </w:tc>
        <w:tc>
          <w:tcPr>
            <w:tcW w:w="4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4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185,900,000</w:t>
            </w:r>
          </w:p>
        </w:tc>
        <w:tc>
          <w:tcPr>
            <w:tcW w:w="6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68,400,000</w:t>
            </w:r>
          </w:p>
        </w:tc>
        <w:tc>
          <w:tcPr>
            <w:tcW w:w="6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10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123"/>
              <w:spacing w:after="0"/>
              <w:rPr>
                <w:sz w:val="20"/>
                <w:szCs w:val="20"/>
                <w:color w:val="auto"/>
              </w:rPr>
            </w:pPr>
            <w:r>
              <w:rPr>
                <w:rFonts w:ascii="Arial" w:cs="Arial" w:eastAsia="Arial" w:hAnsi="Arial"/>
                <w:sz w:val="14"/>
                <w:szCs w:val="14"/>
                <w:b w:val="1"/>
                <w:bCs w:val="1"/>
                <w:color w:val="auto"/>
                <w:w w:val="97"/>
              </w:rPr>
              <w:t>Fair Value at September 30, 2012</w:t>
            </w: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95"/>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jc w:val="right"/>
              <w:ind w:right="435"/>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Loan and debt investments</w:t>
            </w:r>
          </w:p>
        </w:tc>
        <w:tc>
          <w:tcPr>
            <w:tcW w:w="3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883,699,431</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35,275,360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106,780,279</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5,425,378</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101,323,123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990,479,710</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5,425,378</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35,307,138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7,559,453</w:t>
            </w: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998,039,163</w:t>
            </w:r>
          </w:p>
        </w:tc>
        <w:tc>
          <w:tcPr>
            <w:tcW w:w="66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12,984,831</w:t>
            </w:r>
          </w:p>
        </w:tc>
        <w:tc>
          <w:tcPr>
            <w:tcW w:w="68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35,307,138</w:t>
            </w:r>
          </w:p>
        </w:tc>
        <w:tc>
          <w:tcPr>
            <w:tcW w:w="480" w:type="dxa"/>
            <w:vAlign w:val="bottom"/>
            <w:gridSpan w:val="2"/>
            <w:shd w:val="clear" w:color="auto" w:fill="CCEEFF"/>
          </w:tcPr>
          <w:p>
            <w:pPr>
              <w:jc w:val="right"/>
              <w:ind w:right="103"/>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40" w:type="dxa"/>
            <w:vAlign w:val="bottom"/>
            <w:gridSpan w:val="2"/>
          </w:tcPr>
          <w:p>
            <w:pPr>
              <w:spacing w:after="0"/>
              <w:rPr>
                <w:sz w:val="20"/>
                <w:szCs w:val="20"/>
                <w:color w:val="auto"/>
              </w:rPr>
            </w:pPr>
            <w:r>
              <w:rPr>
                <w:rFonts w:ascii="Arial" w:cs="Arial" w:eastAsia="Arial" w:hAnsi="Arial"/>
                <w:sz w:val="18"/>
                <w:szCs w:val="18"/>
                <w:color w:val="auto"/>
              </w:rPr>
              <w:t>Long-Term Credit Facility (excluding temporary draw of $35.5</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ind w:left="220"/>
              <w:spacing w:after="0"/>
              <w:rPr>
                <w:sz w:val="20"/>
                <w:szCs w:val="20"/>
                <w:color w:val="auto"/>
              </w:rPr>
            </w:pPr>
            <w:r>
              <w:rPr>
                <w:rFonts w:ascii="Arial" w:cs="Arial" w:eastAsia="Arial" w:hAnsi="Arial"/>
                <w:sz w:val="18"/>
                <w:szCs w:val="18"/>
                <w:color w:val="auto"/>
              </w:rPr>
              <w:t>million)</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108,952,500</w:t>
            </w:r>
          </w:p>
        </w:tc>
        <w:tc>
          <w:tcPr>
            <w:tcW w:w="66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108,952,500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340" w:firstLine="571"/>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7"/>
              </w:rPr>
              <w:t>Year Ended September 30, 2013</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Loan and debt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investments</w:t>
            </w:r>
          </w:p>
        </w:tc>
        <w:tc>
          <w:tcPr>
            <w:tcW w:w="320" w:type="dxa"/>
            <w:vAlign w:val="bottom"/>
          </w:tcPr>
          <w:p>
            <w:pPr>
              <w:spacing w:after="0"/>
              <w:rPr>
                <w:sz w:val="14"/>
                <w:szCs w:val="14"/>
                <w:color w:val="auto"/>
              </w:rPr>
            </w:pPr>
          </w:p>
        </w:tc>
        <w:tc>
          <w:tcPr>
            <w:tcW w:w="17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Equity investments</w:t>
            </w:r>
          </w:p>
        </w:tc>
        <w:tc>
          <w:tcPr>
            <w:tcW w:w="1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 September 30, 2012</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848,424,071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101,323,123</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949,747,194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Realized gains (losses)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6,721,638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3,311,652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35,227,586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(28,273,765)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6,953,821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512,045,145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46,647,608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558,692,753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(474,164,025)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(12,084,867)</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(486,248,892)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Transfers in or out of 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(12,840,000)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(12,840,000)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915,414,415</w:t>
            </w:r>
          </w:p>
        </w:tc>
        <w:tc>
          <w:tcPr>
            <w:tcW w:w="5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110,923,751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1,026,338,166</w:t>
            </w:r>
          </w:p>
        </w:tc>
        <w:tc>
          <w:tcPr>
            <w:tcW w:w="0" w:type="dxa"/>
            <w:vAlign w:val="bottom"/>
          </w:tcPr>
          <w:p>
            <w:pPr>
              <w:spacing w:after="0"/>
              <w:rPr>
                <w:sz w:val="1"/>
                <w:szCs w:val="1"/>
                <w:color w:val="auto"/>
              </w:rPr>
            </w:pPr>
          </w:p>
        </w:tc>
      </w:tr>
      <w:tr>
        <w:trPr>
          <w:trHeight w:val="215"/>
        </w:trPr>
        <w:tc>
          <w:tcPr>
            <w:tcW w:w="6280" w:type="dxa"/>
            <w:vAlign w:val="bottom"/>
            <w:gridSpan w:val="2"/>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w w:val="97"/>
              </w:rPr>
              <w:t>the net change in unrealized appreciation (depreciation) on investments in our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w w:val="91"/>
              </w:rPr>
              <w:t>Consolidated Statement of Operations attributable to our Level 3 assets still held at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the reporting date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33,158,082</w:t>
            </w:r>
          </w:p>
        </w:tc>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(30,958,706)</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2,199,376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87"/>
              </w:rPr>
              <w:t>Year Ended September 30, 2012</w:t>
            </w: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Loan and debt</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88"/>
              </w:rPr>
              <w:t>Equity</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investments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3"/>
              </w:rPr>
              <w:t>investments</w:t>
            </w:r>
          </w:p>
        </w:tc>
        <w:tc>
          <w:tcPr>
            <w:tcW w:w="1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Beginning Balance, September 30, 2011</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732,694,451</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52,353,328</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785,047,779</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Realized gains (losses)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(1,893,297)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(865,772)</w:t>
            </w:r>
          </w:p>
        </w:tc>
        <w:tc>
          <w:tcPr>
            <w:tcW w:w="18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(2,759,069)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23,034,558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(11,283,219)</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11,751,339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Purchases, PIK, net discount accretion and non-cash exchanges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288,868,017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66,892,499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355,760,516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(194,279,658)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(5,773,713)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(200,053,371)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Transfers in or out of Level 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848,424,071</w:t>
            </w:r>
          </w:p>
        </w:tc>
        <w:tc>
          <w:tcPr>
            <w:tcW w:w="5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101,323,123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949,747,194</w:t>
            </w:r>
          </w:p>
        </w:tc>
        <w:tc>
          <w:tcPr>
            <w:tcW w:w="0" w:type="dxa"/>
            <w:vAlign w:val="bottom"/>
          </w:tcPr>
          <w:p>
            <w:pPr>
              <w:spacing w:after="0"/>
              <w:rPr>
                <w:sz w:val="1"/>
                <w:szCs w:val="1"/>
                <w:color w:val="auto"/>
              </w:rPr>
            </w:pPr>
          </w:p>
        </w:tc>
      </w:tr>
      <w:tr>
        <w:trPr>
          <w:trHeight w:val="215"/>
        </w:trPr>
        <w:tc>
          <w:tcPr>
            <w:tcW w:w="6280" w:type="dxa"/>
            <w:vAlign w:val="bottom"/>
            <w:gridSpan w:val="2"/>
          </w:tcPr>
          <w:p>
            <w:pPr>
              <w:spacing w:after="0"/>
              <w:rPr>
                <w:sz w:val="20"/>
                <w:szCs w:val="20"/>
                <w:color w:val="auto"/>
              </w:rPr>
            </w:pPr>
            <w:r>
              <w:rPr>
                <w:rFonts w:ascii="Arial" w:cs="Arial" w:eastAsia="Arial" w:hAnsi="Arial"/>
                <w:sz w:val="18"/>
                <w:szCs w:val="18"/>
                <w:color w:val="auto"/>
                <w:w w:val="91"/>
              </w:rPr>
              <w:t>Net change in unrealized appreciation (depreciation) for the fiscal year reported within</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w w:val="97"/>
              </w:rPr>
              <w:t>the net change in unrealized appreciation (depreciation) on investments in our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w w:val="91"/>
              </w:rPr>
              <w:t>Consolidated Statement of Operations attributable to our Level 3 assets still held at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200"/>
              <w:spacing w:after="0"/>
              <w:rPr>
                <w:sz w:val="20"/>
                <w:szCs w:val="20"/>
                <w:color w:val="auto"/>
              </w:rPr>
            </w:pPr>
            <w:r>
              <w:rPr>
                <w:rFonts w:ascii="Arial" w:cs="Arial" w:eastAsia="Arial" w:hAnsi="Arial"/>
                <w:sz w:val="18"/>
                <w:szCs w:val="18"/>
                <w:color w:val="auto"/>
              </w:rPr>
              <w:t>the reporting date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25,864,375</w:t>
            </w:r>
          </w:p>
        </w:tc>
        <w:tc>
          <w:tcPr>
            <w:tcW w:w="50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(9,858,219)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16,006,156</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6260" w:type="dxa"/>
            <w:vAlign w:val="bottom"/>
          </w:tcPr>
          <w:p>
            <w:pPr>
              <w:ind w:left="5520"/>
              <w:spacing w:after="0"/>
              <w:rPr>
                <w:sz w:val="20"/>
                <w:szCs w:val="20"/>
                <w:color w:val="auto"/>
              </w:rPr>
            </w:pPr>
            <w:r>
              <w:rPr>
                <w:rFonts w:ascii="Arial" w:cs="Arial" w:eastAsia="Arial" w:hAnsi="Arial"/>
                <w:sz w:val="18"/>
                <w:szCs w:val="18"/>
                <w:color w:val="auto"/>
              </w:rPr>
              <w:t>F-22</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Carrying / Fair Value</w:t>
            </w:r>
          </w:p>
        </w:tc>
        <w:tc>
          <w:tcPr>
            <w:tcW w:w="0" w:type="dxa"/>
            <w:vAlign w:val="bottom"/>
          </w:tcPr>
          <w:p>
            <w:pPr>
              <w:spacing w:after="0"/>
              <w:rPr>
                <w:sz w:val="1"/>
                <w:szCs w:val="1"/>
                <w:color w:val="auto"/>
              </w:rPr>
            </w:pPr>
          </w:p>
        </w:tc>
      </w:tr>
      <w:tr>
        <w:trPr>
          <w:trHeight w:val="129"/>
        </w:trPr>
        <w:tc>
          <w:tcPr>
            <w:tcW w:w="87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Credit Facility</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96"/>
              </w:rPr>
              <w:t>Year Ended</w:t>
            </w: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720" w:type="dxa"/>
            <w:vAlign w:val="bottom"/>
            <w:gridSpan w:val="4"/>
            <w:vMerge w:val="continue"/>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September 30, 2013</w:t>
            </w:r>
          </w:p>
        </w:tc>
        <w:tc>
          <w:tcPr>
            <w:tcW w:w="14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30,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Beginning Balance (Cost – $109,500,000 and $240,900,000, respectively)</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108,952,500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238,792,125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420"/>
              <w:spacing w:after="0"/>
              <w:rPr>
                <w:sz w:val="20"/>
                <w:szCs w:val="20"/>
                <w:color w:val="auto"/>
              </w:rPr>
            </w:pPr>
            <w:r>
              <w:rPr>
                <w:rFonts w:ascii="Arial" w:cs="Arial" w:eastAsia="Arial" w:hAnsi="Arial"/>
                <w:sz w:val="18"/>
                <w:szCs w:val="18"/>
                <w:color w:val="auto"/>
              </w:rPr>
              <w:t>Total unrealized depreciation (appreciation) included in earnings</w:t>
            </w: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547,500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1,560,375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Borrowings</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660,800,000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556,800,000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tcPr>
          <w:p>
            <w:pPr>
              <w:ind w:left="420"/>
              <w:spacing w:after="0"/>
              <w:rPr>
                <w:sz w:val="20"/>
                <w:szCs w:val="20"/>
                <w:color w:val="auto"/>
              </w:rPr>
            </w:pPr>
            <w:r>
              <w:rPr>
                <w:rFonts w:ascii="Arial" w:cs="Arial" w:eastAsia="Arial" w:hAnsi="Arial"/>
                <w:sz w:val="18"/>
                <w:szCs w:val="18"/>
                <w:color w:val="auto"/>
              </w:rPr>
              <w:t>Repayments</w:t>
            </w:r>
            <w:r>
              <w:rPr>
                <w:rFonts w:ascii="Arial" w:cs="Arial" w:eastAsia="Arial" w:hAnsi="Arial"/>
                <w:sz w:val="11"/>
                <w:szCs w:val="11"/>
                <w:color w:val="auto"/>
              </w:rPr>
              <w:t>(1)</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(652,800,000)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(688,200,000)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Transfers in and/or out of Level 3</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20" w:type="dxa"/>
            <w:vAlign w:val="bottom"/>
            <w:gridSpan w:val="4"/>
          </w:tcPr>
          <w:p>
            <w:pPr>
              <w:spacing w:after="0"/>
              <w:rPr>
                <w:sz w:val="20"/>
                <w:szCs w:val="20"/>
                <w:color w:val="auto"/>
              </w:rPr>
            </w:pPr>
            <w:r>
              <w:rPr>
                <w:rFonts w:ascii="Arial" w:cs="Arial" w:eastAsia="Arial" w:hAnsi="Arial"/>
                <w:sz w:val="18"/>
                <w:szCs w:val="18"/>
                <w:color w:val="auto"/>
              </w:rPr>
              <w:t>Ending Balance (Cost – $117,500,000 and $109,500,000, respectively)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117,500,000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108,952,500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Temporary draw outstanding, at cost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28,000,000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8720" w:type="dxa"/>
            <w:vAlign w:val="bottom"/>
            <w:gridSpan w:val="4"/>
          </w:tcPr>
          <w:p>
            <w:pPr>
              <w:spacing w:after="0"/>
              <w:rPr>
                <w:sz w:val="20"/>
                <w:szCs w:val="20"/>
                <w:color w:val="auto"/>
              </w:rPr>
            </w:pPr>
            <w:r>
              <w:rPr>
                <w:rFonts w:ascii="Arial" w:cs="Arial" w:eastAsia="Arial" w:hAnsi="Arial"/>
                <w:sz w:val="18"/>
                <w:szCs w:val="18"/>
                <w:color w:val="auto"/>
              </w:rPr>
              <w:t>Ending Balance (Cost – $145,500,000 and 145,000,000, respectively)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145,500,000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144,452,500</w:t>
            </w:r>
          </w:p>
        </w:tc>
        <w:tc>
          <w:tcPr>
            <w:tcW w:w="0" w:type="dxa"/>
            <w:vAlign w:val="bottom"/>
          </w:tcPr>
          <w:p>
            <w:pPr>
              <w:spacing w:after="0"/>
              <w:rPr>
                <w:sz w:val="1"/>
                <w:szCs w:val="1"/>
                <w:color w:val="auto"/>
              </w:rPr>
            </w:pPr>
          </w:p>
        </w:tc>
      </w:tr>
      <w:tr>
        <w:trPr>
          <w:trHeight w:val="116"/>
        </w:trPr>
        <w:tc>
          <w:tcPr>
            <w:tcW w:w="8720" w:type="dxa"/>
            <w:vAlign w:val="bottom"/>
            <w:gridSpan w:val="4"/>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4780" w:type="dxa"/>
            <w:vAlign w:val="bottom"/>
            <w:tcBorders>
              <w:top w:val="single" w:sz="8" w:color="auto"/>
            </w:tcBorders>
          </w:tcPr>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Excludes temporary draws.</w:t>
            </w:r>
          </w:p>
        </w:tc>
        <w:tc>
          <w:tcPr>
            <w:tcW w:w="39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Credit Facility and our 2025 Notes. We elected to use the fair value option for the Credit Facility and the 2025 Notes to align the measurement attributes of both our assets and liabilities while mitigating volatility in earnings from using different measurement attributes. Due to that election and in accordance with GAAP, we incurred $2.8 million, $5.4 million and zero debt issuance costs during the year ended September 30, 2013, 2012 and 2011,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and 2025 Notes are reported in our Consolidated Statement of Operations. We elected not to apply ASC 825-10 to any other financial assets or liabilities, including the SBA debentures. For the fiscal years ended September 30, 2013 and 2012, our Credit Facility and 2025 Notes had a net change in unrealized depreciation (appreciation) of $2.3 million and $(1.6) million, respectively. As of September 30, 2013 and 2012, net unrealized depreciation on our Credit Facility and 2025 Notes totaled $2.8 million and $0.5 million, respectively. We use a nationally recognized independent valuation service to fair value our Credit Facility in a manner consistent with the valuation process that the board of directors approves to value investments. Our 2025 Notes trade on the NYSE and we use the closing price on the exchange to determine their fair value.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TRANSACTIONS WITH AND INCOME ACCRUED FROM AFFILIATED COMPANIES</w:t>
      </w:r>
    </w:p>
    <w:p>
      <w:pPr>
        <w:spacing w:after="0" w:line="150"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An affiliated company is a company in which we have ownership of 5% or more of its voting securities. A controlled affiliate is a company in which we own 25% or more of its voting securities. Transactions and accrued income related to our investments with both controlled and non-controlled affiliates for the year ended September 30, 2013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8"/>
              <w:spacing w:after="0"/>
              <w:rPr>
                <w:sz w:val="20"/>
                <w:szCs w:val="20"/>
                <w:color w:val="auto"/>
              </w:rPr>
            </w:pPr>
            <w:r>
              <w:rPr>
                <w:rFonts w:ascii="Arial" w:cs="Arial" w:eastAsia="Arial" w:hAnsi="Arial"/>
                <w:sz w:val="14"/>
                <w:szCs w:val="14"/>
                <w:b w:val="1"/>
                <w:bCs w:val="1"/>
                <w:color w:val="auto"/>
                <w:w w:val="83"/>
              </w:rPr>
              <w:t>Purchases of /</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Sale of /</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60" w:type="dxa"/>
            <w:vAlign w:val="bottom"/>
          </w:tcPr>
          <w:p>
            <w:pPr>
              <w:spacing w:after="0"/>
              <w:rPr>
                <w:sz w:val="12"/>
                <w:szCs w:val="12"/>
                <w:color w:val="auto"/>
              </w:rPr>
            </w:pPr>
          </w:p>
        </w:tc>
        <w:tc>
          <w:tcPr>
            <w:tcW w:w="106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w w:val="96"/>
              </w:rPr>
              <w:t>Fair Value at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4"/>
              </w:rPr>
              <w:t>Advances to</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20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2"/>
                <w:szCs w:val="12"/>
                <w:color w:val="auto"/>
              </w:rPr>
            </w:pPr>
          </w:p>
        </w:tc>
        <w:tc>
          <w:tcPr>
            <w:tcW w:w="140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8"/>
              </w:rPr>
              <w:t>Fair Value at</w:t>
            </w:r>
          </w:p>
        </w:tc>
        <w:tc>
          <w:tcPr>
            <w:tcW w:w="10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2"/>
              </w:rPr>
              <w:t>Capital Gains /</w:t>
            </w:r>
          </w:p>
        </w:tc>
        <w:tc>
          <w:tcPr>
            <w:tcW w:w="0" w:type="dxa"/>
            <w:vAlign w:val="bottom"/>
          </w:tcPr>
          <w:p>
            <w:pPr>
              <w:spacing w:after="0"/>
              <w:rPr>
                <w:sz w:val="1"/>
                <w:szCs w:val="1"/>
                <w:color w:val="auto"/>
              </w:rPr>
            </w:pPr>
          </w:p>
        </w:tc>
      </w:tr>
      <w:tr>
        <w:trPr>
          <w:trHeight w:val="161"/>
        </w:trPr>
        <w:tc>
          <w:tcPr>
            <w:tcW w:w="2620" w:type="dxa"/>
            <w:vAlign w:val="bottom"/>
            <w:gridSpan w:val="3"/>
            <w:vMerge w:val="continue"/>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September 30, 2012</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Affiliates</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from Affiliates</w:t>
            </w:r>
          </w:p>
        </w:tc>
        <w:tc>
          <w:tcPr>
            <w:tcW w:w="200" w:type="dxa"/>
            <w:vAlign w:val="bottom"/>
          </w:tcPr>
          <w:p>
            <w:pPr>
              <w:spacing w:after="0"/>
              <w:rPr>
                <w:sz w:val="14"/>
                <w:szCs w:val="14"/>
                <w:color w:val="auto"/>
              </w:rPr>
            </w:pP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Accrued</w:t>
            </w:r>
          </w:p>
        </w:tc>
        <w:tc>
          <w:tcPr>
            <w:tcW w:w="15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8"/>
              </w:rPr>
              <w:t>September 30, 2013</w:t>
            </w:r>
          </w:p>
        </w:tc>
        <w:tc>
          <w:tcPr>
            <w:tcW w:w="10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Controlled Affiliates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620" w:type="dxa"/>
            <w:vAlign w:val="bottom"/>
            <w:gridSpan w:val="3"/>
          </w:tcPr>
          <w:p>
            <w:pPr>
              <w:spacing w:after="0"/>
              <w:rPr>
                <w:sz w:val="20"/>
                <w:szCs w:val="20"/>
                <w:color w:val="auto"/>
              </w:rPr>
            </w:pPr>
            <w:r>
              <w:rPr>
                <w:rFonts w:ascii="Arial" w:cs="Arial" w:eastAsia="Arial" w:hAnsi="Arial"/>
                <w:sz w:val="18"/>
                <w:szCs w:val="18"/>
                <w:color w:val="auto"/>
              </w:rPr>
              <w:t>SuttonPark Holdings, Inc.</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13,175,000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5,500,000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(7,500,000)</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1,798,319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13,500,000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Universal Pegasus International,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LLC</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24,456,708</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1,341,667</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(2,041,667)</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3,008,010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19,468,711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2"/>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Non-Controlled Affiliates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Buy Holdings, Inc.**</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10,880,000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956,224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1,412,589</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17,805,936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(1,350,000)</w:t>
            </w:r>
          </w:p>
        </w:tc>
        <w:tc>
          <w:tcPr>
            <w:tcW w:w="0" w:type="dxa"/>
            <w:vAlign w:val="bottom"/>
          </w:tcPr>
          <w:p>
            <w:pPr>
              <w:spacing w:after="0"/>
              <w:rPr>
                <w:sz w:val="1"/>
                <w:szCs w:val="1"/>
                <w:color w:val="auto"/>
              </w:rPr>
            </w:pPr>
          </w:p>
        </w:tc>
      </w:tr>
      <w:tr>
        <w:trPr>
          <w:trHeight w:val="282"/>
        </w:trPr>
        <w:tc>
          <w:tcPr>
            <w:tcW w:w="2620" w:type="dxa"/>
            <w:vAlign w:val="bottom"/>
            <w:gridSpan w:val="3"/>
          </w:tcPr>
          <w:p>
            <w:pPr>
              <w:spacing w:after="0"/>
              <w:rPr>
                <w:sz w:val="20"/>
                <w:szCs w:val="20"/>
                <w:color w:val="auto"/>
              </w:rPr>
            </w:pPr>
            <w:r>
              <w:rPr>
                <w:rFonts w:ascii="Arial" w:cs="Arial" w:eastAsia="Arial" w:hAnsi="Arial"/>
                <w:sz w:val="18"/>
                <w:szCs w:val="18"/>
                <w:color w:val="auto"/>
              </w:rPr>
              <w:t>Envirosolutions, Inc.</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18,425,519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1,835,978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21,265,345</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PAS International Holdings, Inc.*</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17,946,928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77,584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1,694,296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(1,999,960)</w:t>
            </w:r>
          </w:p>
        </w:tc>
        <w:tc>
          <w:tcPr>
            <w:tcW w:w="0" w:type="dxa"/>
            <w:vAlign w:val="bottom"/>
          </w:tcPr>
          <w:p>
            <w:pPr>
              <w:spacing w:after="0"/>
              <w:rPr>
                <w:sz w:val="1"/>
                <w:szCs w:val="1"/>
                <w:color w:val="auto"/>
              </w:rPr>
            </w:pPr>
          </w:p>
        </w:tc>
      </w:tr>
      <w:tr>
        <w:trPr>
          <w:trHeight w:val="282"/>
        </w:trPr>
        <w:tc>
          <w:tcPr>
            <w:tcW w:w="2620" w:type="dxa"/>
            <w:vAlign w:val="bottom"/>
            <w:gridSpan w:val="3"/>
          </w:tcPr>
          <w:p>
            <w:pPr>
              <w:spacing w:after="0"/>
              <w:rPr>
                <w:sz w:val="20"/>
                <w:szCs w:val="20"/>
                <w:color w:val="auto"/>
              </w:rPr>
            </w:pPr>
            <w:r>
              <w:rPr>
                <w:rFonts w:ascii="Arial" w:cs="Arial" w:eastAsia="Arial" w:hAnsi="Arial"/>
                <w:sz w:val="18"/>
                <w:szCs w:val="18"/>
                <w:color w:val="auto"/>
              </w:rPr>
              <w:t>Performance Holdings, Inc.</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18,028,080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(15,851,005)</w:t>
            </w:r>
          </w:p>
        </w:tc>
        <w:tc>
          <w:tcPr>
            <w:tcW w:w="200" w:type="dxa"/>
            <w:vAlign w:val="bottom"/>
          </w:tcPr>
          <w:p>
            <w:pPr>
              <w:spacing w:after="0"/>
              <w:rPr>
                <w:sz w:val="24"/>
                <w:szCs w:val="24"/>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1,408,352</w:t>
            </w:r>
          </w:p>
        </w:tc>
        <w:tc>
          <w:tcPr>
            <w:tcW w:w="16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2,500,165</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107,804</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Champ, Inc.</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44,501,658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3,910,000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(1,478,400)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3,540,001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33,470,058</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6"/>
        </w:trPr>
        <w:tc>
          <w:tcPr>
            <w:tcW w:w="2620" w:type="dxa"/>
            <w:vAlign w:val="bottom"/>
            <w:gridSpan w:val="3"/>
          </w:tcPr>
          <w:p>
            <w:pPr>
              <w:spacing w:after="0"/>
              <w:rPr>
                <w:sz w:val="20"/>
                <w:szCs w:val="20"/>
                <w:color w:val="auto"/>
              </w:rPr>
            </w:pPr>
            <w:r>
              <w:rPr>
                <w:rFonts w:ascii="Arial" w:cs="Arial" w:eastAsia="Arial" w:hAnsi="Arial"/>
                <w:sz w:val="18"/>
                <w:szCs w:val="18"/>
                <w:b w:val="1"/>
                <w:bCs w:val="1"/>
                <w:color w:val="auto"/>
              </w:rPr>
              <w:t>Total Controlled and Non-</w:t>
            </w: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0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Controlled Affiliates</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147,413,893</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16,543,869</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(26,871,072)</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11,244,855</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109,704,511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(3,242,156)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right="5200" w:firstLine="8"/>
        <w:spacing w:after="0" w:line="332" w:lineRule="auto"/>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Became a non-controlled affiliate during the three months ended March 31, 2013. ** Became a non-controlled affiliate during the three months ended December 31, 2012.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CHANGE IN NET ASSETS FROM OPERATIONS PER COMMON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right"/>
              <w:ind w:right="163"/>
              <w:spacing w:after="0"/>
              <w:rPr>
                <w:sz w:val="20"/>
                <w:szCs w:val="20"/>
                <w:color w:val="auto"/>
              </w:rPr>
            </w:pPr>
            <w:r>
              <w:rPr>
                <w:rFonts w:ascii="Arial" w:cs="Arial" w:eastAsia="Arial" w:hAnsi="Arial"/>
                <w:sz w:val="14"/>
                <w:szCs w:val="14"/>
                <w:b w:val="1"/>
                <w:bCs w:val="1"/>
                <w:color w:val="auto"/>
                <w:w w:val="85"/>
              </w:rPr>
              <w:t>Years ended September 30,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ind w:right="337"/>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7"/>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ind w:right="377"/>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Numerator for net increase in net assets resulting from operations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91,777,652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63,353,100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10,263,474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Denominator for basic/diluted and weighted average shares</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66,380,829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52,969,278*</w:t>
            </w:r>
          </w:p>
        </w:tc>
        <w:tc>
          <w:tcPr>
            <w:tcW w:w="2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42,196,076</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Basic/diluted net increase in net assets per share resulting from operations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4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5540" w:right="5540" w:hanging="5539"/>
        <w:spacing w:after="0" w:line="510" w:lineRule="auto"/>
        <w:rPr>
          <w:sz w:val="20"/>
          <w:szCs w:val="20"/>
          <w:color w:val="auto"/>
        </w:rPr>
      </w:pPr>
      <w:r>
        <w:rPr>
          <w:rFonts w:ascii="Arial" w:cs="Arial" w:eastAsia="Arial" w:hAnsi="Arial"/>
          <w:sz w:val="12"/>
          <w:szCs w:val="12"/>
          <w:color w:val="auto"/>
        </w:rPr>
        <w:t>* The denominator for diluted weighted average shares was 52,975,015 shares. F-23</w:t>
      </w:r>
    </w:p>
    <w:p>
      <w:pPr>
        <w:sectPr>
          <w:pgSz w:w="11900" w:h="16838" w:orient="portrait"/>
          <w:cols w:equalWidth="0" w:num="1">
            <w:col w:w="11420"/>
          </w:cols>
          <w:pgMar w:left="240" w:top="459" w:right="239" w:bottom="372"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150" w:lineRule="exact"/>
        <w:rPr>
          <w:sz w:val="20"/>
          <w:szCs w:val="20"/>
          <w:color w:val="auto"/>
        </w:rPr>
      </w:pPr>
    </w:p>
    <w:p>
      <w:pPr>
        <w:ind w:right="260" w:firstLine="571"/>
        <w:spacing w:after="0" w:line="298" w:lineRule="auto"/>
        <w:rPr>
          <w:sz w:val="20"/>
          <w:szCs w:val="20"/>
          <w:color w:val="auto"/>
        </w:rPr>
      </w:pPr>
      <w:r>
        <w:rPr>
          <w:rFonts w:ascii="Arial" w:cs="Arial" w:eastAsia="Arial" w:hAnsi="Arial"/>
          <w:sz w:val="16"/>
          <w:szCs w:val="16"/>
          <w:color w:val="auto"/>
        </w:rPr>
        <w:t>Dividends from net investment income and net realized capital gains are determined in accordance with U.S. federal tax regulations, which may differ materially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 The following differences were reclassified for tax purposes for the years ended September 30, 2013, 2012 and 2011:</w:t>
      </w:r>
    </w:p>
    <w:p>
      <w:pPr>
        <w:spacing w:after="0" w:line="2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(Decrease) in paid-in capital</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903,627</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276,902</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Increase (Decrease) in accumulated net realized loss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(824,021)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2,176,918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undistributed net investment income</w:t>
            </w:r>
          </w:p>
        </w:tc>
        <w:tc>
          <w:tcPr>
            <w:tcW w:w="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(79,606)</w:t>
            </w:r>
          </w:p>
        </w:tc>
        <w:tc>
          <w:tcPr>
            <w:tcW w:w="6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(2,453,820)</w:t>
            </w:r>
          </w:p>
        </w:tc>
        <w:tc>
          <w:tcPr>
            <w:tcW w:w="6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20" w:type="dxa"/>
            <w:vAlign w:val="bottom"/>
            <w:shd w:val="clear" w:color="auto" w:fill="CCEEFF"/>
          </w:tcPr>
          <w:p>
            <w:pPr>
              <w:spacing w:after="0"/>
              <w:rPr>
                <w:sz w:val="18"/>
                <w:szCs w:val="18"/>
                <w:color w:val="auto"/>
              </w:rPr>
            </w:pPr>
          </w:p>
        </w:tc>
      </w:tr>
    </w:tbl>
    <w:p>
      <w:pPr>
        <w:spacing w:after="0" w:line="127"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As of September 30, 2013 and 2012, the cost of investments for federal income tax purposes was $1,089.8 million and $1,006.8 million, respectively, resulting in a gross unrealized appreciation of $76.8 million and $59.9 million, respectively, and gross unrealized depreciation of $88.4 million and $76.3 million, respectively.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89"/>
              </w:rPr>
              <w:t>Years Ended September 30,</w:t>
            </w: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2"/>
                <w:szCs w:val="12"/>
                <w:color w:val="auto"/>
              </w:rPr>
            </w:pPr>
          </w:p>
        </w:tc>
      </w:tr>
      <w:tr>
        <w:trPr>
          <w:trHeight w:val="210"/>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91,777,652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63,353,100</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10,263,474</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Net realized (gain) loss on investments not taxable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(17,687,211)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12,798,035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(16,259,622)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w w:val="97"/>
              </w:rPr>
              <w:t>Net unrealized (appreciation) depreciation on investments, Credit Facility and 2025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(7,092,320)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(19,081,794)</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58,641,223</w:t>
            </w:r>
          </w:p>
        </w:tc>
        <w:tc>
          <w:tcPr>
            <w:tcW w:w="12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Other temporary book-to-tax differences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(3,035,861)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2,444,817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(3,178,194)</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Other non-deductible expenses</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2,715,980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307,990</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228,824</w:t>
            </w:r>
          </w:p>
        </w:tc>
        <w:tc>
          <w:tcPr>
            <w:tcW w:w="120" w:type="dxa"/>
            <w:vAlign w:val="bottom"/>
            <w:shd w:val="clear" w:color="auto" w:fill="CCEEFF"/>
          </w:tcPr>
          <w:p>
            <w:pPr>
              <w:spacing w:after="0"/>
              <w:rPr>
                <w:sz w:val="18"/>
                <w:szCs w:val="18"/>
                <w:color w:val="auto"/>
              </w:rPr>
            </w:pPr>
          </w:p>
        </w:tc>
      </w:tr>
      <w:tr>
        <w:trPr>
          <w:trHeight w:val="222"/>
        </w:trPr>
        <w:tc>
          <w:tcPr>
            <w:tcW w:w="6960" w:type="dxa"/>
            <w:vAlign w:val="bottom"/>
          </w:tcPr>
          <w:p>
            <w:pPr>
              <w:spacing w:after="0"/>
              <w:rPr>
                <w:sz w:val="20"/>
                <w:szCs w:val="20"/>
                <w:color w:val="auto"/>
              </w:rPr>
            </w:pPr>
            <w:r>
              <w:rPr>
                <w:rFonts w:ascii="Arial" w:cs="Arial" w:eastAsia="Arial" w:hAnsi="Arial"/>
                <w:sz w:val="18"/>
                <w:szCs w:val="18"/>
                <w:color w:val="auto"/>
              </w:rPr>
              <w:t>Taxable income before deductions for distributions</w:t>
            </w:r>
          </w:p>
        </w:tc>
        <w:tc>
          <w:tcPr>
            <w:tcW w:w="20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66,678,240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59,822,148</w:t>
            </w:r>
          </w:p>
        </w:tc>
        <w:tc>
          <w:tcPr>
            <w:tcW w:w="440" w:type="dxa"/>
            <w:vAlign w:val="bottom"/>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49,695,705</w:t>
            </w:r>
          </w:p>
        </w:tc>
        <w:tc>
          <w:tcPr>
            <w:tcW w:w="120" w:type="dxa"/>
            <w:vAlign w:val="bottom"/>
          </w:tcPr>
          <w:p>
            <w:pPr>
              <w:spacing w:after="0"/>
              <w:rPr>
                <w:sz w:val="19"/>
                <w:szCs w:val="19"/>
                <w:color w:val="auto"/>
              </w:rPr>
            </w:pPr>
          </w:p>
        </w:tc>
      </w:tr>
    </w:tbl>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accumulated surplus on tax basis and reconciliation to accumulated deficit on a book basis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w w:val="87"/>
              </w:rPr>
              <w:t>As of September 30,</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95"/>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5"/>
              <w:spacing w:after="0" w:line="142" w:lineRule="exact"/>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 – tax basis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15,325,379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18,634,553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17,639,482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Undistributed long-term net capital gains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undistributed taxable income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15,325,379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18,634,553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17,639,482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Capital loss carry forwards</w:t>
            </w:r>
            <w:r>
              <w:rPr>
                <w:rFonts w:ascii="Arial" w:cs="Arial" w:eastAsia="Arial" w:hAnsi="Arial"/>
                <w:sz w:val="11"/>
                <w:szCs w:val="11"/>
                <w:color w:val="auto"/>
              </w:rPr>
              <w:t>(1) (2)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(39,216,288)</w:t>
            </w:r>
          </w:p>
        </w:tc>
        <w:tc>
          <w:tcPr>
            <w:tcW w:w="2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(56,786,282)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(47,030,821)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 and other temporary differences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(26,021,069)</w:t>
            </w: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(21,086,425)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(12,477,778)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w w:val="94"/>
              </w:rPr>
              <w:t>Net unrealized appreciation (depreciation) of investments, Credit Facility and 2025</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Notes</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(8,727,689)</w:t>
            </w:r>
          </w:p>
        </w:tc>
        <w:tc>
          <w:tcPr>
            <w:tcW w:w="2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(15,815,138)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(36,122,397)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deficit – book basis</w:t>
            </w:r>
          </w:p>
        </w:tc>
        <w:tc>
          <w:tcPr>
            <w:tcW w:w="62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(58,639,667)</w:t>
            </w: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(75,053,292)</w:t>
            </w:r>
          </w:p>
        </w:tc>
        <w:tc>
          <w:tcPr>
            <w:tcW w:w="440" w:type="dxa"/>
            <w:vAlign w:val="bottom"/>
            <w:gridSpan w:val="2"/>
            <w:shd w:val="clear" w:color="auto" w:fill="CCEEFF"/>
          </w:tcPr>
          <w:p>
            <w:pPr>
              <w:jc w:val="right"/>
              <w:ind w:right="83"/>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(77,991,514)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7411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of September 30, 2013, the capital loss carry forward of $39.2 million expires, if not utilized against future capital gains, as follows: $39.2 million in 2018.</w:t>
      </w:r>
    </w:p>
    <w:p>
      <w:pPr>
        <w:ind w:left="340" w:right="240" w:hanging="332"/>
        <w:spacing w:after="0" w:line="230" w:lineRule="auto"/>
        <w:tabs>
          <w:tab w:leader="none" w:pos="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Under the recently enacted Regulated Investment Company Modernization Act of 2010, capital losses incurred by us after September 30, 2011 will not be subject to expiration. In addition, those losses must be utilized prior to the losses incurred in pre-enactment taxable years.</w:t>
      </w:r>
    </w:p>
    <w:p>
      <w:pPr>
        <w:spacing w:after="0" w:line="114" w:lineRule="exact"/>
        <w:rPr>
          <w:sz w:val="20"/>
          <w:szCs w:val="20"/>
          <w:color w:val="auto"/>
        </w:rPr>
      </w:pPr>
    </w:p>
    <w:p>
      <w:pPr>
        <w:ind w:right="340" w:firstLine="571"/>
        <w:spacing w:after="0" w:line="332" w:lineRule="auto"/>
        <w:rPr>
          <w:sz w:val="20"/>
          <w:szCs w:val="20"/>
          <w:color w:val="auto"/>
        </w:rPr>
      </w:pPr>
      <w:r>
        <w:rPr>
          <w:rFonts w:ascii="Arial" w:cs="Arial" w:eastAsia="Arial" w:hAnsi="Arial"/>
          <w:sz w:val="16"/>
          <w:szCs w:val="16"/>
          <w:color w:val="auto"/>
        </w:rPr>
        <w:t>The tax characteristics of dividends declared during the fiscal years ended September 30, 2013, 2012 and 2011 were solely from ordinary income and totaled $74.4 million, or $1.12 per share, $60.1 million, or $1.13 per share and $46.3 million, or $1.10 per share,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CASH EQUIVALENTS</w:t>
      </w:r>
    </w:p>
    <w:p>
      <w:pPr>
        <w:spacing w:after="0" w:line="15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September 30, 2013 and 2012, cash and cash equivalents consisted of $58.4 million and $7.6 million, respectively.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2013</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HIGHLIGHTS</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Below are the financial highlights for the years ended September 30: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asset value, beginning of year</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10.69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adoption of fair value option</w:t>
            </w:r>
            <w:r>
              <w:rPr>
                <w:rFonts w:ascii="Arial" w:cs="Arial" w:eastAsia="Arial" w:hAnsi="Arial"/>
                <w:sz w:val="11"/>
                <w:szCs w:val="11"/>
                <w:color w:val="auto"/>
              </w:rPr>
              <w:t>(1)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Adjusted NAV, beginning of year</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10.22</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10.69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0"/>
              </w:rPr>
              <w:t>Net increase (decrease) in net assets resulting from operations</w:t>
            </w:r>
            <w:r>
              <w:rPr>
                <w:rFonts w:ascii="Arial" w:cs="Arial" w:eastAsia="Arial" w:hAnsi="Arial"/>
                <w:sz w:val="11"/>
                <w:szCs w:val="11"/>
                <w:color w:val="auto"/>
                <w:w w:val="90"/>
              </w:rPr>
              <w:t>(2)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Distributions to stockholders</w:t>
            </w:r>
            <w:r>
              <w:rPr>
                <w:rFonts w:ascii="Arial" w:cs="Arial" w:eastAsia="Arial" w:hAnsi="Arial"/>
                <w:sz w:val="11"/>
                <w:szCs w:val="11"/>
                <w:color w:val="auto"/>
              </w:rPr>
              <w:t>(2),(3)</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w:t>
            </w:r>
            <w:r>
              <w:rPr>
                <w:rFonts w:ascii="Arial" w:cs="Arial" w:eastAsia="Arial" w:hAnsi="Arial"/>
                <w:sz w:val="11"/>
                <w:szCs w:val="11"/>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Accretive (Dilutive) effect of common stock issuance</w:t>
            </w:r>
            <w:r>
              <w:rPr>
                <w:rFonts w:ascii="Arial" w:cs="Arial" w:eastAsia="Arial" w:hAnsi="Arial"/>
                <w:sz w:val="11"/>
                <w:szCs w:val="11"/>
                <w:color w:val="auto"/>
              </w:rPr>
              <w:t>(2)</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0.44</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year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Per share market value, end of year</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8.92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Shares outstanding at end of year</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66,499,327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65,514,503</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45,689,781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36,158,772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25,368,772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 / Supplemental Data:</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(5),(6)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7.11%</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1"/>
              </w:rPr>
              <w:t>Ratio of Credit Facility related expenses to average net assets</w:t>
            </w:r>
            <w:r>
              <w:rPr>
                <w:rFonts w:ascii="Arial" w:cs="Arial" w:eastAsia="Arial" w:hAnsi="Arial"/>
                <w:sz w:val="11"/>
                <w:szCs w:val="11"/>
                <w:color w:val="auto"/>
                <w:w w:val="91"/>
              </w:rPr>
              <w:t>(8)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11"/>
                <w:szCs w:val="11"/>
                <w:color w:val="auto"/>
              </w:rPr>
              <w:t>(7),(8)</w:t>
            </w: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8.91%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10.19%</w:t>
            </w:r>
          </w:p>
        </w:tc>
        <w:tc>
          <w:tcPr>
            <w:tcW w:w="14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8.43%</w:t>
            </w:r>
          </w:p>
        </w:tc>
        <w:tc>
          <w:tcPr>
            <w:tcW w:w="1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10.32%</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Net assets at end of year</w:t>
            </w:r>
            <w:r>
              <w:rPr>
                <w:rFonts w:ascii="Arial" w:cs="Arial" w:eastAsia="Arial" w:hAnsi="Arial"/>
                <w:sz w:val="11"/>
                <w:szCs w:val="11"/>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697,506,199</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669,717,047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462,657,196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386,575,223</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300,580,268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debt outstanding</w:t>
            </w:r>
            <w:r>
              <w:rPr>
                <w:rFonts w:ascii="Arial" w:cs="Arial" w:eastAsia="Arial" w:hAnsi="Arial"/>
                <w:sz w:val="11"/>
                <w:szCs w:val="11"/>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363,246,849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340,868,033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278,294,433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246,216,548</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182,490,685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Weighted average debt per share</w:t>
            </w:r>
            <w:r>
              <w:rPr>
                <w:rFonts w:ascii="Arial" w:cs="Arial" w:eastAsia="Arial" w:hAnsi="Arial"/>
                <w:sz w:val="11"/>
                <w:szCs w:val="11"/>
                <w:color w:val="auto"/>
              </w:rPr>
              <w:t>(8)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5.47</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6.44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6.60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 coverage per unit</w:t>
            </w:r>
            <w:r>
              <w:rPr>
                <w:rFonts w:ascii="Arial" w:cs="Arial" w:eastAsia="Arial" w:hAnsi="Arial"/>
                <w:sz w:val="11"/>
                <w:szCs w:val="11"/>
                <w:color w:val="auto"/>
              </w:rPr>
              <w:t>(9)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5,636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2,937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Average market value per unit</w:t>
            </w:r>
            <w:r>
              <w:rPr>
                <w:rFonts w:ascii="Arial" w:cs="Arial" w:eastAsia="Arial" w:hAnsi="Arial"/>
                <w:sz w:val="11"/>
                <w:szCs w:val="11"/>
                <w:color w:val="auto"/>
              </w:rPr>
              <w:t>(10)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22.81%</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40.89%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097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18" w:lineRule="exact"/>
        <w:rPr>
          <w:sz w:val="20"/>
          <w:szCs w:val="20"/>
          <w:color w:val="auto"/>
        </w:rPr>
      </w:pPr>
    </w:p>
    <w:p>
      <w:pPr>
        <w:ind w:left="460" w:right="280" w:hanging="452"/>
        <w:spacing w:after="0" w:line="230"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On October 1, 2008, PennantPark Investment adopted ASC 825 and made an irrevocable election to apply the fair value option to our long-term Credit Facility. Upon adoption, NAV increased $41.8 million, or $1.99 per share, due to the fair value adjustment related to our Credit Facility.</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Calculated based on the weighted average shares outstanding for the respective periods.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taxable income calculated in accordance with income tax regulations and may differ from amounts determined under GAAP.</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Excludes Credit Facility interest and amendment costs.</w:t>
      </w: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Before adoption of ASC 825 for the fiscal years ended September 30, 2013, 2012, 2011, 2010 and 2009, the ratios were 6.32%, 7.11%, 7.38%, 7.95% and 9.32%, respectively.</w:t>
      </w:r>
    </w:p>
    <w:p>
      <w:pPr>
        <w:ind w:left="460" w:hanging="452"/>
        <w:spacing w:after="0"/>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Before adoption of ASC 825 for the fiscal years ended September 30, 2013, 2012, 2011, 2010 and 2009, the ratios were 8.92%, 10.20%, 8.55%, 9.15% and (1.75%), respectively.</w:t>
      </w:r>
    </w:p>
    <w:p>
      <w:pPr>
        <w:spacing w:after="0" w:line="10" w:lineRule="exact"/>
        <w:rPr>
          <w:rFonts w:ascii="Arial" w:cs="Arial" w:eastAsia="Arial" w:hAnsi="Arial"/>
          <w:sz w:val="12"/>
          <w:szCs w:val="12"/>
          <w:color w:val="auto"/>
        </w:rPr>
      </w:pPr>
    </w:p>
    <w:p>
      <w:pPr>
        <w:ind w:left="460" w:hanging="452"/>
        <w:spacing w:after="0" w:line="221"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Includes SBA debentures outstanding.</w:t>
      </w:r>
    </w:p>
    <w:p>
      <w:pPr>
        <w:ind w:left="460" w:right="120" w:hanging="452"/>
        <w:spacing w:after="0" w:line="258" w:lineRule="auto"/>
        <w:tabs>
          <w:tab w:leader="none" w:pos="460" w:val="left"/>
        </w:tabs>
        <w:numPr>
          <w:ilvl w:val="0"/>
          <w:numId w:val="96"/>
        </w:numPr>
        <w:rPr>
          <w:rFonts w:ascii="Arial" w:cs="Arial" w:eastAsia="Arial" w:hAnsi="Arial"/>
          <w:sz w:val="12"/>
          <w:szCs w:val="12"/>
          <w:color w:val="auto"/>
        </w:rPr>
      </w:pPr>
      <w:r>
        <w:rPr>
          <w:rFonts w:ascii="Arial" w:cs="Arial" w:eastAsia="Arial" w:hAnsi="Arial"/>
          <w:sz w:val="12"/>
          <w:szCs w:val="12"/>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SBIC LP’s SBA debentures from our asset coverage per unit computation pursuant to an Exemptive relief letter provided by the SEC in June 2011.</w:t>
      </w:r>
    </w:p>
    <w:p>
      <w:pPr>
        <w:ind w:left="460" w:right="120" w:hanging="452"/>
        <w:spacing w:after="0" w:line="230" w:lineRule="auto"/>
        <w:tabs>
          <w:tab w:leader="none" w:pos="46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average market value per unit is derived based on the monthly average closing price of the 2025 Notes trading on NYSE under the symbol “PNTA” since issuance, which were issued in increments of $25 per unit.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firstLine="571"/>
        <w:spacing w:after="0" w:line="291" w:lineRule="auto"/>
        <w:rPr>
          <w:sz w:val="20"/>
          <w:szCs w:val="20"/>
          <w:color w:val="auto"/>
        </w:rPr>
      </w:pPr>
      <w:r>
        <w:rPr>
          <w:rFonts w:ascii="Arial" w:cs="Arial" w:eastAsia="Arial" w:hAnsi="Arial"/>
          <w:sz w:val="16"/>
          <w:szCs w:val="16"/>
          <w:color w:val="auto"/>
        </w:rPr>
        <w:t>We have a $430 million multi-currency Credit Facility with certain lenders and SunTrust Bank, acting as administrative agent, and JPMorgan Chase Bank, N.A., acting as syndication agent for the lenders. As of September 30, 2013 and 2012, there was $145.5 million (including a temporary draw of $28.0 million) and $145.0 million (including a temporary draw of $35.5 million), respectively, in outstanding borrowings under the Credit Facility, with a weighted average interest rate at the time of 3.33% and 3.49%, exclusive of the fee on undrawn commitments of 0.50%. The Credit Facility is a four-year revolving facility, with a stated maturity date of February 21, 2016, with a one-year term-out period following its third year and pricing is set at 275 basis points over LIBOR. The Credit Facility is secured by substantially all of the assets of the Company excluding assets held by our SBIC Funds.</w:t>
      </w:r>
    </w:p>
    <w:p>
      <w:pPr>
        <w:spacing w:after="0" w:line="39"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color w:val="auto"/>
        </w:rPr>
        <w:t>In accordance with the 1940 Act, with certain limited exceptions, we are only allowed to borrow amounts such that we are in compliance with our asset coverage requirement, excluding SBA debentures, pursuant to exemptive relief from the SEC received in June 2011.</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2013</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SBA Debentures</w:t>
      </w:r>
    </w:p>
    <w:p>
      <w:pPr>
        <w:spacing w:after="0" w:line="90" w:lineRule="exact"/>
        <w:rPr>
          <w:sz w:val="20"/>
          <w:szCs w:val="20"/>
          <w:color w:val="auto"/>
        </w:rPr>
      </w:pPr>
    </w:p>
    <w:p>
      <w:pPr>
        <w:ind w:right="120" w:firstLine="571"/>
        <w:spacing w:after="0" w:line="288" w:lineRule="auto"/>
        <w:rPr>
          <w:sz w:val="20"/>
          <w:szCs w:val="20"/>
          <w:color w:val="auto"/>
        </w:rPr>
      </w:pPr>
      <w:r>
        <w:rPr>
          <w:rFonts w:ascii="Arial" w:cs="Arial" w:eastAsia="Arial" w:hAnsi="Arial"/>
          <w:sz w:val="16"/>
          <w:szCs w:val="16"/>
          <w:color w:val="auto"/>
        </w:rPr>
        <w:t>SBIC LP is able to borrow funds from the SBA against regulatory capital (which approximates equity capital) that is paid-in and is subject to customary regulatory requirements including an examination by the SBA. We have funded SBIC LP with $75.0 million of equity capital and had SBA debentures outstanding of $150.0 million as of September 30, 2013. In January 2013, our wholly-owned subsidiary, SBIC II, received a license from the SBA to operate as an SBIC under the 1958 Act. We have funded SBIC II with $2.5 million of seed capital. Our SBIC Funds are subject to a variety of regulations and oversight by the SBA concerning, among other things, the size and nature of the companies in which they may invest as well as the structure of those investments. SBA debentures are non-recourse to us, have a 10-year maturity, and may be prepaid at any time without penalty. The interest rate of SBA debentures is fixed at the time of issuance, often referred to as pooling, at a market-driven spread over 10-year U.S. Treasury Notes. Under current SBA regulations SBIC LP may borrow to a maximum of $150.0 million, which is up to twice its potential regulatory capital, and as part of a group of SBICs under common control may borrow a maximum of $225 million. SBIC LP has accessed the maximum borrowing with its $75.0 million in regulatory capital.</w:t>
      </w:r>
    </w:p>
    <w:p>
      <w:pPr>
        <w:spacing w:after="0" w:line="93" w:lineRule="exact"/>
        <w:rPr>
          <w:sz w:val="20"/>
          <w:szCs w:val="20"/>
          <w:color w:val="auto"/>
        </w:rPr>
      </w:pPr>
    </w:p>
    <w:p>
      <w:pPr>
        <w:jc w:val="both"/>
        <w:ind w:right="40" w:firstLine="571"/>
        <w:spacing w:after="0" w:line="332" w:lineRule="auto"/>
        <w:rPr>
          <w:sz w:val="20"/>
          <w:szCs w:val="20"/>
          <w:color w:val="auto"/>
        </w:rPr>
      </w:pPr>
      <w:r>
        <w:rPr>
          <w:rFonts w:ascii="Arial" w:cs="Arial" w:eastAsia="Arial" w:hAnsi="Arial"/>
          <w:sz w:val="16"/>
          <w:szCs w:val="16"/>
          <w:color w:val="auto"/>
        </w:rPr>
        <w:t>As of September 30, 2013, $150.0 million in debt commitments were fully drawn with a weighted average interest rate of 3.70%, exclusive of the 3.43% in upfront fees which are amortized over the life of the loan (4.04% after upfront fees). Our fixed rate SBA debentures as of September 30, 2013 were as follows:</w:t>
      </w:r>
    </w:p>
    <w:p>
      <w:pPr>
        <w:spacing w:after="0" w:line="4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Fixed All-in</w:t>
            </w:r>
          </w:p>
        </w:tc>
        <w:tc>
          <w:tcPr>
            <w:tcW w:w="1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Principal</w:t>
            </w:r>
          </w:p>
        </w:tc>
      </w:tr>
      <w:tr>
        <w:trPr>
          <w:trHeight w:val="176"/>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Issuance Dates</w:t>
            </w:r>
          </w:p>
        </w:tc>
        <w:tc>
          <w:tcPr>
            <w:tcW w:w="36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Maturity</w:t>
            </w:r>
          </w:p>
        </w:tc>
        <w:tc>
          <w:tcPr>
            <w:tcW w:w="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line="176" w:lineRule="exact"/>
              <w:rPr>
                <w:sz w:val="20"/>
                <w:szCs w:val="20"/>
                <w:color w:val="auto"/>
              </w:rPr>
            </w:pPr>
            <w:r>
              <w:rPr>
                <w:rFonts w:ascii="Arial" w:cs="Arial" w:eastAsia="Arial" w:hAnsi="Arial"/>
                <w:sz w:val="13"/>
                <w:szCs w:val="13"/>
                <w:b w:val="1"/>
                <w:bCs w:val="1"/>
                <w:color w:val="auto"/>
                <w:w w:val="95"/>
              </w:rPr>
              <w:t xml:space="preserve">Coupon Rate </w:t>
            </w:r>
            <w:r>
              <w:rPr>
                <w:rFonts w:ascii="Arial" w:cs="Arial" w:eastAsia="Arial" w:hAnsi="Arial"/>
                <w:sz w:val="20"/>
                <w:szCs w:val="20"/>
                <w:b w:val="1"/>
                <w:bCs w:val="1"/>
                <w:color w:val="auto"/>
                <w:w w:val="95"/>
                <w:vertAlign w:val="superscript"/>
              </w:rPr>
              <w:t>(1)</w:t>
            </w:r>
          </w:p>
        </w:tc>
        <w:tc>
          <w:tcPr>
            <w:tcW w:w="5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5"/>
                <w:szCs w:val="15"/>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September 22, 2010</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w w:val="84"/>
              </w:rPr>
              <w:t>September 1, 2020</w:t>
            </w:r>
          </w:p>
        </w:tc>
        <w:tc>
          <w:tcPr>
            <w:tcW w:w="3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980" w:type="dxa"/>
            <w:vAlign w:val="bottom"/>
            <w:gridSpan w:val="2"/>
          </w:tcPr>
          <w:p>
            <w:pPr>
              <w:spacing w:after="0"/>
              <w:rPr>
                <w:sz w:val="20"/>
                <w:szCs w:val="20"/>
                <w:color w:val="auto"/>
              </w:rPr>
            </w:pPr>
            <w:r>
              <w:rPr>
                <w:rFonts w:ascii="Arial" w:cs="Arial" w:eastAsia="Arial" w:hAnsi="Arial"/>
                <w:sz w:val="18"/>
                <w:szCs w:val="18"/>
                <w:color w:val="auto"/>
              </w:rPr>
              <w:t>March 29, 2011</w:t>
            </w:r>
          </w:p>
        </w:tc>
        <w:tc>
          <w:tcPr>
            <w:tcW w:w="1680" w:type="dxa"/>
            <w:vAlign w:val="bottom"/>
            <w:gridSpan w:val="2"/>
          </w:tcPr>
          <w:p>
            <w:pPr>
              <w:spacing w:after="0"/>
              <w:rPr>
                <w:sz w:val="20"/>
                <w:szCs w:val="20"/>
                <w:color w:val="auto"/>
              </w:rPr>
            </w:pPr>
            <w:r>
              <w:rPr>
                <w:rFonts w:ascii="Arial" w:cs="Arial" w:eastAsia="Arial" w:hAnsi="Arial"/>
                <w:sz w:val="18"/>
                <w:szCs w:val="18"/>
                <w:color w:val="auto"/>
              </w:rPr>
              <w:t>March 1, 2021</w:t>
            </w:r>
          </w:p>
        </w:tc>
        <w:tc>
          <w:tcPr>
            <w:tcW w:w="980" w:type="dxa"/>
            <w:vAlign w:val="bottom"/>
          </w:tcPr>
          <w:p>
            <w:pPr>
              <w:ind w:left="680"/>
              <w:spacing w:after="0"/>
              <w:rPr>
                <w:sz w:val="20"/>
                <w:szCs w:val="20"/>
                <w:color w:val="auto"/>
              </w:rPr>
            </w:pPr>
            <w:r>
              <w:rPr>
                <w:rFonts w:ascii="Arial" w:cs="Arial" w:eastAsia="Arial" w:hAnsi="Arial"/>
                <w:sz w:val="18"/>
                <w:szCs w:val="18"/>
                <w:color w:val="auto"/>
                <w:w w:val="79"/>
              </w:rPr>
              <w:t>4.46</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44,500,000</w:t>
            </w:r>
          </w:p>
        </w:tc>
        <w:tc>
          <w:tcPr>
            <w:tcW w:w="100" w:type="dxa"/>
            <w:vAlign w:val="bottom"/>
          </w:tcPr>
          <w:p>
            <w:pPr>
              <w:spacing w:after="0"/>
              <w:rPr>
                <w:sz w:val="18"/>
                <w:szCs w:val="18"/>
                <w:color w:val="auto"/>
              </w:rPr>
            </w:pPr>
          </w:p>
        </w:tc>
      </w:tr>
      <w:tr>
        <w:trPr>
          <w:trHeight w:val="216"/>
        </w:trPr>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21, 2011</w:t>
            </w: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2021</w:t>
            </w:r>
          </w:p>
        </w:tc>
        <w:tc>
          <w:tcPr>
            <w:tcW w:w="98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79"/>
              </w:rPr>
              <w:t>3.38</w:t>
            </w:r>
          </w:p>
        </w:tc>
        <w:tc>
          <w:tcPr>
            <w:tcW w:w="5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105,000,000</w:t>
            </w:r>
          </w:p>
        </w:tc>
        <w:tc>
          <w:tcPr>
            <w:tcW w:w="100" w:type="dxa"/>
            <w:vAlign w:val="bottom"/>
            <w:shd w:val="clear" w:color="auto" w:fill="CCEEFF"/>
          </w:tcPr>
          <w:p>
            <w:pPr>
              <w:spacing w:after="0"/>
              <w:rPr>
                <w:sz w:val="18"/>
                <w:szCs w:val="18"/>
                <w:color w:val="auto"/>
              </w:rPr>
            </w:pPr>
          </w:p>
        </w:tc>
      </w:tr>
      <w:tr>
        <w:trPr>
          <w:trHeight w:val="222"/>
        </w:trPr>
        <w:tc>
          <w:tcPr>
            <w:tcW w:w="2980" w:type="dxa"/>
            <w:vAlign w:val="bottom"/>
            <w:gridSpan w:val="2"/>
          </w:tcPr>
          <w:p>
            <w:pPr>
              <w:spacing w:after="0"/>
              <w:rPr>
                <w:sz w:val="20"/>
                <w:szCs w:val="20"/>
                <w:color w:val="auto"/>
              </w:rPr>
            </w:pPr>
            <w:r>
              <w:rPr>
                <w:rFonts w:ascii="Arial" w:cs="Arial" w:eastAsia="Arial" w:hAnsi="Arial"/>
                <w:sz w:val="18"/>
                <w:szCs w:val="18"/>
                <w:color w:val="auto"/>
              </w:rPr>
              <w:t>Weighted average rate / Total</w:t>
            </w:r>
          </w:p>
        </w:tc>
        <w:tc>
          <w:tcPr>
            <w:tcW w:w="1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gridSpan w:val="2"/>
          </w:tcPr>
          <w:p>
            <w:pPr>
              <w:ind w:left="680"/>
              <w:spacing w:after="0"/>
              <w:rPr>
                <w:sz w:val="20"/>
                <w:szCs w:val="20"/>
                <w:color w:val="auto"/>
              </w:rPr>
            </w:pPr>
            <w:r>
              <w:rPr>
                <w:rFonts w:ascii="Arial" w:cs="Arial" w:eastAsia="Arial" w:hAnsi="Arial"/>
                <w:sz w:val="18"/>
                <w:szCs w:val="18"/>
                <w:color w:val="auto"/>
              </w:rPr>
              <w:t>3.70%</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150,000,000</w:t>
            </w:r>
          </w:p>
        </w:tc>
        <w:tc>
          <w:tcPr>
            <w:tcW w:w="100" w:type="dxa"/>
            <w:vAlign w:val="bottom"/>
          </w:tcPr>
          <w:p>
            <w:pPr>
              <w:spacing w:after="0"/>
              <w:rPr>
                <w:sz w:val="19"/>
                <w:szCs w:val="19"/>
                <w:color w:val="auto"/>
              </w:rPr>
            </w:pPr>
          </w:p>
        </w:tc>
      </w:tr>
      <w:tr>
        <w:trPr>
          <w:trHeight w:val="20"/>
        </w:trPr>
        <w:tc>
          <w:tcPr>
            <w:tcW w:w="2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3" w:lineRule="exact"/>
        <w:rPr>
          <w:sz w:val="20"/>
          <w:szCs w:val="20"/>
          <w:color w:val="auto"/>
        </w:rPr>
      </w:pPr>
    </w:p>
    <w:p>
      <w:pPr>
        <w:ind w:left="2400" w:hanging="339"/>
        <w:spacing w:after="0"/>
        <w:tabs>
          <w:tab w:leader="none" w:pos="2400" w:val="left"/>
        </w:tabs>
        <w:numPr>
          <w:ilvl w:val="0"/>
          <w:numId w:val="97"/>
        </w:numPr>
        <w:rPr>
          <w:rFonts w:ascii="Arial" w:cs="Arial" w:eastAsia="Arial" w:hAnsi="Arial"/>
          <w:sz w:val="22"/>
          <w:szCs w:val="22"/>
          <w:color w:val="auto"/>
          <w:vertAlign w:val="superscript"/>
        </w:rPr>
      </w:pPr>
      <w:r>
        <w:rPr>
          <w:rFonts w:ascii="Arial" w:cs="Arial" w:eastAsia="Arial" w:hAnsi="Arial"/>
          <w:sz w:val="18"/>
          <w:szCs w:val="18"/>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1308735</wp:posOffset>
            </wp:positionH>
            <wp:positionV relativeFrom="paragraph">
              <wp:posOffset>-161290</wp:posOffset>
            </wp:positionV>
            <wp:extent cx="18097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9"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Under SBA regulations, our SBIC Funds are subject to regulatory requirements, including making investments in SBA-eligible businesses, investing at least 25% of regulatory capital in eligible smaller businesses, as defined under the 1958 Act, placing certain limitations on the financing terms of investments, prohibiting investing in certain industries, requiring capitalization thresholds and being subject to periodic audits and examinations of their financial statements that are prepared on a basis of accounting other than GAAP (for example, fair value, as defined under ASC 820, is not required to be used for assets or liabilities for such compliance reporting). If our SBIC Funds fail to comply with applicable SBA regulations, the SBA could, depending on the severity of the violation, limit or prohibit their use of debentures, declare outstanding debentures immediately due and payable and/or limit them from making new investments. These actions by the SBA would, in turn, negatively affect us because our SBIC Funds are wholly-owned by us.</w:t>
      </w:r>
    </w:p>
    <w:p>
      <w:pPr>
        <w:spacing w:after="0" w:line="1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2025 Notes</w:t>
      </w:r>
    </w:p>
    <w:p>
      <w:pPr>
        <w:spacing w:after="0" w:line="90"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In January 2013, we issued $71.3 million in aggregate principal amount of 2025 Notes, including the exercise of the over-allotment option, for net proceeds of $68.8 million after underwriting discounts and offering costs. Interest on the 2025 Notes is paid quarterly on February 1, May 1, August 1 and November 1, at a rate of 6.25% per year. The 2025 Notes mature on February 1, 2025. We may redeem the 2025 Notes in whole or in part at any time or from time to time on or after February 1, 2016. The 2025 Notes are general, unsecured obligations and rank equal in right of payment with all of our existing and future senior unsecured indebtedness. The 2025 Notes are structurally subordinated to our SBA debentures and the assets pledged or secured under our Credit Facility. Our 2025 Notes trade on the NYSE under the symbol “PNTA.”</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GUARANTEES AND CONTINGENCIES</w:t>
      </w:r>
    </w:p>
    <w:p>
      <w:pPr>
        <w:spacing w:after="0" w:line="96" w:lineRule="exact"/>
        <w:rPr>
          <w:sz w:val="20"/>
          <w:szCs w:val="20"/>
          <w:color w:val="auto"/>
        </w:rPr>
      </w:pPr>
    </w:p>
    <w:p>
      <w:pPr>
        <w:ind w:right="140" w:firstLine="571"/>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w:t>
      </w:r>
    </w:p>
    <w:p>
      <w:pPr>
        <w:spacing w:after="0" w:line="3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in the ordinary course of business, have guaranteed certain obligations of SPH. The guaranties are only triggered if there were administrative errors in acquiring assets which SPH subsequently sold or securitized. As of September 30, 2013 our maximum guaranty is $13.0 million. Based on SPH’s and industry historical loss rates we believe the risk of loss is remote, thus, we have not recorded a liability associated with the guaranties. The current guaranties will decline over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9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w:t>
      </w:r>
    </w:p>
    <w:p>
      <w:pPr>
        <w:spacing w:after="0" w:line="218" w:lineRule="exact"/>
        <w:rPr>
          <w:sz w:val="20"/>
          <w:szCs w:val="20"/>
          <w:color w:val="auto"/>
        </w:rPr>
      </w:pPr>
    </w:p>
    <w:p>
      <w:pPr>
        <w:ind w:left="720" w:hanging="506"/>
        <w:spacing w:after="0"/>
        <w:tabs>
          <w:tab w:leader="none" w:pos="72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Financial Statements</w:t>
      </w:r>
    </w:p>
    <w:p>
      <w:pPr>
        <w:spacing w:after="0" w:line="184"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The Index to Consolidated Financial Statements on page F-1 of this Registration Statement is hereby incorporated by reference.</w:t>
      </w:r>
    </w:p>
    <w:p>
      <w:pPr>
        <w:spacing w:after="0" w:line="185" w:lineRule="exact"/>
        <w:rPr>
          <w:sz w:val="20"/>
          <w:szCs w:val="20"/>
          <w:color w:val="auto"/>
        </w:rPr>
      </w:pPr>
    </w:p>
    <w:p>
      <w:pPr>
        <w:ind w:left="720" w:hanging="506"/>
        <w:spacing w:after="0"/>
        <w:tabs>
          <w:tab w:leader="none" w:pos="72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185" w:lineRule="exact"/>
        <w:rPr>
          <w:sz w:val="20"/>
          <w:szCs w:val="20"/>
          <w:color w:val="auto"/>
        </w:rPr>
      </w:pPr>
    </w:p>
    <w:p>
      <w:pPr>
        <w:ind w:left="720" w:right="600" w:hanging="560"/>
        <w:spacing w:after="0" w:line="268"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Articles of Incorporation of the Registrant (Incorporated by reference to Exhibit 99(a) to the Registrant’s Pre-Effective Amendment No. 3 to the Registration Statement on Form N-2/A (File No. 333-140092), filed on April 5, 2007).</w:t>
      </w:r>
    </w:p>
    <w:p>
      <w:pPr>
        <w:spacing w:after="0" w:line="145" w:lineRule="exact"/>
        <w:rPr>
          <w:rFonts w:ascii="Arial" w:cs="Arial" w:eastAsia="Arial" w:hAnsi="Arial"/>
          <w:sz w:val="18"/>
          <w:szCs w:val="18"/>
          <w:color w:val="auto"/>
        </w:rPr>
      </w:pPr>
    </w:p>
    <w:p>
      <w:pPr>
        <w:ind w:left="720" w:right="320" w:hanging="564"/>
        <w:spacing w:after="0" w:line="268" w:lineRule="auto"/>
        <w:tabs>
          <w:tab w:leader="none" w:pos="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Amended and Restated By-Laws of the Registrant (Incorporated by reference to Exhibit 3.2 to the Registrant’s Report on Form 10-K (File No. 814-00736), filed on November 13, 2013).</w:t>
      </w:r>
    </w:p>
    <w:p>
      <w:pPr>
        <w:spacing w:after="0" w:line="145" w:lineRule="exact"/>
        <w:rPr>
          <w:sz w:val="20"/>
          <w:szCs w:val="20"/>
          <w:color w:val="auto"/>
        </w:rPr>
      </w:pPr>
    </w:p>
    <w:p>
      <w:pPr>
        <w:ind w:left="720" w:right="600" w:hanging="659"/>
        <w:spacing w:after="0" w:line="268" w:lineRule="auto"/>
        <w:tabs>
          <w:tab w:leader="none" w:pos="700" w:val="left"/>
        </w:tabs>
        <w:rPr>
          <w:sz w:val="20"/>
          <w:szCs w:val="20"/>
          <w:color w:val="auto"/>
        </w:rPr>
      </w:pPr>
      <w:r>
        <w:rPr>
          <w:rFonts w:ascii="Arial" w:cs="Arial" w:eastAsia="Arial" w:hAnsi="Arial"/>
          <w:sz w:val="18"/>
          <w:szCs w:val="18"/>
          <w:color w:val="auto"/>
        </w:rPr>
        <w:t>(d)(1)</w:t>
        <w:tab/>
        <w:t>Form of Share Certificate (Incorporated by reference to Exhibit 99.(d)(1) to the Registrant’s Registration Statement on Form N-2 (File No. 333-150033), filed on April 2, 2008).</w:t>
      </w:r>
    </w:p>
    <w:p>
      <w:pPr>
        <w:spacing w:after="0" w:line="145" w:lineRule="exact"/>
        <w:rPr>
          <w:sz w:val="20"/>
          <w:szCs w:val="20"/>
          <w:color w:val="auto"/>
        </w:rPr>
      </w:pPr>
    </w:p>
    <w:p>
      <w:pPr>
        <w:ind w:left="720" w:right="540" w:hanging="659"/>
        <w:spacing w:after="0" w:line="268" w:lineRule="auto"/>
        <w:tabs>
          <w:tab w:leader="none" w:pos="700" w:val="left"/>
        </w:tabs>
        <w:rPr>
          <w:sz w:val="20"/>
          <w:szCs w:val="20"/>
          <w:color w:val="auto"/>
        </w:rPr>
      </w:pPr>
      <w:r>
        <w:rPr>
          <w:rFonts w:ascii="Arial" w:cs="Arial" w:eastAsia="Arial" w:hAnsi="Arial"/>
          <w:sz w:val="18"/>
          <w:szCs w:val="18"/>
          <w:color w:val="auto"/>
        </w:rPr>
        <w:t>(d)(2)</w:t>
        <w:tab/>
        <w:t>Form of Subscription Certificate (Incorporated by reference to Exhibit 99.(d)(2) to the Registrant’s Pre-Effective Amendment to the Registration Statement on Form N-2/A (File No. 333-150033), filed on May 30, 2008).</w:t>
      </w:r>
    </w:p>
    <w:p>
      <w:pPr>
        <w:spacing w:after="0" w:line="145" w:lineRule="exact"/>
        <w:rPr>
          <w:sz w:val="20"/>
          <w:szCs w:val="20"/>
          <w:color w:val="auto"/>
        </w:rPr>
      </w:pPr>
    </w:p>
    <w:p>
      <w:pPr>
        <w:jc w:val="both"/>
        <w:ind w:left="720" w:right="60" w:hanging="659"/>
        <w:spacing w:after="0" w:line="259" w:lineRule="auto"/>
        <w:tabs>
          <w:tab w:leader="none" w:pos="700" w:val="left"/>
        </w:tabs>
        <w:rPr>
          <w:sz w:val="20"/>
          <w:szCs w:val="20"/>
          <w:color w:val="auto"/>
        </w:rPr>
      </w:pPr>
      <w:r>
        <w:rPr>
          <w:rFonts w:ascii="Arial" w:cs="Arial" w:eastAsia="Arial" w:hAnsi="Arial"/>
          <w:sz w:val="18"/>
          <w:szCs w:val="18"/>
          <w:color w:val="auto"/>
        </w:rPr>
        <w:t>(d)(3)</w:t>
        <w:tab/>
        <w:t>Base Indenture, dated as of January 22, 2013, between the Registrant and American Stock Transfer &amp; Trust Company, LLC, as trustee (Incorporated by reference to Exhibit 99(d)(8) to the Registrant’s Post-Effective Amendment No. 4 to the Registration Statement on Form N-2/A (File No.333-172524), filed on January 22, 2013).</w:t>
      </w:r>
    </w:p>
    <w:p>
      <w:pPr>
        <w:spacing w:after="0" w:line="167" w:lineRule="exact"/>
        <w:rPr>
          <w:sz w:val="20"/>
          <w:szCs w:val="20"/>
          <w:color w:val="auto"/>
        </w:rPr>
      </w:pPr>
    </w:p>
    <w:p>
      <w:pPr>
        <w:ind w:left="720" w:right="40" w:hanging="659"/>
        <w:spacing w:after="0" w:line="268" w:lineRule="auto"/>
        <w:tabs>
          <w:tab w:leader="none" w:pos="700" w:val="left"/>
        </w:tabs>
        <w:rPr>
          <w:sz w:val="20"/>
          <w:szCs w:val="20"/>
          <w:color w:val="auto"/>
        </w:rPr>
      </w:pPr>
      <w:r>
        <w:rPr>
          <w:rFonts w:ascii="Arial" w:cs="Arial" w:eastAsia="Arial" w:hAnsi="Arial"/>
          <w:sz w:val="18"/>
          <w:szCs w:val="18"/>
          <w:color w:val="auto"/>
        </w:rPr>
        <w:t>(d)(4)</w:t>
        <w:tab/>
        <w:t>Form of Subscription Agent Agreement (Incorporated by reference to Exhibit 99.(d)(4) to the Registrant’s Pre-Effective Amendment to the Registration Statement on Form N-2/A (File No. 333-150033), filed on May 30, 2008).</w:t>
      </w:r>
    </w:p>
    <w:p>
      <w:pPr>
        <w:spacing w:after="0" w:line="145" w:lineRule="exact"/>
        <w:rPr>
          <w:sz w:val="20"/>
          <w:szCs w:val="20"/>
          <w:color w:val="auto"/>
        </w:rPr>
      </w:pPr>
    </w:p>
    <w:p>
      <w:pPr>
        <w:ind w:left="720" w:right="80" w:hanging="659"/>
        <w:spacing w:after="0" w:line="268" w:lineRule="auto"/>
        <w:tabs>
          <w:tab w:leader="none" w:pos="700" w:val="left"/>
        </w:tabs>
        <w:rPr>
          <w:sz w:val="20"/>
          <w:szCs w:val="20"/>
          <w:color w:val="auto"/>
        </w:rPr>
      </w:pPr>
      <w:r>
        <w:rPr>
          <w:rFonts w:ascii="Arial" w:cs="Arial" w:eastAsia="Arial" w:hAnsi="Arial"/>
          <w:sz w:val="18"/>
          <w:szCs w:val="18"/>
          <w:color w:val="auto"/>
        </w:rPr>
        <w:t>(d)(5)</w:t>
        <w:tab/>
        <w:t>Form of Warrant Agreement (Incorporated by reference to Exhibit 99.(d)(5) to the Registrant’s Pre-Effective Amendment to the Registration Statement on Form N-2/A (File No. 333-150033), filed on May 30, 2008).</w:t>
      </w:r>
    </w:p>
    <w:p>
      <w:pPr>
        <w:spacing w:after="0" w:line="145" w:lineRule="exact"/>
        <w:rPr>
          <w:sz w:val="20"/>
          <w:szCs w:val="20"/>
          <w:color w:val="auto"/>
        </w:rPr>
      </w:pPr>
    </w:p>
    <w:p>
      <w:pPr>
        <w:ind w:left="720" w:right="200" w:hanging="659"/>
        <w:spacing w:after="0" w:line="268" w:lineRule="auto"/>
        <w:tabs>
          <w:tab w:leader="none" w:pos="700" w:val="left"/>
        </w:tabs>
        <w:rPr>
          <w:sz w:val="20"/>
          <w:szCs w:val="20"/>
          <w:color w:val="auto"/>
        </w:rPr>
      </w:pPr>
      <w:r>
        <w:rPr>
          <w:rFonts w:ascii="Arial" w:cs="Arial" w:eastAsia="Arial" w:hAnsi="Arial"/>
          <w:sz w:val="18"/>
          <w:szCs w:val="18"/>
          <w:color w:val="auto"/>
        </w:rPr>
        <w:t>(d)(6)</w:t>
        <w:tab/>
        <w:t>Form T-1 Statement of Eligibility with respect to the Form of Indenture (Incorporated by reference to Exhibit 2(d)(6) to the Registrant’s Pre-Effective Amendment to the Registration Statement on Form N-2/A (File No. 333-172524), filed August 22, 2011).</w:t>
      </w:r>
    </w:p>
    <w:p>
      <w:pPr>
        <w:spacing w:after="0" w:line="145" w:lineRule="exact"/>
        <w:rPr>
          <w:sz w:val="20"/>
          <w:szCs w:val="20"/>
          <w:color w:val="auto"/>
        </w:rPr>
      </w:pPr>
    </w:p>
    <w:p>
      <w:pPr>
        <w:ind w:left="720" w:right="680" w:hanging="659"/>
        <w:spacing w:after="0" w:line="268" w:lineRule="auto"/>
        <w:tabs>
          <w:tab w:leader="none" w:pos="700" w:val="left"/>
        </w:tabs>
        <w:rPr>
          <w:sz w:val="20"/>
          <w:szCs w:val="20"/>
          <w:color w:val="auto"/>
        </w:rPr>
      </w:pPr>
      <w:r>
        <w:rPr>
          <w:rFonts w:ascii="Arial" w:cs="Arial" w:eastAsia="Arial" w:hAnsi="Arial"/>
          <w:sz w:val="18"/>
          <w:szCs w:val="18"/>
          <w:color w:val="auto"/>
        </w:rPr>
        <w:t>(d)(7)</w:t>
        <w:tab/>
        <w:t>Form of Articles Supplementary (Incorporated by reference to Exhibit 2(d)(7) to the Registrant’s Pre-Effective Amendment to the Registration Statement on Form N-2/A (File No. 333-172524), filed August 22, 2011).</w:t>
      </w:r>
    </w:p>
    <w:p>
      <w:pPr>
        <w:spacing w:after="0" w:line="145" w:lineRule="exact"/>
        <w:rPr>
          <w:sz w:val="20"/>
          <w:szCs w:val="20"/>
          <w:color w:val="auto"/>
        </w:rPr>
      </w:pPr>
    </w:p>
    <w:p>
      <w:pPr>
        <w:ind w:left="720" w:right="80" w:hanging="659"/>
        <w:spacing w:after="0" w:line="259" w:lineRule="auto"/>
        <w:tabs>
          <w:tab w:leader="none" w:pos="700" w:val="left"/>
        </w:tabs>
        <w:rPr>
          <w:sz w:val="20"/>
          <w:szCs w:val="20"/>
          <w:color w:val="auto"/>
        </w:rPr>
      </w:pPr>
      <w:r>
        <w:rPr>
          <w:rFonts w:ascii="Arial" w:cs="Arial" w:eastAsia="Arial" w:hAnsi="Arial"/>
          <w:sz w:val="18"/>
          <w:szCs w:val="18"/>
          <w:color w:val="auto"/>
        </w:rPr>
        <w:t>(d)(8)</w:t>
        <w:tab/>
        <w:t>Base Indenture, dated as of January 22, 2013, relating to the 6.25% Senior Notes due 2025, between the Registrant and American Stock Transfer &amp; Trust Company, LLC, as trustee (Incorporated by reference to Exhibit 99.(d)(8) to the Registrant’s Post-Effective Amendment No. 4 to the Registration Statement on Form N-2/A (File No. 333-172524), filed on January 22, 2013).</w:t>
      </w:r>
    </w:p>
    <w:p>
      <w:pPr>
        <w:spacing w:after="0" w:line="154" w:lineRule="exact"/>
        <w:rPr>
          <w:sz w:val="20"/>
          <w:szCs w:val="20"/>
          <w:color w:val="auto"/>
        </w:rPr>
      </w:pPr>
    </w:p>
    <w:p>
      <w:pPr>
        <w:jc w:val="both"/>
        <w:ind w:left="720" w:right="180" w:hanging="659"/>
        <w:spacing w:after="0" w:line="259" w:lineRule="auto"/>
        <w:tabs>
          <w:tab w:leader="none" w:pos="700" w:val="left"/>
        </w:tabs>
        <w:rPr>
          <w:sz w:val="20"/>
          <w:szCs w:val="20"/>
          <w:color w:val="auto"/>
        </w:rPr>
      </w:pPr>
      <w:r>
        <w:rPr>
          <w:rFonts w:ascii="Arial" w:cs="Arial" w:eastAsia="Arial" w:hAnsi="Arial"/>
          <w:sz w:val="18"/>
          <w:szCs w:val="18"/>
          <w:color w:val="auto"/>
        </w:rPr>
        <w:t>(d)(9)</w:t>
        <w:tab/>
        <w:t>First Supplemental Indenture, dated as of January 22, 2013, relating to the 6.25% Senior Notes due 2025, between the Registrant and American Stock Transfer &amp; Trust Company, LLC, as trustee (Incorporated by reference to Exhibit 99.(d)(9) to the Registrant’s Post-Effective Amendment No. 4 to the Registration Statement on Form N-2/A (File No. 333-172524), filed on January 22, 2013).</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(d)(10)</w:t>
        <w:tab/>
        <w:t>Form of 6.25% Senior Notes due 2025 (included as part of Exhibit (d)(9)).</w:t>
      </w:r>
    </w:p>
    <w:p>
      <w:pPr>
        <w:spacing w:after="0" w:line="185" w:lineRule="exact"/>
        <w:rPr>
          <w:sz w:val="20"/>
          <w:szCs w:val="20"/>
          <w:color w:val="auto"/>
        </w:rPr>
      </w:pPr>
    </w:p>
    <w:p>
      <w:pPr>
        <w:ind w:left="720" w:right="580" w:hanging="560"/>
        <w:spacing w:after="0" w:line="268" w:lineRule="auto"/>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Dividend Reinvestment Plan (Incorporated by reference to Exhibit 99.(E) to the Registrant’s Registration Statement on Form N-2 (File No. 333-150033), filed on April 2, 2008).</w:t>
      </w:r>
    </w:p>
    <w:p>
      <w:pPr>
        <w:spacing w:after="0" w:line="145" w:lineRule="exact"/>
        <w:rPr>
          <w:sz w:val="20"/>
          <w:szCs w:val="20"/>
          <w:color w:val="auto"/>
        </w:rPr>
      </w:pPr>
    </w:p>
    <w:p>
      <w:pPr>
        <w:ind w:left="720" w:hanging="564"/>
        <w:spacing w:after="0" w:line="268" w:lineRule="auto"/>
        <w:tabs>
          <w:tab w:leader="none" w:pos="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Investment Management Agreement between the Registrant and PennantPark Investment Advisers, LLC (Incorporated by reference to Exhibit 99.(G) to the Registrant’s Registration Statement on Form N-2 (File No. 333-150033), filed on April 2, 2008).</w:t>
      </w:r>
    </w:p>
    <w:p>
      <w:pPr>
        <w:spacing w:after="0" w:line="145" w:lineRule="exact"/>
        <w:rPr>
          <w:sz w:val="20"/>
          <w:szCs w:val="20"/>
          <w:color w:val="auto"/>
        </w:rPr>
      </w:pPr>
    </w:p>
    <w:p>
      <w:pPr>
        <w:ind w:left="720" w:right="580" w:hanging="659"/>
        <w:spacing w:after="0" w:line="268" w:lineRule="auto"/>
        <w:tabs>
          <w:tab w:leader="none" w:pos="700" w:val="left"/>
        </w:tabs>
        <w:rPr>
          <w:sz w:val="20"/>
          <w:szCs w:val="20"/>
          <w:color w:val="auto"/>
        </w:rPr>
      </w:pPr>
      <w:r>
        <w:rPr>
          <w:rFonts w:ascii="Arial" w:cs="Arial" w:eastAsia="Arial" w:hAnsi="Arial"/>
          <w:sz w:val="18"/>
          <w:szCs w:val="18"/>
          <w:color w:val="auto"/>
        </w:rPr>
        <w:t>(h)(1)</w:t>
        <w:tab/>
        <w:t>Form of Underwriting Agreement for equity (Incorporated by reference to Exhibit 99.(H)(1) to the Registrant’s Pre-Effective Amendment to the Registration Statement on Form N-2/A (File No. 333-150033), filed on May 30, 2008).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700" w:right="60" w:hanging="659"/>
        <w:spacing w:after="0" w:line="268" w:lineRule="auto"/>
        <w:tabs>
          <w:tab w:leader="none" w:pos="680" w:val="left"/>
        </w:tabs>
        <w:rPr>
          <w:sz w:val="20"/>
          <w:szCs w:val="20"/>
          <w:color w:val="auto"/>
        </w:rPr>
      </w:pPr>
      <w:r>
        <w:rPr>
          <w:rFonts w:ascii="Arial" w:cs="Arial" w:eastAsia="Arial" w:hAnsi="Arial"/>
          <w:sz w:val="18"/>
          <w:szCs w:val="18"/>
          <w:color w:val="auto"/>
        </w:rPr>
        <w:t>(h)(2)</w:t>
        <w:tab/>
        <w:t>Form of Underwriting Agreement for equity (Incorporated by reference to Exhibit 99.(H)(1) to the Registrant’s Post-Effective Amendment No. 4 to the Registration Statement on Form N-2/A (File No. 333-150033), filed on February 22, 2010).</w:t>
      </w:r>
    </w:p>
    <w:p>
      <w:pPr>
        <w:spacing w:after="0" w:line="145" w:lineRule="exact"/>
        <w:rPr>
          <w:sz w:val="20"/>
          <w:szCs w:val="20"/>
          <w:color w:val="auto"/>
        </w:rPr>
      </w:pPr>
    </w:p>
    <w:p>
      <w:pPr>
        <w:ind w:left="700" w:right="700" w:hanging="659"/>
        <w:spacing w:after="0" w:line="268" w:lineRule="auto"/>
        <w:tabs>
          <w:tab w:leader="none" w:pos="680" w:val="left"/>
        </w:tabs>
        <w:rPr>
          <w:sz w:val="20"/>
          <w:szCs w:val="20"/>
          <w:color w:val="auto"/>
        </w:rPr>
      </w:pPr>
      <w:r>
        <w:rPr>
          <w:rFonts w:ascii="Arial" w:cs="Arial" w:eastAsia="Arial" w:hAnsi="Arial"/>
          <w:sz w:val="18"/>
          <w:szCs w:val="18"/>
          <w:color w:val="auto"/>
        </w:rPr>
        <w:t>(h)(3)</w:t>
        <w:tab/>
        <w:t>Form of Underwriting Agreement for debt (Incorporated by reference to Exhibit 99.(H)(2) to the Registrant’s Pre-Effective Amendment to the Registration Statement on Form N-2/A (File No. 333-150033), filed on May 30, 2008).</w:t>
      </w:r>
    </w:p>
    <w:p>
      <w:pPr>
        <w:spacing w:after="0" w:line="145" w:lineRule="exact"/>
        <w:rPr>
          <w:sz w:val="20"/>
          <w:szCs w:val="20"/>
          <w:color w:val="auto"/>
        </w:rPr>
      </w:pPr>
    </w:p>
    <w:p>
      <w:pPr>
        <w:ind w:left="700" w:right="100" w:hanging="545"/>
        <w:spacing w:after="0" w:line="268" w:lineRule="auto"/>
        <w:tabs>
          <w:tab w:leader="none" w:pos="7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Custodian Agreement between the Registrant and PFPC Trust Company (Incorporated by reference to Exhibit 99.(J)(1) to the Registrant’s Registration Statement on Form N-2 (File No. 333-150033), filed on April 2, 2008).</w:t>
      </w:r>
    </w:p>
    <w:p>
      <w:pPr>
        <w:spacing w:after="0" w:line="145" w:lineRule="exact"/>
        <w:rPr>
          <w:sz w:val="20"/>
          <w:szCs w:val="20"/>
          <w:color w:val="auto"/>
        </w:rPr>
      </w:pPr>
    </w:p>
    <w:p>
      <w:pPr>
        <w:ind w:left="700" w:right="40" w:hanging="659"/>
        <w:spacing w:after="0" w:line="268" w:lineRule="auto"/>
        <w:tabs>
          <w:tab w:leader="none" w:pos="680" w:val="left"/>
        </w:tabs>
        <w:rPr>
          <w:sz w:val="20"/>
          <w:szCs w:val="20"/>
          <w:color w:val="auto"/>
        </w:rPr>
      </w:pPr>
      <w:r>
        <w:rPr>
          <w:rFonts w:ascii="Arial" w:cs="Arial" w:eastAsia="Arial" w:hAnsi="Arial"/>
          <w:sz w:val="18"/>
          <w:szCs w:val="18"/>
          <w:color w:val="auto"/>
        </w:rPr>
        <w:t>(k)(1)</w:t>
        <w:tab/>
        <w:t>Administration Agreement between the Registrant and PennantPark Investment Administration, LLC (Incorporated by reference to Exhibit 99.(K)(1) to the Registrant’s Registration Statement on Form N-2 (File No. 333-150033), filed on April 2, 2008).</w:t>
      </w:r>
    </w:p>
    <w:p>
      <w:pPr>
        <w:spacing w:after="0" w:line="145"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6"/>
          <w:szCs w:val="16"/>
          <w:color w:val="auto"/>
        </w:rPr>
        <w:t>(k)(2)</w:t>
      </w:r>
      <w:r>
        <w:rPr>
          <w:sz w:val="20"/>
          <w:szCs w:val="20"/>
          <w:color w:val="auto"/>
        </w:rPr>
        <w:tab/>
      </w:r>
      <w:r>
        <w:rPr>
          <w:rFonts w:ascii="Arial" w:cs="Arial" w:eastAsia="Arial" w:hAnsi="Arial"/>
          <w:sz w:val="16"/>
          <w:szCs w:val="16"/>
          <w:color w:val="auto"/>
        </w:rPr>
        <w:t>Stock Transfer Agency Agreement between the Registrant and American Stock Transfer and Trust Company (Incorporated by reference to Exhibit 99.</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(K)(2) to the Registrant’s Registration Statement on Form N-2 (File No. 333-150033), filed on April 2, 2008).</w:t>
      </w:r>
    </w:p>
    <w:p>
      <w:pPr>
        <w:spacing w:after="0" w:line="178" w:lineRule="exact"/>
        <w:rPr>
          <w:sz w:val="20"/>
          <w:szCs w:val="20"/>
          <w:color w:val="auto"/>
        </w:rPr>
      </w:pPr>
    </w:p>
    <w:p>
      <w:pPr>
        <w:ind w:left="700" w:right="180" w:hanging="659"/>
        <w:spacing w:after="0" w:line="268" w:lineRule="auto"/>
        <w:tabs>
          <w:tab w:leader="none" w:pos="680" w:val="left"/>
        </w:tabs>
        <w:rPr>
          <w:sz w:val="20"/>
          <w:szCs w:val="20"/>
          <w:color w:val="auto"/>
        </w:rPr>
      </w:pPr>
      <w:r>
        <w:rPr>
          <w:rFonts w:ascii="Arial" w:cs="Arial" w:eastAsia="Arial" w:hAnsi="Arial"/>
          <w:sz w:val="18"/>
          <w:szCs w:val="18"/>
          <w:color w:val="auto"/>
        </w:rPr>
        <w:t>(k)(3)</w:t>
        <w:tab/>
        <w:t>Trademark License Agreement (Incorporated by reference to Exhibit 99.(K)(3) to the Registrant’s Registration Statement on Form N-2 (File No. 333-150033), filed on April 2, 2008).</w:t>
      </w:r>
    </w:p>
    <w:p>
      <w:pPr>
        <w:spacing w:after="0" w:line="145" w:lineRule="exact"/>
        <w:rPr>
          <w:sz w:val="20"/>
          <w:szCs w:val="20"/>
          <w:color w:val="auto"/>
        </w:rPr>
      </w:pPr>
    </w:p>
    <w:p>
      <w:pPr>
        <w:ind w:left="700" w:hanging="659"/>
        <w:spacing w:after="0" w:line="259" w:lineRule="auto"/>
        <w:tabs>
          <w:tab w:leader="none" w:pos="680" w:val="left"/>
        </w:tabs>
        <w:rPr>
          <w:sz w:val="20"/>
          <w:szCs w:val="20"/>
          <w:color w:val="auto"/>
        </w:rPr>
      </w:pPr>
      <w:r>
        <w:rPr>
          <w:rFonts w:ascii="Arial" w:cs="Arial" w:eastAsia="Arial" w:hAnsi="Arial"/>
          <w:sz w:val="18"/>
          <w:szCs w:val="18"/>
          <w:color w:val="auto"/>
        </w:rPr>
        <w:t>(k)(4)</w:t>
        <w:tab/>
        <w:t>Amended and Restated Senior Secured Revolving Credit Agreement, dated as of February 21, 2012, among PennantPark Investment Corporation, as the borrower, the Lenders party hereto, SunTrust Bank, as administrative agent and JPMorgan Chase Bank, N.A., as syndication agent (Incorporated by reference to the Report on Form 10-Q Exhibit 10.1 (File No. 814-00736), filed on May 2,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00"/>
          </w:cols>
          <w:pgMar w:left="240" w:top="460" w:right="2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25.</w:t>
      </w:r>
      <w:r>
        <w:rPr>
          <w:sz w:val="20"/>
          <w:szCs w:val="20"/>
          <w:color w:val="auto"/>
        </w:rPr>
        <w:tab/>
      </w:r>
      <w:r>
        <w:rPr>
          <w:rFonts w:ascii="Arial" w:cs="Arial" w:eastAsia="Arial" w:hAnsi="Arial"/>
          <w:sz w:val="15"/>
          <w:szCs w:val="15"/>
          <w:b w:val="1"/>
          <w:bCs w:val="1"/>
          <w:color w:val="auto"/>
        </w:rPr>
        <w:t>Financial statements and exhibits (continued)</w:t>
      </w:r>
    </w:p>
    <w:p>
      <w:pPr>
        <w:spacing w:after="0" w:line="326" w:lineRule="exact"/>
        <w:rPr>
          <w:sz w:val="20"/>
          <w:szCs w:val="20"/>
          <w:color w:val="auto"/>
        </w:rPr>
      </w:pPr>
    </w:p>
    <w:p>
      <w:pPr>
        <w:ind w:left="920" w:hanging="571"/>
        <w:spacing w:after="0"/>
        <w:tabs>
          <w:tab w:leader="none" w:pos="920" w:val="left"/>
        </w:tabs>
        <w:numPr>
          <w:ilvl w:val="0"/>
          <w:numId w:val="104"/>
        </w:numPr>
        <w:rPr>
          <w:rFonts w:ascii="Arial" w:cs="Arial" w:eastAsia="Arial" w:hAnsi="Arial"/>
          <w:sz w:val="18"/>
          <w:szCs w:val="18"/>
          <w:color w:val="auto"/>
        </w:rPr>
      </w:pPr>
      <w:r>
        <w:rPr>
          <w:rFonts w:ascii="Arial" w:cs="Arial" w:eastAsia="Arial" w:hAnsi="Arial"/>
          <w:sz w:val="18"/>
          <w:szCs w:val="18"/>
          <w:i w:val="1"/>
          <w:iCs w:val="1"/>
          <w:color w:val="auto"/>
        </w:rPr>
        <w:t>Exhibits (Continued)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40" w:type="dxa"/>
            <w:vAlign w:val="bottom"/>
          </w:tcPr>
          <w:p>
            <w:pPr>
              <w:ind w:left="20"/>
              <w:spacing w:after="0"/>
              <w:rPr>
                <w:sz w:val="20"/>
                <w:szCs w:val="20"/>
                <w:color w:val="auto"/>
              </w:rPr>
            </w:pPr>
            <w:r>
              <w:rPr>
                <w:rFonts w:ascii="Arial" w:cs="Arial" w:eastAsia="Arial" w:hAnsi="Arial"/>
                <w:sz w:val="18"/>
                <w:szCs w:val="18"/>
                <w:color w:val="auto"/>
              </w:rPr>
              <w:t>(l)(1)**</w:t>
            </w:r>
          </w:p>
        </w:tc>
        <w:tc>
          <w:tcPr>
            <w:tcW w:w="4420" w:type="dxa"/>
            <w:vAlign w:val="bottom"/>
          </w:tcPr>
          <w:p>
            <w:pPr>
              <w:ind w:left="160"/>
              <w:spacing w:after="0"/>
              <w:rPr>
                <w:sz w:val="20"/>
                <w:szCs w:val="20"/>
                <w:color w:val="auto"/>
              </w:rPr>
            </w:pPr>
            <w:r>
              <w:rPr>
                <w:rFonts w:ascii="Arial" w:cs="Arial" w:eastAsia="Arial" w:hAnsi="Arial"/>
                <w:sz w:val="18"/>
                <w:szCs w:val="18"/>
                <w:color w:val="auto"/>
              </w:rPr>
              <w:t>Opinion and Consent of Venable LLP.</w:t>
            </w:r>
          </w:p>
        </w:tc>
      </w:tr>
      <w:tr>
        <w:trPr>
          <w:trHeight w:val="392"/>
        </w:trPr>
        <w:tc>
          <w:tcPr>
            <w:tcW w:w="740" w:type="dxa"/>
            <w:vAlign w:val="bottom"/>
          </w:tcPr>
          <w:p>
            <w:pPr>
              <w:ind w:left="20"/>
              <w:spacing w:after="0"/>
              <w:rPr>
                <w:sz w:val="20"/>
                <w:szCs w:val="20"/>
                <w:color w:val="auto"/>
              </w:rPr>
            </w:pPr>
            <w:r>
              <w:rPr>
                <w:rFonts w:ascii="Arial" w:cs="Arial" w:eastAsia="Arial" w:hAnsi="Arial"/>
                <w:sz w:val="18"/>
                <w:szCs w:val="18"/>
                <w:color w:val="auto"/>
              </w:rPr>
              <w:t>(l)(2)**</w:t>
            </w:r>
          </w:p>
        </w:tc>
        <w:tc>
          <w:tcPr>
            <w:tcW w:w="4420" w:type="dxa"/>
            <w:vAlign w:val="bottom"/>
          </w:tcPr>
          <w:p>
            <w:pPr>
              <w:ind w:left="160"/>
              <w:spacing w:after="0"/>
              <w:rPr>
                <w:sz w:val="20"/>
                <w:szCs w:val="20"/>
                <w:color w:val="auto"/>
              </w:rPr>
            </w:pPr>
            <w:r>
              <w:rPr>
                <w:rFonts w:ascii="Arial" w:cs="Arial" w:eastAsia="Arial" w:hAnsi="Arial"/>
                <w:sz w:val="18"/>
                <w:szCs w:val="18"/>
                <w:color w:val="auto"/>
              </w:rPr>
              <w:t>Opinion and Consent of Dechert LLP.</w:t>
            </w:r>
          </w:p>
        </w:tc>
      </w:tr>
      <w:tr>
        <w:trPr>
          <w:trHeight w:val="392"/>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4420" w:type="dxa"/>
            <w:vAlign w:val="bottom"/>
          </w:tcPr>
          <w:p>
            <w:pPr>
              <w:ind w:left="160"/>
              <w:spacing w:after="0"/>
              <w:rPr>
                <w:sz w:val="20"/>
                <w:szCs w:val="20"/>
                <w:color w:val="auto"/>
              </w:rPr>
            </w:pPr>
            <w:r>
              <w:rPr>
                <w:rFonts w:ascii="Arial" w:cs="Arial" w:eastAsia="Arial" w:hAnsi="Arial"/>
                <w:sz w:val="18"/>
                <w:szCs w:val="18"/>
                <w:color w:val="auto"/>
                <w:w w:val="88"/>
              </w:rPr>
              <w:t>Consent of Independent Registered Public Accounting Firm.</w:t>
            </w:r>
          </w:p>
        </w:tc>
      </w:tr>
    </w:tbl>
    <w:p>
      <w:pPr>
        <w:spacing w:after="0" w:line="169" w:lineRule="exact"/>
        <w:rPr>
          <w:sz w:val="20"/>
          <w:szCs w:val="20"/>
          <w:color w:val="auto"/>
        </w:rPr>
      </w:pPr>
    </w:p>
    <w:p>
      <w:pPr>
        <w:ind w:left="920" w:right="620" w:hanging="703"/>
        <w:spacing w:after="0" w:line="332" w:lineRule="auto"/>
        <w:tabs>
          <w:tab w:leader="none" w:pos="9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Joint Code of Ethics of the Registrant, PennantPark Floating Rate Capital Ltd. and PennantPark Investment Advisers, LLC (Incorporated by reference to Exhibit 14.1 to the Registrant’s Report on Form 10-K (File No. 814-00736), filed on November 14, 2013).</w:t>
      </w:r>
    </w:p>
    <w:p>
      <w:pPr>
        <w:spacing w:after="0" w:line="99"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(s)(1)</w:t>
      </w:r>
      <w:r>
        <w:rPr>
          <w:sz w:val="20"/>
          <w:szCs w:val="20"/>
          <w:color w:val="auto"/>
        </w:rPr>
        <w:tab/>
      </w:r>
      <w:r>
        <w:rPr>
          <w:rFonts w:ascii="Arial" w:cs="Arial" w:eastAsia="Arial" w:hAnsi="Arial"/>
          <w:sz w:val="16"/>
          <w:szCs w:val="16"/>
          <w:color w:val="auto"/>
        </w:rPr>
        <w:t>Form of Prospectus Supplement For Common Stock Offerings (Incorporated by reference to Exhibit 2.(s)(1) to the Registrant’s Pre-Effective Amendment to the Registration Statement on Form N-2/A (File No. 333-172524), filed on August 22, 2011).</w:t>
      </w:r>
    </w:p>
    <w:p>
      <w:pPr>
        <w:spacing w:after="0" w:line="99" w:lineRule="exact"/>
        <w:rPr>
          <w:sz w:val="20"/>
          <w:szCs w:val="20"/>
          <w:color w:val="auto"/>
        </w:rPr>
      </w:pPr>
    </w:p>
    <w:p>
      <w:pPr>
        <w:ind w:left="920" w:right="560" w:hanging="799"/>
        <w:spacing w:after="0" w:line="332" w:lineRule="auto"/>
        <w:tabs>
          <w:tab w:leader="none" w:pos="900" w:val="left"/>
        </w:tabs>
        <w:rPr>
          <w:sz w:val="20"/>
          <w:szCs w:val="20"/>
          <w:color w:val="auto"/>
        </w:rPr>
      </w:pPr>
      <w:r>
        <w:rPr>
          <w:rFonts w:ascii="Arial" w:cs="Arial" w:eastAsia="Arial" w:hAnsi="Arial"/>
          <w:sz w:val="16"/>
          <w:szCs w:val="16"/>
          <w:color w:val="auto"/>
        </w:rPr>
        <w:t>(s)(2)</w:t>
      </w:r>
      <w:r>
        <w:rPr>
          <w:sz w:val="20"/>
          <w:szCs w:val="20"/>
          <w:color w:val="auto"/>
        </w:rPr>
        <w:tab/>
      </w:r>
      <w:r>
        <w:rPr>
          <w:rFonts w:ascii="Arial" w:cs="Arial" w:eastAsia="Arial" w:hAnsi="Arial"/>
          <w:sz w:val="16"/>
          <w:szCs w:val="16"/>
          <w:color w:val="auto"/>
        </w:rPr>
        <w:t>Form of Prospectus Supplement For Preferred Stock Offerings (Incorporated by reference to Exhibit 2.(s)(2) to the Registrant’s Pre-Effective Amendment to the Registration Statement on Form N-2/A (File No. 333-172524), filed on August 22, 2011).</w:t>
      </w:r>
    </w:p>
    <w:p>
      <w:pPr>
        <w:spacing w:after="0" w:line="99" w:lineRule="exact"/>
        <w:rPr>
          <w:sz w:val="20"/>
          <w:szCs w:val="20"/>
          <w:color w:val="auto"/>
        </w:rPr>
      </w:pPr>
    </w:p>
    <w:p>
      <w:pPr>
        <w:ind w:left="920" w:right="220" w:hanging="799"/>
        <w:spacing w:after="0" w:line="268" w:lineRule="auto"/>
        <w:tabs>
          <w:tab w:leader="none" w:pos="900" w:val="left"/>
        </w:tabs>
        <w:rPr>
          <w:sz w:val="20"/>
          <w:szCs w:val="20"/>
          <w:color w:val="auto"/>
        </w:rPr>
      </w:pPr>
      <w:r>
        <w:rPr>
          <w:rFonts w:ascii="Arial" w:cs="Arial" w:eastAsia="Arial" w:hAnsi="Arial"/>
          <w:sz w:val="18"/>
          <w:szCs w:val="18"/>
          <w:color w:val="auto"/>
        </w:rPr>
        <w:t>(s)(3)</w:t>
      </w:r>
      <w:r>
        <w:rPr>
          <w:sz w:val="20"/>
          <w:szCs w:val="20"/>
          <w:color w:val="auto"/>
        </w:rPr>
        <w:tab/>
      </w:r>
      <w:r>
        <w:rPr>
          <w:rFonts w:ascii="Arial" w:cs="Arial" w:eastAsia="Arial" w:hAnsi="Arial"/>
          <w:sz w:val="18"/>
          <w:szCs w:val="18"/>
          <w:color w:val="auto"/>
        </w:rPr>
        <w:t>Form of Prospectus Supplement For Debt Offerings (Incorporated by reference to Exhibit 2.(s)(3) to the Registrant’s Pre-Effective Amendment to the Registration Statement on Form N-2/A (File No. 333-172524), filed on August 22, 2011).</w:t>
      </w:r>
    </w:p>
    <w:p>
      <w:pPr>
        <w:spacing w:after="0" w:line="145" w:lineRule="exact"/>
        <w:rPr>
          <w:sz w:val="20"/>
          <w:szCs w:val="20"/>
          <w:color w:val="auto"/>
        </w:rPr>
      </w:pPr>
    </w:p>
    <w:p>
      <w:pPr>
        <w:ind w:left="920" w:right="100" w:hanging="799"/>
        <w:spacing w:after="0" w:line="268" w:lineRule="auto"/>
        <w:tabs>
          <w:tab w:leader="none" w:pos="900" w:val="left"/>
        </w:tabs>
        <w:rPr>
          <w:sz w:val="20"/>
          <w:szCs w:val="20"/>
          <w:color w:val="auto"/>
        </w:rPr>
      </w:pPr>
      <w:r>
        <w:rPr>
          <w:rFonts w:ascii="Arial" w:cs="Arial" w:eastAsia="Arial" w:hAnsi="Arial"/>
          <w:sz w:val="18"/>
          <w:szCs w:val="18"/>
          <w:color w:val="auto"/>
        </w:rPr>
        <w:t>(s)(4)</w:t>
      </w:r>
      <w:r>
        <w:rPr>
          <w:sz w:val="20"/>
          <w:szCs w:val="20"/>
          <w:color w:val="auto"/>
        </w:rPr>
        <w:tab/>
      </w:r>
      <w:r>
        <w:rPr>
          <w:rFonts w:ascii="Arial" w:cs="Arial" w:eastAsia="Arial" w:hAnsi="Arial"/>
          <w:sz w:val="18"/>
          <w:szCs w:val="18"/>
          <w:color w:val="auto"/>
        </w:rPr>
        <w:t>Form of Prospectus Supplement For Rights Offerings (Incorporated by reference to Exhibit 2.(s)(4) to the Registrant’s Pre-Effective Amendment to the Registration Statement on Form N-2/A (File No. 333-172524), filed on August 22, 2011).</w:t>
      </w:r>
    </w:p>
    <w:p>
      <w:pPr>
        <w:spacing w:after="0" w:line="145" w:lineRule="exact"/>
        <w:rPr>
          <w:sz w:val="20"/>
          <w:szCs w:val="20"/>
          <w:color w:val="auto"/>
        </w:rPr>
      </w:pPr>
    </w:p>
    <w:p>
      <w:pPr>
        <w:ind w:left="920" w:hanging="799"/>
        <w:spacing w:after="0" w:line="268" w:lineRule="auto"/>
        <w:tabs>
          <w:tab w:leader="none" w:pos="900" w:val="left"/>
        </w:tabs>
        <w:rPr>
          <w:sz w:val="20"/>
          <w:szCs w:val="20"/>
          <w:color w:val="auto"/>
        </w:rPr>
      </w:pPr>
      <w:r>
        <w:rPr>
          <w:rFonts w:ascii="Arial" w:cs="Arial" w:eastAsia="Arial" w:hAnsi="Arial"/>
          <w:sz w:val="18"/>
          <w:szCs w:val="18"/>
          <w:color w:val="auto"/>
        </w:rPr>
        <w:t>(s)(5)</w:t>
      </w:r>
      <w:r>
        <w:rPr>
          <w:sz w:val="20"/>
          <w:szCs w:val="20"/>
          <w:color w:val="auto"/>
        </w:rPr>
        <w:tab/>
      </w:r>
      <w:r>
        <w:rPr>
          <w:rFonts w:ascii="Arial" w:cs="Arial" w:eastAsia="Arial" w:hAnsi="Arial"/>
          <w:sz w:val="18"/>
          <w:szCs w:val="18"/>
          <w:color w:val="auto"/>
        </w:rPr>
        <w:t>Form of Prospectus Supplement For Warrant Offerings (Incorporated by reference to Exhibit 2.(s)(5) to the Registrant’s Pre-Effective Amendment to the Registration Statement on Form N-2/A (File No. 333-172524), filed on August 22, 2011).</w:t>
      </w:r>
    </w:p>
    <w:p>
      <w:pPr>
        <w:spacing w:after="0" w:line="251" w:lineRule="exact"/>
        <w:rPr>
          <w:sz w:val="20"/>
          <w:szCs w:val="20"/>
          <w:color w:val="auto"/>
        </w:rPr>
      </w:pPr>
    </w:p>
    <w:p>
      <w:pPr>
        <w:ind w:left="580" w:hanging="572"/>
        <w:spacing w:after="0"/>
        <w:tabs>
          <w:tab w:leader="none" w:pos="58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87"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information contained under the heading “Plan of Distribution” in this Registration Statement is hereby incorporated by reference.</w:t>
      </w:r>
    </w:p>
    <w:p>
      <w:pPr>
        <w:spacing w:after="0" w:line="206"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27.</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96"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The following table sets forth the estimated expenses to be incurred by the Registrant in connection with the offering described in this registration statement:</w:t>
      </w:r>
    </w:p>
    <w:p>
      <w:pPr>
        <w:spacing w:after="0" w:line="181"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NASDAQ listing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150,500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Printing (other than certificates)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4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0" w:type="dxa"/>
            <w:vAlign w:val="bottom"/>
            <w:gridSpan w:val="2"/>
          </w:tcPr>
          <w:p>
            <w:pPr>
              <w:spacing w:after="0"/>
              <w:rPr>
                <w:sz w:val="20"/>
                <w:szCs w:val="20"/>
                <w:color w:val="auto"/>
              </w:rPr>
            </w:pPr>
            <w:r>
              <w:rPr>
                <w:rFonts w:ascii="Arial" w:cs="Arial" w:eastAsia="Arial" w:hAnsi="Arial"/>
                <w:sz w:val="18"/>
                <w:szCs w:val="18"/>
                <w:color w:val="auto"/>
              </w:rPr>
              <w:t>Miscellaneous fees and expenses</w:t>
            </w: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125,700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of the expenses set forth above shall be borne by the Registrant.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5"/>
          <w:szCs w:val="15"/>
          <w:b w:val="1"/>
          <w:bCs w:val="1"/>
          <w:color w:val="auto"/>
        </w:rPr>
        <w:t>Persons controlled by or under common control with the Registrant</w:t>
      </w:r>
    </w:p>
    <w:p>
      <w:pPr>
        <w:spacing w:after="0" w:line="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lists sets forth each of the companies considered to be controlled by us as defined by the 1940 Act.</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entity and place of jurisdiction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Voting Securities</w:t>
            </w:r>
          </w:p>
        </w:tc>
        <w:tc>
          <w:tcPr>
            <w:tcW w:w="0" w:type="dxa"/>
            <w:vAlign w:val="bottom"/>
          </w:tcPr>
          <w:p>
            <w:pPr>
              <w:spacing w:after="0"/>
              <w:rPr>
                <w:sz w:val="1"/>
                <w:szCs w:val="1"/>
                <w:color w:val="auto"/>
              </w:rPr>
            </w:pPr>
          </w:p>
        </w:tc>
      </w:tr>
      <w:tr>
        <w:trPr>
          <w:trHeight w:val="161"/>
        </w:trPr>
        <w:tc>
          <w:tcPr>
            <w:tcW w:w="6400" w:type="dxa"/>
            <w:vAlign w:val="bottom"/>
            <w:gridSpan w:val="3"/>
            <w:vMerge w:val="continue"/>
          </w:tcPr>
          <w:p>
            <w:pPr>
              <w:spacing w:after="0"/>
              <w:rPr>
                <w:sz w:val="14"/>
                <w:szCs w:val="14"/>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5"/>
              </w:rPr>
              <w:t>Owned Percentage</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PennantPark SBIC GP, LLC (Delaware)</w:t>
            </w:r>
          </w:p>
        </w:tc>
        <w:tc>
          <w:tcPr>
            <w:tcW w:w="140" w:type="dxa"/>
            <w:vAlign w:val="bottom"/>
          </w:tcPr>
          <w:p>
            <w:pPr>
              <w:spacing w:after="0"/>
              <w:rPr>
                <w:sz w:val="19"/>
                <w:szCs w:val="19"/>
                <w:color w:val="auto"/>
              </w:rPr>
            </w:pPr>
          </w:p>
        </w:tc>
        <w:tc>
          <w:tcPr>
            <w:tcW w:w="1620" w:type="dxa"/>
            <w:vAlign w:val="bottom"/>
            <w:tcBorders>
              <w:top w:val="single" w:sz="8" w:color="auto"/>
            </w:tcBorders>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PennantPark SBIC GP II, LLC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PennantPark SBIC LP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PennantPark SBIC II LP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PNNT Acentia, LLC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PNNT Alabama Holdings Inc.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PNNT CI (FBM) LLC</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PNNT CI (GALLS) Prime Investment Holdings, LLC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PNNT Transportation 100 Holdco, LLC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SuttonPark Holdings, Inc. (Delaware)</w:t>
            </w:r>
          </w:p>
        </w:tc>
        <w:tc>
          <w:tcPr>
            <w:tcW w:w="1620" w:type="dxa"/>
            <w:vAlign w:val="bottom"/>
          </w:tcPr>
          <w:p>
            <w:pPr>
              <w:jc w:val="center"/>
              <w:ind w:left="1135"/>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57"/>
        </w:trPr>
        <w:tc>
          <w:tcPr>
            <w:tcW w:w="6400" w:type="dxa"/>
            <w:vAlign w:val="bottom"/>
            <w:gridSpan w:val="3"/>
          </w:tcPr>
          <w:p>
            <w:pPr>
              <w:spacing w:after="0"/>
              <w:rPr>
                <w:sz w:val="20"/>
                <w:szCs w:val="20"/>
                <w:color w:val="auto"/>
              </w:rPr>
            </w:pPr>
            <w:r>
              <w:rPr>
                <w:rFonts w:ascii="Arial" w:cs="Arial" w:eastAsia="Arial" w:hAnsi="Arial"/>
                <w:sz w:val="18"/>
                <w:szCs w:val="18"/>
                <w:color w:val="auto"/>
              </w:rPr>
              <w:t>SuttonPark Capital LLC (Delaware)</w:t>
            </w:r>
          </w:p>
        </w:tc>
        <w:tc>
          <w:tcPr>
            <w:tcW w:w="1620" w:type="dxa"/>
            <w:vAlign w:val="bottom"/>
          </w:tcPr>
          <w:p>
            <w:pPr>
              <w:jc w:val="center"/>
              <w:ind w:left="1155"/>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-1781810</wp:posOffset>
            </wp:positionV>
            <wp:extent cx="550545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05450" cy="171450"/>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-1447165</wp:posOffset>
            </wp:positionV>
            <wp:extent cx="5505450"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05450" cy="16319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-1121410</wp:posOffset>
            </wp:positionV>
            <wp:extent cx="5505450"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05450" cy="16319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-795655</wp:posOffset>
            </wp:positionV>
            <wp:extent cx="5505450"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05450" cy="16319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-469900</wp:posOffset>
            </wp:positionV>
            <wp:extent cx="550545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505450" cy="16319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-144145</wp:posOffset>
            </wp:positionV>
            <wp:extent cx="550545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054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1"/>
          <w:szCs w:val="11"/>
          <w:color w:val="auto"/>
        </w:rPr>
        <w:t>(1)</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130" w:lineRule="exact"/>
        <w:rPr>
          <w:sz w:val="20"/>
          <w:szCs w:val="20"/>
          <w:color w:val="auto"/>
        </w:rPr>
      </w:pPr>
    </w:p>
    <w:p>
      <w:pPr>
        <w:spacing w:after="0"/>
        <w:rPr>
          <w:sz w:val="20"/>
          <w:szCs w:val="20"/>
          <w:color w:val="auto"/>
        </w:rPr>
      </w:pPr>
      <w:r>
        <w:rPr>
          <w:rFonts w:ascii="Arial" w:cs="Arial" w:eastAsia="Arial" w:hAnsi="Arial"/>
          <w:sz w:val="11"/>
          <w:szCs w:val="11"/>
          <w:color w:val="auto"/>
        </w:rPr>
        <w:t>(5)</w:t>
      </w:r>
    </w:p>
    <w:p>
      <w:pPr>
        <w:spacing w:after="0" w:line="276" w:lineRule="exact"/>
        <w:rPr>
          <w:sz w:val="20"/>
          <w:szCs w:val="20"/>
          <w:color w:val="auto"/>
        </w:rPr>
      </w:pPr>
    </w:p>
    <w:p>
      <w:pPr>
        <w:sectPr>
          <w:pgSz w:w="11900" w:h="16838" w:orient="portrait"/>
          <w:cols w:equalWidth="0" w:num="2">
            <w:col w:w="9400" w:space="160"/>
            <w:col w:w="659"/>
          </w:cols>
          <w:pgMar w:left="240" w:top="459" w:right="1440" w:bottom="1440" w:gutter="0" w:footer="0" w:header="0"/>
        </w:sectPr>
      </w:pPr>
    </w:p>
    <w:p>
      <w:pPr>
        <w:spacing w:after="0" w:line="277" w:lineRule="exact"/>
        <w:rPr>
          <w:sz w:val="20"/>
          <w:szCs w:val="20"/>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entity is directly owned 99% by us and 1% by PennantPark SBIC GP, LLC, which is effectively wholly-owned by us.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The entity is directly owned 99% by us and 1% by PennantPark SBIC GP II, LLC, which is effectively wholly-owned by us.</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This entity is not operational.</w:t>
      </w:r>
    </w:p>
    <w:p>
      <w:pPr>
        <w:ind w:left="340" w:hanging="332"/>
        <w:spacing w:after="0" w:line="221" w:lineRule="auto"/>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This is a controlled affiliated investment.</w:t>
      </w:r>
    </w:p>
    <w:p>
      <w:pPr>
        <w:ind w:left="340" w:hanging="332"/>
        <w:spacing w:after="0"/>
        <w:tabs>
          <w:tab w:leader="none" w:pos="3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The entity is indirectly owned by us and directly owned by SuttonPark Holdings, Inc.</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219"/>
          </w:cols>
          <w:pgMar w:left="240" w:top="459" w:right="1440"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29.</w:t>
            </w:r>
          </w:p>
        </w:tc>
        <w:tc>
          <w:tcPr>
            <w:tcW w:w="7980" w:type="dxa"/>
            <w:vAlign w:val="bottom"/>
            <w:gridSpan w:val="2"/>
          </w:tcPr>
          <w:p>
            <w:pPr>
              <w:ind w:left="760"/>
              <w:spacing w:after="0"/>
              <w:rPr>
                <w:sz w:val="20"/>
                <w:szCs w:val="20"/>
                <w:color w:val="auto"/>
              </w:rPr>
            </w:pPr>
            <w:r>
              <w:rPr>
                <w:rFonts w:ascii="Arial" w:cs="Arial" w:eastAsia="Arial" w:hAnsi="Arial"/>
                <w:sz w:val="18"/>
                <w:szCs w:val="18"/>
                <w:b w:val="1"/>
                <w:bCs w:val="1"/>
                <w:color w:val="auto"/>
              </w:rPr>
              <w:t>Number of holders of shares</w:t>
            </w:r>
          </w:p>
        </w:tc>
        <w:tc>
          <w:tcPr>
            <w:tcW w:w="1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8700" w:type="dxa"/>
            <w:vAlign w:val="bottom"/>
            <w:gridSpan w:val="3"/>
          </w:tcPr>
          <w:p>
            <w:pPr>
              <w:ind w:left="580"/>
              <w:spacing w:after="0"/>
              <w:rPr>
                <w:sz w:val="20"/>
                <w:szCs w:val="20"/>
                <w:color w:val="auto"/>
              </w:rPr>
            </w:pPr>
            <w:r>
              <w:rPr>
                <w:rFonts w:ascii="Arial" w:cs="Arial" w:eastAsia="Arial" w:hAnsi="Arial"/>
                <w:sz w:val="18"/>
                <w:szCs w:val="18"/>
                <w:color w:val="auto"/>
              </w:rPr>
              <w:t>As of September 30, 2013</w:t>
            </w: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20" w:type="dxa"/>
            <w:vAlign w:val="bottom"/>
          </w:tcPr>
          <w:p>
            <w:pPr>
              <w:spacing w:after="0"/>
              <w:rPr>
                <w:sz w:val="24"/>
                <w:szCs w:val="24"/>
                <w:color w:val="auto"/>
              </w:rPr>
            </w:pPr>
          </w:p>
        </w:tc>
        <w:tc>
          <w:tcPr>
            <w:tcW w:w="7980" w:type="dxa"/>
            <w:vAlign w:val="bottom"/>
            <w:gridSpan w:val="2"/>
            <w:vMerge w:val="restart"/>
          </w:tcPr>
          <w:p>
            <w:pPr>
              <w:jc w:val="center"/>
              <w:ind w:right="5380"/>
              <w:spacing w:after="0"/>
              <w:rPr>
                <w:sz w:val="20"/>
                <w:szCs w:val="20"/>
                <w:color w:val="auto"/>
              </w:rPr>
            </w:pPr>
            <w:r>
              <w:rPr>
                <w:rFonts w:ascii="Arial" w:cs="Arial" w:eastAsia="Arial" w:hAnsi="Arial"/>
                <w:sz w:val="14"/>
                <w:szCs w:val="14"/>
                <w:b w:val="1"/>
                <w:bCs w:val="1"/>
                <w:color w:val="auto"/>
                <w:w w:val="87"/>
              </w:rPr>
              <w:t>Title of Class</w:t>
            </w:r>
          </w:p>
        </w:tc>
        <w:tc>
          <w:tcPr>
            <w:tcW w:w="1820" w:type="dxa"/>
            <w:vAlign w:val="bottom"/>
            <w:gridSpan w:val="2"/>
          </w:tcPr>
          <w:p>
            <w:pPr>
              <w:ind w:left="260"/>
              <w:spacing w:after="0"/>
              <w:rPr>
                <w:sz w:val="20"/>
                <w:szCs w:val="20"/>
                <w:color w:val="auto"/>
              </w:rPr>
            </w:pPr>
            <w:r>
              <w:rPr>
                <w:rFonts w:ascii="Arial" w:cs="Arial" w:eastAsia="Arial" w:hAnsi="Arial"/>
                <w:sz w:val="14"/>
                <w:szCs w:val="14"/>
                <w:b w:val="1"/>
                <w:bCs w:val="1"/>
                <w:color w:val="auto"/>
                <w:w w:val="86"/>
              </w:rPr>
              <w:t>Number of Record Holders</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7980" w:type="dxa"/>
            <w:vAlign w:val="bottom"/>
            <w:gridSpan w:val="2"/>
            <w:vMerge w:val="continue"/>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20" w:type="dxa"/>
            <w:vAlign w:val="bottom"/>
            <w:tcBorders>
              <w:top w:val="single" w:sz="8" w:color="auto"/>
            </w:tcBorders>
          </w:tcPr>
          <w:p>
            <w:pPr>
              <w:spacing w:after="0"/>
              <w:rPr>
                <w:sz w:val="18"/>
                <w:szCs w:val="18"/>
                <w:color w:val="auto"/>
              </w:rPr>
            </w:pPr>
          </w:p>
        </w:tc>
        <w:tc>
          <w:tcPr>
            <w:tcW w:w="3300" w:type="dxa"/>
            <w:vAlign w:val="bottom"/>
            <w:tcBorders>
              <w:top w:val="single" w:sz="8" w:color="auto"/>
            </w:tcBorders>
          </w:tcPr>
          <w:p>
            <w:pPr>
              <w:jc w:val="center"/>
              <w:ind w:right="619"/>
              <w:spacing w:after="0"/>
              <w:rPr>
                <w:sz w:val="20"/>
                <w:szCs w:val="20"/>
                <w:color w:val="auto"/>
              </w:rPr>
            </w:pPr>
            <w:r>
              <w:rPr>
                <w:rFonts w:ascii="Arial" w:cs="Arial" w:eastAsia="Arial" w:hAnsi="Arial"/>
                <w:sz w:val="18"/>
                <w:szCs w:val="18"/>
                <w:color w:val="auto"/>
                <w:w w:val="88"/>
              </w:rPr>
              <w:t>Common Stock, $0.001 par value</w:t>
            </w:r>
          </w:p>
        </w:tc>
        <w:tc>
          <w:tcPr>
            <w:tcW w:w="4680" w:type="dxa"/>
            <w:vAlign w:val="bottom"/>
          </w:tcPr>
          <w:p>
            <w:pPr>
              <w:spacing w:after="0"/>
              <w:rPr>
                <w:sz w:val="18"/>
                <w:szCs w:val="18"/>
                <w:color w:val="auto"/>
              </w:rPr>
            </w:pPr>
          </w:p>
        </w:tc>
        <w:tc>
          <w:tcPr>
            <w:tcW w:w="1280" w:type="dxa"/>
            <w:vAlign w:val="bottom"/>
          </w:tcPr>
          <w:p>
            <w:pPr>
              <w:jc w:val="right"/>
              <w:ind w:right="482"/>
              <w:spacing w:after="0" w:line="202" w:lineRule="exact"/>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520"/>
          </w:cols>
          <w:pgMar w:left="240" w:top="460" w:right="11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information contained under the heading “Description of our Capital Stock —Limitation on Liability of Directors and Officers; Indemnification and Advance of Expenses” is incorporated herein by reference.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00"/>
          </w:cols>
          <w:pgMar w:left="240" w:top="459" w:right="3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5"/>
          <w:szCs w:val="15"/>
          <w:b w:val="1"/>
          <w:bCs w:val="1"/>
          <w:color w:val="auto"/>
        </w:rPr>
        <w:t>Business and other connections of Investment Adviser</w:t>
      </w:r>
    </w:p>
    <w:p>
      <w:pPr>
        <w:spacing w:after="0" w:line="177" w:lineRule="exact"/>
        <w:rPr>
          <w:sz w:val="20"/>
          <w:szCs w:val="20"/>
          <w:color w:val="auto"/>
        </w:rPr>
      </w:pPr>
    </w:p>
    <w:p>
      <w:pPr>
        <w:jc w:val="both"/>
        <w:ind w:firstLine="571"/>
        <w:spacing w:after="0" w:line="298" w:lineRule="auto"/>
        <w:rPr>
          <w:sz w:val="20"/>
          <w:szCs w:val="20"/>
          <w:color w:val="auto"/>
        </w:rPr>
      </w:pPr>
      <w:r>
        <w:rPr>
          <w:rFonts w:ascii="Arial" w:cs="Arial" w:eastAsia="Arial" w:hAnsi="Arial"/>
          <w:sz w:val="16"/>
          <w:szCs w:val="16"/>
          <w:color w:val="auto"/>
        </w:rPr>
        <w:t>Neither the Investment Adviser nor any officer, director or partner of the Investment Adviser has been substantially engaged in any business, profession, vocation or employment since the inception of the Investment Adviser other than as set forth under the headings “Management” and “Business—Our Investment Adviser and Administrator” which are hereby incorporated by reference. Additional information regarding the Adviser and its officers and directors is set forth in its Form ADV, as filed with the SEC (SEC File No. 801-67622), and is incorporated herein by reference.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360"/>
          </w:cols>
          <w:pgMar w:left="240" w:top="460" w:right="29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7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132" w:lineRule="exact"/>
        <w:rPr>
          <w:sz w:val="20"/>
          <w:szCs w:val="20"/>
          <w:color w:val="auto"/>
        </w:rPr>
      </w:pPr>
    </w:p>
    <w:p>
      <w:pPr>
        <w:ind w:left="820" w:hanging="241"/>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 PennantPark Investment Corporation, 590 Madison Avenue, 15th Floor, New York, NY 10022;</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Transfer Agent, American Stock Transfer &amp; Trust Company, LLC, 6201 15th Avenue, Brooklyn, NY 11219;</w:t>
      </w:r>
    </w:p>
    <w:p>
      <w:pPr>
        <w:spacing w:after="0" w:line="171" w:lineRule="exact"/>
        <w:rPr>
          <w:rFonts w:ascii="Arial" w:cs="Arial" w:eastAsia="Arial" w:hAnsi="Arial"/>
          <w:sz w:val="18"/>
          <w:szCs w:val="18"/>
          <w:color w:val="auto"/>
        </w:rPr>
      </w:pPr>
    </w:p>
    <w:p>
      <w:pPr>
        <w:ind w:left="820" w:hanging="241"/>
        <w:spacing w:after="0"/>
        <w:tabs>
          <w:tab w:leader="none" w:pos="8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Custodian, The Bank of New York Mellon, One Wall Street, New York, NY 10286; and</w:t>
      </w:r>
    </w:p>
    <w:p>
      <w:pPr>
        <w:spacing w:after="0" w:line="171" w:lineRule="exact"/>
        <w:rPr>
          <w:rFonts w:ascii="Arial" w:cs="Arial" w:eastAsia="Arial" w:hAnsi="Arial"/>
          <w:sz w:val="18"/>
          <w:szCs w:val="18"/>
          <w:color w:val="auto"/>
        </w:rPr>
      </w:pPr>
    </w:p>
    <w:p>
      <w:pPr>
        <w:ind w:left="5580" w:right="2360" w:hanging="5001"/>
        <w:spacing w:after="0" w:line="440" w:lineRule="auto"/>
        <w:tabs>
          <w:tab w:leader="none" w:pos="82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Adviser, PennantPark Investment Advisers, LLC, 590 Madison Avenue, 15th Floor, New York, NY 10022. C-8</w:t>
      </w:r>
    </w:p>
    <w:p>
      <w:pPr>
        <w:sectPr>
          <w:pgSz w:w="11900" w:h="16838" w:orient="portrait"/>
          <w:cols w:equalWidth="0" w:num="1">
            <w:col w:w="10960"/>
          </w:cols>
          <w:pgMar w:left="240" w:top="460" w:right="6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219"/>
          </w:cols>
          <w:pgMar w:left="240" w:top="459" w:right="1440"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5"/>
          <w:szCs w:val="15"/>
          <w:b w:val="1"/>
          <w:bCs w:val="1"/>
          <w:color w:val="auto"/>
        </w:rPr>
        <w:t>Undertakings</w:t>
      </w:r>
    </w:p>
    <w:p>
      <w:pPr>
        <w:spacing w:after="0" w:line="1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Registrant hereby undertakes:</w:t>
      </w:r>
    </w:p>
    <w:p>
      <w:pPr>
        <w:spacing w:after="0" w:line="171" w:lineRule="exact"/>
        <w:rPr>
          <w:sz w:val="20"/>
          <w:szCs w:val="20"/>
          <w:color w:val="auto"/>
        </w:rPr>
      </w:pPr>
    </w:p>
    <w:p>
      <w:pPr>
        <w:ind w:right="120" w:firstLine="579"/>
        <w:spacing w:after="0" w:line="259" w:lineRule="auto"/>
        <w:tabs>
          <w:tab w:leader="none" w:pos="81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suspend the offering of its units until it amends its prospectus if (a) subsequent to the effective date of its registration statement, the NAV declines more than 10 percent from its NAV as of the effective date of the Registration Statement or (b) the NAV increases to an amount greater than its net proceeds as stated in the prospectus;</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firstLine="579"/>
        <w:spacing w:after="0" w:line="294" w:lineRule="auto"/>
        <w:tabs>
          <w:tab w:leader="none" w:pos="81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the event that the securities being registered are to be offered to existing shareholders pursuant to warrants or rights, and any securities not taken by shareholders are to be reoffered to the public, to supplement the prospectus, after the expiration of the subscription period, to set forth the results of the subscription offer, the transactions by underwriters during the subscription period, the amount of unsubscribed securities to be purchased by underwriters, and the terms of any subsequent reoffering thereof; and further, if any public offering by the underwriters of the securities being registered is to be made on terms differing from those set forth on the cover page of the prospectus, to file a post-effective amendment to set forth the terms of such offering;</w:t>
      </w:r>
    </w:p>
    <w:p>
      <w:pPr>
        <w:spacing w:after="0" w:line="1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(4)(a) to file, during any period in which offers or sales are being made, a post-effective amendment to the registration statement:</w:t>
      </w:r>
    </w:p>
    <w:p>
      <w:pPr>
        <w:spacing w:after="0" w:line="90" w:lineRule="exact"/>
        <w:rPr>
          <w:sz w:val="20"/>
          <w:szCs w:val="20"/>
          <w:color w:val="auto"/>
        </w:rPr>
      </w:pPr>
    </w:p>
    <w:p>
      <w:pPr>
        <w:ind w:left="1000" w:hanging="207"/>
        <w:spacing w:after="0"/>
        <w:tabs>
          <w:tab w:leader="none" w:pos="10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360" w:right="240" w:firstLine="433"/>
        <w:spacing w:after="0" w:line="357" w:lineRule="auto"/>
        <w:tabs>
          <w:tab w:leader="none" w:pos="1061" w:val="left"/>
        </w:tabs>
        <w:numPr>
          <w:ilvl w:val="2"/>
          <w:numId w:val="110"/>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ind w:left="360" w:right="180" w:firstLine="433"/>
        <w:spacing w:after="0" w:line="268" w:lineRule="auto"/>
        <w:tabs>
          <w:tab w:leader="none" w:pos="111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31" w:lineRule="exact"/>
        <w:rPr>
          <w:rFonts w:ascii="Arial" w:cs="Arial" w:eastAsia="Arial" w:hAnsi="Arial"/>
          <w:sz w:val="18"/>
          <w:szCs w:val="18"/>
          <w:color w:val="auto"/>
        </w:rPr>
      </w:pPr>
    </w:p>
    <w:p>
      <w:pPr>
        <w:ind w:right="420" w:firstLine="579"/>
        <w:spacing w:after="0" w:line="268" w:lineRule="auto"/>
        <w:tabs>
          <w:tab w:leader="none" w:pos="81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file, in connection with any offering of securities, a post-effective amendment to the registration statement under Rule 462(d) to include as an exhibit a legal opinion regarding the valid issuance of any shares of common stock being sold;</w:t>
      </w:r>
    </w:p>
    <w:p>
      <w:pPr>
        <w:spacing w:after="0" w:line="50" w:lineRule="exact"/>
        <w:rPr>
          <w:rFonts w:ascii="Arial" w:cs="Arial" w:eastAsia="Arial" w:hAnsi="Arial"/>
          <w:sz w:val="18"/>
          <w:szCs w:val="18"/>
          <w:color w:val="auto"/>
        </w:rPr>
      </w:pPr>
    </w:p>
    <w:p>
      <w:pPr>
        <w:ind w:left="360" w:right="400" w:firstLine="410"/>
        <w:spacing w:after="0" w:line="259" w:lineRule="auto"/>
        <w:tabs>
          <w:tab w:leader="none" w:pos="101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59" w:lineRule="exact"/>
        <w:rPr>
          <w:rFonts w:ascii="Arial" w:cs="Arial" w:eastAsia="Arial" w:hAnsi="Arial"/>
          <w:sz w:val="18"/>
          <w:szCs w:val="18"/>
          <w:color w:val="auto"/>
        </w:rPr>
      </w:pPr>
    </w:p>
    <w:p>
      <w:pPr>
        <w:ind w:left="360" w:right="100" w:firstLine="410"/>
        <w:spacing w:after="0" w:line="268" w:lineRule="auto"/>
        <w:tabs>
          <w:tab w:leader="none" w:pos="1028"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360"/>
          </w:cols>
          <w:pgMar w:left="240" w:top="460" w:right="2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60" w:right="20" w:firstLine="410"/>
        <w:spacing w:after="0" w:line="290" w:lineRule="auto"/>
        <w:tabs>
          <w:tab w:leader="none" w:pos="101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to any purchaser, if the Registrant is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spacing w:after="0" w:line="37" w:lineRule="exact"/>
        <w:rPr>
          <w:rFonts w:ascii="Arial" w:cs="Arial" w:eastAsia="Arial" w:hAnsi="Arial"/>
          <w:sz w:val="16"/>
          <w:szCs w:val="16"/>
          <w:color w:val="auto"/>
        </w:rPr>
      </w:pPr>
    </w:p>
    <w:p>
      <w:pPr>
        <w:ind w:left="360" w:right="120" w:firstLine="410"/>
        <w:spacing w:after="0" w:line="323" w:lineRule="auto"/>
        <w:tabs>
          <w:tab w:leader="none" w:pos="999"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to any purchaser in the initial distribution of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the purchaser:</w:t>
      </w:r>
    </w:p>
    <w:p>
      <w:pPr>
        <w:spacing w:after="0" w:line="16" w:lineRule="exact"/>
        <w:rPr>
          <w:rFonts w:ascii="Arial" w:cs="Arial" w:eastAsia="Arial" w:hAnsi="Arial"/>
          <w:sz w:val="15"/>
          <w:szCs w:val="15"/>
          <w:color w:val="auto"/>
        </w:rPr>
      </w:pPr>
    </w:p>
    <w:p>
      <w:pPr>
        <w:ind w:left="360" w:right="160" w:firstLine="433"/>
        <w:spacing w:after="0" w:line="268" w:lineRule="auto"/>
        <w:tabs>
          <w:tab w:leader="none" w:pos="1012"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497 under the Securities Act;</w:t>
      </w:r>
    </w:p>
    <w:p>
      <w:pPr>
        <w:spacing w:after="0" w:line="50" w:lineRule="exact"/>
        <w:rPr>
          <w:rFonts w:ascii="Arial" w:cs="Arial" w:eastAsia="Arial" w:hAnsi="Arial"/>
          <w:sz w:val="18"/>
          <w:szCs w:val="18"/>
          <w:color w:val="auto"/>
        </w:rPr>
      </w:pPr>
    </w:p>
    <w:p>
      <w:pPr>
        <w:ind w:left="360" w:right="220" w:firstLine="433"/>
        <w:spacing w:after="0" w:line="268" w:lineRule="auto"/>
        <w:tabs>
          <w:tab w:leader="none" w:pos="1061"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100" w:hanging="307"/>
        <w:spacing w:after="0"/>
        <w:tabs>
          <w:tab w:leader="none" w:pos="110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360" w:right="60" w:firstLine="410"/>
        <w:spacing w:after="0" w:line="305" w:lineRule="auto"/>
        <w:tabs>
          <w:tab w:leader="none" w:pos="1028" w:val="left"/>
        </w:tabs>
        <w:numPr>
          <w:ilvl w:val="1"/>
          <w:numId w:val="112"/>
        </w:numPr>
        <w:rPr>
          <w:rFonts w:ascii="Arial" w:cs="Arial" w:eastAsia="Arial" w:hAnsi="Arial"/>
          <w:sz w:val="15"/>
          <w:szCs w:val="15"/>
          <w:color w:val="auto"/>
        </w:rPr>
      </w:pPr>
      <w:r>
        <w:rPr>
          <w:rFonts w:ascii="Arial" w:cs="Arial" w:eastAsia="Arial" w:hAnsi="Arial"/>
          <w:sz w:val="15"/>
          <w:szCs w:val="15"/>
          <w:color w:val="auto"/>
        </w:rPr>
        <w:t>to file a post-effective amendment to the registration statement, and to suspend any offers or sales pursuant the registration statement until such post-effective amendment has been declared effective under the Securities Act, in the event the shares of the Registrant are trading below its NAV and either</w:t>
      </w:r>
    </w:p>
    <w:p>
      <w:pPr>
        <w:ind w:left="360" w:right="140" w:hanging="10"/>
        <w:spacing w:after="0" w:line="254" w:lineRule="auto"/>
        <w:tabs>
          <w:tab w:leader="none" w:pos="59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Registrant receives, or has been advised by its independent registered accounting firm that it will receive, an audit report reflecting substantial doubt regarding the Registrant’s ability to continue as a going concern or (b) the Registrant has concluded that a material adverse change has occurred in its financial position or results of operations that has caused the financial statements and other disclosures on the basis of which the offering would be made to be materially misleading; and</w:t>
      </w:r>
    </w:p>
    <w:p>
      <w:pPr>
        <w:spacing w:after="0" w:line="14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(5)(a) that for the purposes of determining any liability under the Securities Act, the information omitted from the form of prospectus filed as part of a registration statement in reliance upon Rule 430A and contained in the form of prospectus filed by the Registrant under Rule 497(h) under the Securities Act shall be deemed to be part of the Registration Statement as of the time it was declared effective and</w:t>
      </w:r>
    </w:p>
    <w:p>
      <w:pPr>
        <w:spacing w:after="0" w:line="59" w:lineRule="exact"/>
        <w:rPr>
          <w:sz w:val="20"/>
          <w:szCs w:val="20"/>
          <w:color w:val="auto"/>
        </w:rPr>
      </w:pPr>
    </w:p>
    <w:p>
      <w:pPr>
        <w:ind w:left="360" w:right="20" w:firstLine="410"/>
        <w:spacing w:after="0" w:line="259" w:lineRule="auto"/>
        <w:tabs>
          <w:tab w:leader="none" w:pos="102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post-effective amendment that contains a form of prospectus shall be deemed to be a new registration statement relating to the securities offered therein, and the offering of the securities at that time shall be deemed to be the initial bona fide offering thereof.</w:t>
      </w:r>
    </w:p>
    <w:p>
      <w:pPr>
        <w:spacing w:after="0" w:line="140" w:lineRule="exact"/>
        <w:rPr>
          <w:rFonts w:ascii="Arial" w:cs="Arial" w:eastAsia="Arial" w:hAnsi="Arial"/>
          <w:sz w:val="18"/>
          <w:szCs w:val="18"/>
          <w:color w:val="auto"/>
        </w:rPr>
      </w:pPr>
    </w:p>
    <w:p>
      <w:pPr>
        <w:ind w:left="820" w:hanging="241"/>
        <w:spacing w:after="0"/>
        <w:tabs>
          <w:tab w:leader="none" w:pos="8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71" w:lineRule="exact"/>
        <w:rPr>
          <w:rFonts w:ascii="Arial" w:cs="Arial" w:eastAsia="Arial" w:hAnsi="Arial"/>
          <w:sz w:val="18"/>
          <w:szCs w:val="18"/>
          <w:color w:val="auto"/>
        </w:rPr>
      </w:pPr>
    </w:p>
    <w:p>
      <w:pPr>
        <w:ind w:right="60" w:firstLine="579"/>
        <w:spacing w:after="0" w:line="291" w:lineRule="auto"/>
        <w:tabs>
          <w:tab w:leader="none" w:pos="81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not seek to sell shares under a prospectus supplement to the registration statement, or a post-effective amendment to the registration statement, of which the prospectus forms a part (the “current registration statement”) if the cumulative dilution to the Registrant’s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If the Registrant files a new post-effective amendment, the threshold would reset.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571"/>
        <w:spacing w:after="0" w:line="33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State of New York, on the 11th day of December 2013.</w:t>
      </w:r>
    </w:p>
    <w:p>
      <w:pPr>
        <w:spacing w:after="0" w:line="121"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H. P</w:t>
            </w:r>
            <w:r>
              <w:rPr>
                <w:rFonts w:ascii="Arial" w:cs="Arial" w:eastAsia="Arial" w:hAnsi="Arial"/>
                <w:sz w:val="14"/>
                <w:szCs w:val="14"/>
                <w:color w:val="auto"/>
              </w:rPr>
              <w:t>ENN</w:t>
            </w:r>
          </w:p>
        </w:tc>
      </w:tr>
      <w:tr>
        <w:trPr>
          <w:trHeight w:val="171"/>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H. Penn</w:t>
            </w:r>
          </w:p>
        </w:tc>
      </w:tr>
      <w:tr>
        <w:trPr>
          <w:trHeight w:val="204"/>
        </w:trPr>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 and Chairman of the</w:t>
            </w:r>
          </w:p>
        </w:tc>
      </w:tr>
      <w:tr>
        <w:trPr>
          <w:trHeight w:val="174"/>
        </w:trPr>
        <w:tc>
          <w:tcPr>
            <w:tcW w:w="420" w:type="dxa"/>
            <w:vAlign w:val="bottom"/>
          </w:tcPr>
          <w:p>
            <w:pPr>
              <w:spacing w:after="0"/>
              <w:rPr>
                <w:sz w:val="15"/>
                <w:szCs w:val="15"/>
                <w:color w:val="auto"/>
              </w:rPr>
            </w:pP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8"/>
              </w:rPr>
              <w:t>Board</w:t>
            </w:r>
          </w:p>
        </w:tc>
      </w:tr>
    </w:tbl>
    <w:p>
      <w:pPr>
        <w:spacing w:after="0" w:line="154" w:lineRule="exact"/>
        <w:rPr>
          <w:sz w:val="20"/>
          <w:szCs w:val="20"/>
          <w:color w:val="auto"/>
        </w:rPr>
      </w:pPr>
    </w:p>
    <w:p>
      <w:pPr>
        <w:ind w:right="100" w:firstLine="571"/>
        <w:spacing w:after="0" w:line="253" w:lineRule="auto"/>
        <w:rPr>
          <w:sz w:val="20"/>
          <w:szCs w:val="20"/>
          <w:color w:val="auto"/>
        </w:rPr>
      </w:pPr>
      <w:r>
        <w:rPr>
          <w:rFonts w:ascii="Arial" w:cs="Arial" w:eastAsia="Arial" w:hAnsi="Arial"/>
          <w:sz w:val="18"/>
          <w:szCs w:val="18"/>
          <w:color w:val="auto"/>
        </w:rPr>
        <w:t>KNOW ALL MEN BY THESE PRESENT, each person whose signature appears below hereby constitutes and appoints Aviv Efrat his or her true and lawful attorney-in-fact and agent, with full power of substitution and resubstitution, for him or her and in his or her name, place and stead, in any and all capacities, to sign any and all amendments to this Registration Statement on Form N-2 and any registration statement filed pursuant to Rule 462(b) under the Securities Act, and to file the same, with the Securities and Exchange Commission, granting unto said attorney-in-fact and agent full power and authority to do and perform each and every act and thing requisite and necessary to be done in and about the premises, as fully and to all intents and purposes as he or she might or could do in person, hereby ratifying and confirming all that said attorney-in-fact and agent, or his substitutes, may lawfully do or cause to be done by virtue hereof.</w:t>
      </w:r>
    </w:p>
    <w:p>
      <w:pPr>
        <w:spacing w:after="0" w:line="147" w:lineRule="exact"/>
        <w:rPr>
          <w:sz w:val="20"/>
          <w:szCs w:val="20"/>
          <w:color w:val="auto"/>
        </w:rPr>
      </w:pPr>
    </w:p>
    <w:p>
      <w:pPr>
        <w:ind w:right="420" w:firstLine="57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N-2 has been signed by the following persons in the capacities set forth below on the 11th day of December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jc w:val="center"/>
              <w:ind w:right="1875"/>
              <w:spacing w:after="0"/>
              <w:rPr>
                <w:sz w:val="20"/>
                <w:szCs w:val="20"/>
                <w:color w:val="auto"/>
              </w:rPr>
            </w:pPr>
            <w:r>
              <w:rPr>
                <w:rFonts w:ascii="Arial" w:cs="Arial" w:eastAsia="Arial" w:hAnsi="Arial"/>
                <w:sz w:val="14"/>
                <w:szCs w:val="14"/>
                <w:b w:val="1"/>
                <w:bCs w:val="1"/>
                <w:color w:val="auto"/>
                <w:w w:val="89"/>
              </w:rPr>
              <w:t>Name</w:t>
            </w:r>
          </w:p>
        </w:tc>
        <w:tc>
          <w:tcPr>
            <w:tcW w:w="800" w:type="dxa"/>
            <w:vAlign w:val="bottom"/>
          </w:tcPr>
          <w:p>
            <w:pPr>
              <w:spacing w:after="0"/>
              <w:rPr>
                <w:sz w:val="15"/>
                <w:szCs w:val="15"/>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404"/>
        </w:trPr>
        <w:tc>
          <w:tcPr>
            <w:tcW w:w="1800" w:type="dxa"/>
            <w:vAlign w:val="bottom"/>
            <w:vMerge w:val="restart"/>
          </w:tcPr>
          <w:p>
            <w:pPr>
              <w:ind w:left="1560"/>
              <w:spacing w:after="0"/>
              <w:rPr>
                <w:sz w:val="20"/>
                <w:szCs w:val="20"/>
                <w:color w:val="auto"/>
              </w:rPr>
            </w:pPr>
            <w:r>
              <w:rPr>
                <w:rFonts w:ascii="Arial" w:cs="Arial" w:eastAsia="Arial" w:hAnsi="Arial"/>
                <w:sz w:val="18"/>
                <w:szCs w:val="18"/>
                <w:color w:val="auto"/>
                <w:w w:val="99"/>
              </w:rPr>
              <w:t>/S/</w:t>
            </w:r>
          </w:p>
        </w:tc>
        <w:tc>
          <w:tcPr>
            <w:tcW w:w="3460" w:type="dxa"/>
            <w:vAlign w:val="bottom"/>
            <w:gridSpan w:val="2"/>
            <w:vMerge w:val="restart"/>
          </w:tcPr>
          <w:p>
            <w:pPr>
              <w:jc w:val="center"/>
              <w:ind w:right="1695"/>
              <w:spacing w:after="0"/>
              <w:rPr>
                <w:sz w:val="20"/>
                <w:szCs w:val="20"/>
                <w:color w:val="auto"/>
              </w:rPr>
            </w:pPr>
            <w:r>
              <w:rPr>
                <w:rFonts w:ascii="Arial" w:cs="Arial" w:eastAsia="Arial" w:hAnsi="Arial"/>
                <w:sz w:val="18"/>
                <w:szCs w:val="18"/>
                <w:color w:val="auto"/>
                <w:w w:val="94"/>
              </w:rPr>
              <w:t>ARTHUR H. PENN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Chairman of the Board of Directors and Chief Executive Officer (Principal</w:t>
            </w:r>
          </w:p>
        </w:tc>
        <w:tc>
          <w:tcPr>
            <w:tcW w:w="0" w:type="dxa"/>
            <w:vAlign w:val="bottom"/>
          </w:tcPr>
          <w:p>
            <w:pPr>
              <w:spacing w:after="0"/>
              <w:rPr>
                <w:sz w:val="1"/>
                <w:szCs w:val="1"/>
                <w:color w:val="auto"/>
              </w:rPr>
            </w:pPr>
          </w:p>
        </w:tc>
      </w:tr>
      <w:tr>
        <w:trPr>
          <w:trHeight w:val="92"/>
        </w:trPr>
        <w:tc>
          <w:tcPr>
            <w:tcW w:w="1800" w:type="dxa"/>
            <w:vAlign w:val="bottom"/>
            <w:tcBorders>
              <w:bottom w:val="single" w:sz="8" w:color="auto"/>
            </w:tcBorders>
            <w:vMerge w:val="continue"/>
          </w:tcPr>
          <w:p>
            <w:pPr>
              <w:spacing w:after="0"/>
              <w:rPr>
                <w:sz w:val="7"/>
                <w:szCs w:val="7"/>
                <w:color w:val="auto"/>
              </w:rPr>
            </w:pPr>
          </w:p>
        </w:tc>
        <w:tc>
          <w:tcPr>
            <w:tcW w:w="3460" w:type="dxa"/>
            <w:vAlign w:val="bottom"/>
            <w:tcBorders>
              <w:bottom w:val="single" w:sz="8" w:color="auto"/>
            </w:tcBorders>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5360" w:type="dxa"/>
            <w:vAlign w:val="bottom"/>
            <w:vMerge w:val="restart"/>
          </w:tcPr>
          <w:p>
            <w:pPr>
              <w:jc w:val="center"/>
              <w:spacing w:after="0"/>
              <w:rPr>
                <w:sz w:val="20"/>
                <w:szCs w:val="20"/>
                <w:color w:val="auto"/>
              </w:rPr>
            </w:pPr>
            <w:r>
              <w:rPr>
                <w:rFonts w:ascii="Arial" w:cs="Arial" w:eastAsia="Arial" w:hAnsi="Arial"/>
                <w:sz w:val="18"/>
                <w:szCs w:val="18"/>
                <w:color w:val="auto"/>
                <w:w w:val="92"/>
              </w:rPr>
              <w:t>Executive Officer)</w:t>
            </w:r>
          </w:p>
        </w:tc>
        <w:tc>
          <w:tcPr>
            <w:tcW w:w="0" w:type="dxa"/>
            <w:vAlign w:val="bottom"/>
          </w:tcPr>
          <w:p>
            <w:pPr>
              <w:spacing w:after="0"/>
              <w:rPr>
                <w:sz w:val="1"/>
                <w:szCs w:val="1"/>
                <w:color w:val="auto"/>
              </w:rPr>
            </w:pPr>
          </w:p>
        </w:tc>
      </w:tr>
      <w:tr>
        <w:trPr>
          <w:trHeight w:val="115"/>
        </w:trPr>
        <w:tc>
          <w:tcPr>
            <w:tcW w:w="1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300" w:type="dxa"/>
            <w:vAlign w:val="bottom"/>
            <w:vMerge w:val="restart"/>
          </w:tcPr>
          <w:p>
            <w:pPr>
              <w:jc w:val="center"/>
              <w:ind w:right="1875"/>
              <w:spacing w:after="0"/>
              <w:rPr>
                <w:sz w:val="20"/>
                <w:szCs w:val="20"/>
                <w:color w:val="auto"/>
              </w:rPr>
            </w:pPr>
            <w:r>
              <w:rPr>
                <w:rFonts w:ascii="Arial" w:cs="Arial" w:eastAsia="Arial" w:hAnsi="Arial"/>
                <w:sz w:val="18"/>
                <w:szCs w:val="18"/>
                <w:b w:val="1"/>
                <w:bCs w:val="1"/>
                <w:color w:val="auto"/>
                <w:w w:val="92"/>
              </w:rPr>
              <w:t>Arthur H. Penn</w:t>
            </w:r>
          </w:p>
        </w:tc>
        <w:tc>
          <w:tcPr>
            <w:tcW w:w="800" w:type="dxa"/>
            <w:vAlign w:val="bottom"/>
          </w:tcPr>
          <w:p>
            <w:pPr>
              <w:spacing w:after="0"/>
              <w:rPr>
                <w:sz w:val="10"/>
                <w:szCs w:val="10"/>
                <w:color w:val="auto"/>
              </w:rPr>
            </w:pPr>
          </w:p>
        </w:tc>
        <w:tc>
          <w:tcPr>
            <w:tcW w:w="5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1"/>
        </w:trPr>
        <w:tc>
          <w:tcPr>
            <w:tcW w:w="18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  AVIV EFRAT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0"/>
              </w:rPr>
              <w:t>Chief Financial Officer and Treasurer (Principal Financial and Accounting</w:t>
            </w:r>
          </w:p>
        </w:tc>
        <w:tc>
          <w:tcPr>
            <w:tcW w:w="0" w:type="dxa"/>
            <w:vAlign w:val="bottom"/>
          </w:tcPr>
          <w:p>
            <w:pPr>
              <w:spacing w:after="0"/>
              <w:rPr>
                <w:sz w:val="1"/>
                <w:szCs w:val="1"/>
                <w:color w:val="auto"/>
              </w:rPr>
            </w:pPr>
          </w:p>
        </w:tc>
      </w:tr>
      <w:tr>
        <w:trPr>
          <w:trHeight w:val="224"/>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jc w:val="center"/>
              <w:ind w:right="1875"/>
              <w:spacing w:after="0"/>
              <w:rPr>
                <w:sz w:val="20"/>
                <w:szCs w:val="20"/>
                <w:color w:val="auto"/>
              </w:rPr>
            </w:pPr>
            <w:r>
              <w:rPr>
                <w:rFonts w:ascii="Arial" w:cs="Arial" w:eastAsia="Arial" w:hAnsi="Arial"/>
                <w:sz w:val="18"/>
                <w:szCs w:val="18"/>
                <w:b w:val="1"/>
                <w:bCs w:val="1"/>
                <w:color w:val="auto"/>
                <w:w w:val="92"/>
              </w:rPr>
              <w:t>Aviv Efrat</w:t>
            </w:r>
          </w:p>
        </w:tc>
        <w:tc>
          <w:tcPr>
            <w:tcW w:w="800" w:type="dxa"/>
            <w:vAlign w:val="bottom"/>
          </w:tcPr>
          <w:p>
            <w:pPr>
              <w:spacing w:after="0"/>
              <w:rPr>
                <w:sz w:val="19"/>
                <w:szCs w:val="19"/>
                <w:color w:val="auto"/>
              </w:rPr>
            </w:pPr>
          </w:p>
        </w:tc>
        <w:tc>
          <w:tcPr>
            <w:tcW w:w="5360" w:type="dxa"/>
            <w:vAlign w:val="bottom"/>
          </w:tcPr>
          <w:p>
            <w:pPr>
              <w:jc w:val="center"/>
              <w:spacing w:after="0" w:line="202" w:lineRule="exact"/>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432"/>
        </w:trPr>
        <w:tc>
          <w:tcPr>
            <w:tcW w:w="180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2"/>
          </w:tcPr>
          <w:p>
            <w:pPr>
              <w:jc w:val="center"/>
              <w:ind w:right="1535"/>
              <w:spacing w:after="0"/>
              <w:rPr>
                <w:sz w:val="20"/>
                <w:szCs w:val="20"/>
                <w:color w:val="auto"/>
              </w:rPr>
            </w:pPr>
            <w:r>
              <w:rPr>
                <w:rFonts w:ascii="Arial" w:cs="Arial" w:eastAsia="Arial" w:hAnsi="Arial"/>
                <w:sz w:val="18"/>
                <w:szCs w:val="18"/>
                <w:color w:val="auto"/>
                <w:w w:val="96"/>
              </w:rPr>
              <w:t>ADAM K. BERNSTEIN</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3460" w:type="dxa"/>
            <w:vAlign w:val="bottom"/>
            <w:gridSpan w:val="2"/>
          </w:tcPr>
          <w:p>
            <w:pPr>
              <w:jc w:val="center"/>
              <w:ind w:right="1695"/>
              <w:spacing w:after="0"/>
              <w:rPr>
                <w:sz w:val="20"/>
                <w:szCs w:val="20"/>
                <w:color w:val="auto"/>
              </w:rPr>
            </w:pPr>
            <w:r>
              <w:rPr>
                <w:rFonts w:ascii="Arial" w:cs="Arial" w:eastAsia="Arial" w:hAnsi="Arial"/>
                <w:sz w:val="18"/>
                <w:szCs w:val="18"/>
                <w:b w:val="1"/>
                <w:bCs w:val="1"/>
                <w:color w:val="auto"/>
                <w:w w:val="89"/>
              </w:rPr>
              <w:t>Adam K. Bernstein</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60" w:type="dxa"/>
            <w:vAlign w:val="bottom"/>
            <w:tcBorders>
              <w:bottom w:val="single" w:sz="8" w:color="auto"/>
            </w:tcBorders>
            <w:gridSpan w:val="2"/>
          </w:tcPr>
          <w:p>
            <w:pPr>
              <w:ind w:left="1740"/>
              <w:spacing w:after="0"/>
              <w:rPr>
                <w:sz w:val="20"/>
                <w:szCs w:val="20"/>
                <w:color w:val="auto"/>
              </w:rPr>
            </w:pPr>
            <w:r>
              <w:rPr>
                <w:rFonts w:ascii="Arial" w:cs="Arial" w:eastAsia="Arial" w:hAnsi="Arial"/>
                <w:sz w:val="18"/>
                <w:szCs w:val="18"/>
                <w:color w:val="auto"/>
                <w:w w:val="90"/>
              </w:rPr>
              <w:t>/S/</w:t>
            </w:r>
          </w:p>
        </w:tc>
        <w:tc>
          <w:tcPr>
            <w:tcW w:w="3300" w:type="dxa"/>
            <w:vAlign w:val="bottom"/>
            <w:tcBorders>
              <w:bottom w:val="single" w:sz="8" w:color="auto"/>
            </w:tcBorders>
          </w:tcPr>
          <w:p>
            <w:pPr>
              <w:jc w:val="center"/>
              <w:ind w:right="1675"/>
              <w:spacing w:after="0"/>
              <w:rPr>
                <w:sz w:val="20"/>
                <w:szCs w:val="20"/>
                <w:color w:val="auto"/>
              </w:rPr>
            </w:pPr>
            <w:r>
              <w:rPr>
                <w:rFonts w:ascii="Arial" w:cs="Arial" w:eastAsia="Arial" w:hAnsi="Arial"/>
                <w:sz w:val="18"/>
                <w:szCs w:val="18"/>
                <w:color w:val="auto"/>
                <w:w w:val="91"/>
              </w:rPr>
              <w:t>JEFFREY FLUG</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jc w:val="center"/>
              <w:ind w:right="1875"/>
              <w:spacing w:after="0"/>
              <w:rPr>
                <w:sz w:val="20"/>
                <w:szCs w:val="20"/>
                <w:color w:val="auto"/>
              </w:rPr>
            </w:pPr>
            <w:r>
              <w:rPr>
                <w:rFonts w:ascii="Arial" w:cs="Arial" w:eastAsia="Arial" w:hAnsi="Arial"/>
                <w:sz w:val="18"/>
                <w:szCs w:val="18"/>
                <w:b w:val="1"/>
                <w:bCs w:val="1"/>
                <w:color w:val="auto"/>
                <w:w w:val="88"/>
              </w:rPr>
              <w:t>Jeffrey Flug</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80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460" w:type="dxa"/>
            <w:vAlign w:val="bottom"/>
            <w:tcBorders>
              <w:bottom w:val="single" w:sz="8" w:color="auto"/>
            </w:tcBorders>
            <w:gridSpan w:val="2"/>
          </w:tcPr>
          <w:p>
            <w:pPr>
              <w:jc w:val="center"/>
              <w:ind w:right="1515"/>
              <w:spacing w:after="0"/>
              <w:rPr>
                <w:sz w:val="20"/>
                <w:szCs w:val="20"/>
                <w:color w:val="auto"/>
              </w:rPr>
            </w:pPr>
            <w:r>
              <w:rPr>
                <w:rFonts w:ascii="Arial" w:cs="Arial" w:eastAsia="Arial" w:hAnsi="Arial"/>
                <w:sz w:val="18"/>
                <w:szCs w:val="18"/>
                <w:color w:val="auto"/>
                <w:w w:val="96"/>
              </w:rPr>
              <w:t>MARSHALL BROZOST</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jc w:val="center"/>
              <w:ind w:right="1875"/>
              <w:spacing w:after="0"/>
              <w:rPr>
                <w:sz w:val="20"/>
                <w:szCs w:val="20"/>
                <w:color w:val="auto"/>
              </w:rPr>
            </w:pPr>
            <w:r>
              <w:rPr>
                <w:rFonts w:ascii="Arial" w:cs="Arial" w:eastAsia="Arial" w:hAnsi="Arial"/>
                <w:sz w:val="18"/>
                <w:szCs w:val="18"/>
                <w:b w:val="1"/>
                <w:bCs w:val="1"/>
                <w:color w:val="auto"/>
                <w:w w:val="89"/>
              </w:rPr>
              <w:t>Marshall Brozost</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960" w:type="dxa"/>
            <w:vAlign w:val="bottom"/>
            <w:tcBorders>
              <w:bottom w:val="single" w:sz="8" w:color="auto"/>
            </w:tcBorders>
            <w:gridSpan w:val="2"/>
          </w:tcPr>
          <w:p>
            <w:pPr>
              <w:ind w:left="1660"/>
              <w:spacing w:after="0"/>
              <w:rPr>
                <w:sz w:val="20"/>
                <w:szCs w:val="20"/>
                <w:color w:val="auto"/>
              </w:rPr>
            </w:pPr>
            <w:r>
              <w:rPr>
                <w:rFonts w:ascii="Arial" w:cs="Arial" w:eastAsia="Arial" w:hAnsi="Arial"/>
                <w:sz w:val="18"/>
                <w:szCs w:val="18"/>
                <w:color w:val="auto"/>
              </w:rPr>
              <w:t>/S/</w:t>
            </w:r>
          </w:p>
        </w:tc>
        <w:tc>
          <w:tcPr>
            <w:tcW w:w="3300" w:type="dxa"/>
            <w:vAlign w:val="bottom"/>
            <w:tcBorders>
              <w:bottom w:val="single" w:sz="8" w:color="auto"/>
            </w:tcBorders>
          </w:tcPr>
          <w:p>
            <w:pPr>
              <w:jc w:val="center"/>
              <w:ind w:right="1675"/>
              <w:spacing w:after="0"/>
              <w:rPr>
                <w:sz w:val="20"/>
                <w:szCs w:val="20"/>
                <w:color w:val="auto"/>
              </w:rPr>
            </w:pPr>
            <w:r>
              <w:rPr>
                <w:rFonts w:ascii="Arial" w:cs="Arial" w:eastAsia="Arial" w:hAnsi="Arial"/>
                <w:sz w:val="18"/>
                <w:szCs w:val="18"/>
                <w:color w:val="auto"/>
                <w:w w:val="97"/>
              </w:rPr>
              <w:t>SAMUEL L. KATZ</w:t>
            </w: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tcPr>
          <w:p>
            <w:pPr>
              <w:jc w:val="center"/>
              <w:ind w:right="1855"/>
              <w:spacing w:after="0"/>
              <w:rPr>
                <w:sz w:val="20"/>
                <w:szCs w:val="20"/>
                <w:color w:val="auto"/>
              </w:rPr>
            </w:pPr>
            <w:r>
              <w:rPr>
                <w:rFonts w:ascii="Arial" w:cs="Arial" w:eastAsia="Arial" w:hAnsi="Arial"/>
                <w:sz w:val="18"/>
                <w:szCs w:val="18"/>
                <w:b w:val="1"/>
                <w:bCs w:val="1"/>
                <w:color w:val="auto"/>
                <w:w w:val="90"/>
              </w:rPr>
              <w:t>Samuel L. Katz</w:t>
            </w:r>
          </w:p>
        </w:tc>
        <w:tc>
          <w:tcPr>
            <w:tcW w:w="80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160" w:type="dxa"/>
            <w:vAlign w:val="bottom"/>
            <w:gridSpan w:val="2"/>
          </w:tcPr>
          <w:p>
            <w:pPr>
              <w:ind w:left="280"/>
              <w:spacing w:after="0"/>
              <w:rPr>
                <w:sz w:val="20"/>
                <w:szCs w:val="20"/>
                <w:color w:val="auto"/>
              </w:rPr>
            </w:pPr>
            <w:r>
              <w:rPr>
                <w:rFonts w:ascii="Arial" w:cs="Arial" w:eastAsia="Arial" w:hAnsi="Arial"/>
                <w:sz w:val="18"/>
                <w:szCs w:val="18"/>
                <w:color w:val="auto"/>
              </w:rPr>
              <w:t>C-12</w:t>
            </w: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598170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5874385" cy="3943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8743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have served as Maryland counsel to PennantPark Investment Corporation, a Maryland corporation (the “Company”) and a business development company under the Investment Company Act of 1940, as amended (the “1940 Act”), in connection with certain matters of Maryland law arising out of the registration of the offering by the Company of up to $1,000,000,000 aggregate initial offering price of the following securities of the Company (collectively, the “Securities”): (a) shares (the “Common Shares”) of common stock, $.001 par value per share (the “Common Stock”); (b) shares (the “Preferred Shares”) of preferred stock, $.001 par value per share (the “Preferred Stock”); (c) warrants (the “Warrants”) to purchase Common Stock, Preferred Stock or Debt Securities (as defined below); (d) subscription rights (the “Subscription Rights”) to purchase Common Stock; (e) debt securities (the “Debt Securities”); and (f) units (the “Units”) consisting of one or more of the foregoing Securities or of securities issued by the U.S. Treasury, covered by the above-referenced Registration Statement, and all amendments thereto (the “Registration Statement”), filed by the Company with the Securities and Exchange Commission (the “Commission”) under the Securities Act of 1933, as amended (the “1933 Act”), on or about the date hereof.</w:t>
      </w:r>
    </w:p>
    <w:p>
      <w:pPr>
        <w:spacing w:after="0" w:line="12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Registration Statement and the related form of prospectus included therein, in the form transmitted to the Commission for filing pursuant to the 1933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165" w:lineRule="exact"/>
        <w:rPr>
          <w:sz w:val="20"/>
          <w:szCs w:val="20"/>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charter of the Company (the “Charter”), certified by the State Department of Assessments and Taxation of Maryland (the “SDAT”);</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Amended and Restated Bylaws of the Company (the “Bylaws”), certified as of the date hereof by an officer of the Company;</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420"/>
          </w:cols>
          <w:pgMar w:left="240" w:top="125"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638175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3943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94335"/>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51" w:lineRule="exact"/>
        <w:rPr>
          <w:sz w:val="20"/>
          <w:szCs w:val="20"/>
          <w:color w:val="auto"/>
        </w:rPr>
      </w:pPr>
    </w:p>
    <w:p>
      <w:pPr>
        <w:ind w:firstLine="464"/>
        <w:spacing w:after="0" w:line="268"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Resolutions (the “Resolutions”) adopted by the Board of Directors (the “Board of Directors”) of the Company relating to the registration and issuance of the Securities, certified as of the date hereof by an officer of the Company;</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171" w:lineRule="exact"/>
        <w:rPr>
          <w:rFonts w:ascii="Arial" w:cs="Arial" w:eastAsia="Arial" w:hAnsi="Arial"/>
          <w:sz w:val="18"/>
          <w:szCs w:val="18"/>
          <w:color w:val="auto"/>
        </w:rPr>
      </w:pPr>
    </w:p>
    <w:p>
      <w:pPr>
        <w:ind w:right="480" w:firstLine="464"/>
        <w:spacing w:after="0" w:line="268" w:lineRule="auto"/>
        <w:tabs>
          <w:tab w:leader="none" w:pos="63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171" w:lineRule="exact"/>
        <w:rPr>
          <w:sz w:val="20"/>
          <w:szCs w:val="20"/>
          <w:color w:val="auto"/>
        </w:rPr>
      </w:pPr>
    </w:p>
    <w:p>
      <w:pPr>
        <w:ind w:left="640" w:hanging="176"/>
        <w:spacing w:after="0"/>
        <w:tabs>
          <w:tab w:leader="none" w:pos="6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individual executing any of the Documents, whether on behalf of such individual or any other person, is legally competent to do so.</w:t>
      </w:r>
    </w:p>
    <w:p>
      <w:pPr>
        <w:spacing w:after="0" w:line="194" w:lineRule="exact"/>
        <w:rPr>
          <w:rFonts w:ascii="Arial" w:cs="Arial" w:eastAsia="Arial" w:hAnsi="Arial"/>
          <w:sz w:val="16"/>
          <w:szCs w:val="16"/>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individual executing any of the Documents on behalf of a party (other than the Company) is duly authorized to do so.</w:t>
      </w:r>
    </w:p>
    <w:p>
      <w:pPr>
        <w:spacing w:after="0" w:line="171" w:lineRule="exact"/>
        <w:rPr>
          <w:rFonts w:ascii="Arial" w:cs="Arial" w:eastAsia="Arial" w:hAnsi="Arial"/>
          <w:sz w:val="18"/>
          <w:szCs w:val="18"/>
          <w:color w:val="auto"/>
        </w:rPr>
      </w:pPr>
    </w:p>
    <w:p>
      <w:pPr>
        <w:ind w:right="80" w:firstLine="464"/>
        <w:spacing w:after="0" w:line="370" w:lineRule="auto"/>
        <w:tabs>
          <w:tab w:leader="none" w:pos="632" w:val="left"/>
        </w:tabs>
        <w:numPr>
          <w:ilvl w:val="0"/>
          <w:numId w:val="118"/>
        </w:numPr>
        <w:rPr>
          <w:rFonts w:ascii="Arial" w:cs="Arial" w:eastAsia="Arial" w:hAnsi="Arial"/>
          <w:sz w:val="15"/>
          <w:szCs w:val="15"/>
          <w:color w:val="auto"/>
        </w:rPr>
      </w:pPr>
      <w:r>
        <w:rPr>
          <w:rFonts w:ascii="Arial" w:cs="Arial" w:eastAsia="Arial" w:hAnsi="Arial"/>
          <w:sz w:val="15"/>
          <w:szCs w:val="15"/>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62" w:lineRule="exact"/>
        <w:rPr>
          <w:rFonts w:ascii="Arial" w:cs="Arial" w:eastAsia="Arial" w:hAnsi="Arial"/>
          <w:sz w:val="15"/>
          <w:szCs w:val="15"/>
          <w:color w:val="auto"/>
        </w:rPr>
      </w:pPr>
    </w:p>
    <w:p>
      <w:pPr>
        <w:ind w:right="120" w:firstLine="464"/>
        <w:spacing w:after="0" w:line="254" w:lineRule="auto"/>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4" w:lineRule="exact"/>
        <w:rPr>
          <w:rFonts w:ascii="Arial" w:cs="Arial" w:eastAsia="Arial" w:hAnsi="Arial"/>
          <w:sz w:val="18"/>
          <w:szCs w:val="18"/>
          <w:color w:val="auto"/>
        </w:rPr>
      </w:pPr>
    </w:p>
    <w:p>
      <w:pPr>
        <w:ind w:right="80" w:firstLine="464"/>
        <w:spacing w:after="0" w:line="259" w:lineRule="auto"/>
        <w:tabs>
          <w:tab w:leader="none" w:pos="63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of, and certain terms of, the Securities to be issued by the Company from time to time will be authorized and approved by the Board of Directors, or a duly authorized committee thereof, in accordance with the Maryland General Corporation Law, the Charter, the Bylaws and the Resolutions prior to the issuance of such Securities (such approval referred to herein as the “Corporate Proceedings”).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Upon the issuance of any Securities that are Common Shares, including</w:t>
      </w:r>
    </w:p>
    <w:p>
      <w:pPr>
        <w:sectPr>
          <w:pgSz w:w="11900" w:h="16838" w:orient="portrait"/>
          <w:cols w:equalWidth="0" w:num="1">
            <w:col w:w="11360"/>
          </w:cols>
          <w:pgMar w:left="240" w:top="1036" w:right="2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3943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94335"/>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Shares that may be issued upon the conversion or exercise of any other Securities convertible into or exercisable into Common Shares, the total number of shares of Common Stock issued and outstanding will not exceed the total number of shares of Common Stock that the Company is then authorized to issue under the Charter.</w:t>
      </w:r>
    </w:p>
    <w:p>
      <w:pPr>
        <w:spacing w:after="0" w:line="140" w:lineRule="exact"/>
        <w:rPr>
          <w:sz w:val="20"/>
          <w:szCs w:val="20"/>
          <w:color w:val="auto"/>
        </w:rPr>
      </w:pPr>
    </w:p>
    <w:p>
      <w:pPr>
        <w:ind w:right="340" w:firstLine="464"/>
        <w:spacing w:after="0" w:line="268" w:lineRule="auto"/>
        <w:tabs>
          <w:tab w:leader="none" w:pos="63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Articles Supplementary classifying and designating the number of shares and the terms of any class or series of Preferred Shares to be issued by the Company will be filed with and accepted for record by the SDAT prior to the issuance of such Preferred Shares.</w:t>
      </w:r>
    </w:p>
    <w:p>
      <w:pPr>
        <w:spacing w:after="0" w:line="131" w:lineRule="exact"/>
        <w:rPr>
          <w:rFonts w:ascii="Arial" w:cs="Arial" w:eastAsia="Arial" w:hAnsi="Arial"/>
          <w:sz w:val="18"/>
          <w:szCs w:val="18"/>
          <w:color w:val="auto"/>
        </w:rPr>
      </w:pPr>
    </w:p>
    <w:p>
      <w:pPr>
        <w:ind w:right="20" w:firstLine="464"/>
        <w:spacing w:after="0" w:line="298" w:lineRule="auto"/>
        <w:tabs>
          <w:tab w:leader="none" w:pos="632" w:val="left"/>
        </w:tabs>
        <w:numPr>
          <w:ilvl w:val="0"/>
          <w:numId w:val="119"/>
        </w:numPr>
        <w:rPr>
          <w:rFonts w:ascii="Arial" w:cs="Arial" w:eastAsia="Arial" w:hAnsi="Arial"/>
          <w:sz w:val="16"/>
          <w:szCs w:val="16"/>
          <w:color w:val="auto"/>
        </w:rPr>
      </w:pPr>
      <w:r>
        <w:rPr>
          <w:rFonts w:ascii="Arial" w:cs="Arial" w:eastAsia="Arial" w:hAnsi="Arial"/>
          <w:sz w:val="16"/>
          <w:szCs w:val="16"/>
          <w:color w:val="auto"/>
        </w:rPr>
        <w:t>Upon the issuance of any Securities that are Preferred Shares, including Preferred Shares which may be issued upon the conversion or exercise of any other Securities convertible into or exercisable for Preferred Shares, the total number of shares of Preferred Stock issued and outstanding, and the total number of issued and outstanding shares of the applicable class or series of Preferred Stock designated pursuant to the Charter, will not exceed the total number of shares of Preferred Stock or the number of shares of such class or series of Preferred Stock that the Company is then authorized to issue under the Charter.</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171" w:lineRule="exact"/>
        <w:rPr>
          <w:sz w:val="20"/>
          <w:szCs w:val="20"/>
          <w:color w:val="auto"/>
        </w:rPr>
      </w:pPr>
    </w:p>
    <w:p>
      <w:pPr>
        <w:ind w:left="640" w:hanging="176"/>
        <w:spacing w:after="0"/>
        <w:tabs>
          <w:tab w:leader="none" w:pos="6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Company is a corporation duly incorporated and existing under and by virtue of the laws of the State of Maryland and is in good standing with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SDAT.</w:t>
      </w:r>
    </w:p>
    <w:p>
      <w:pPr>
        <w:spacing w:after="0" w:line="164" w:lineRule="exact"/>
        <w:rPr>
          <w:rFonts w:ascii="Arial" w:cs="Arial" w:eastAsia="Arial" w:hAnsi="Arial"/>
          <w:sz w:val="16"/>
          <w:szCs w:val="16"/>
          <w:color w:val="auto"/>
        </w:rPr>
      </w:pPr>
    </w:p>
    <w:p>
      <w:pPr>
        <w:jc w:val="both"/>
        <w:ind w:right="300" w:firstLine="464"/>
        <w:spacing w:after="0" w:line="259"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Common Shares, the issuance of the Common Shares will be duly authorized and, when and if issued and delivered against payment therefor in accordance with the Registration Statement, the Resolutions and the Corporate Proceedings, the Common Shares will be validly issued, fully paid and nonassessable.</w:t>
      </w:r>
    </w:p>
    <w:p>
      <w:pPr>
        <w:spacing w:after="0" w:line="140" w:lineRule="exact"/>
        <w:rPr>
          <w:rFonts w:ascii="Arial" w:cs="Arial" w:eastAsia="Arial" w:hAnsi="Arial"/>
          <w:sz w:val="18"/>
          <w:szCs w:val="18"/>
          <w:color w:val="auto"/>
        </w:rPr>
      </w:pPr>
    </w:p>
    <w:p>
      <w:pPr>
        <w:jc w:val="both"/>
        <w:ind w:right="300" w:firstLine="464"/>
        <w:spacing w:after="0" w:line="259"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Preferred Shares, the issuance of the Preferred Shares will be duly authorized and, when and if issued and delivered against payment therefor in accordance with the Registration Statement, the Resolutions and the Corporate Proceedings, the Preferred Shares will be validly issued, fully paid and nonassessable.</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completion of all Corporate Proceedings relating to the Warrants, the issuance of the Warrants will be duly authorized.</w:t>
      </w:r>
    </w:p>
    <w:p>
      <w:pPr>
        <w:spacing w:after="0" w:line="171" w:lineRule="exact"/>
        <w:rPr>
          <w:rFonts w:ascii="Arial" w:cs="Arial" w:eastAsia="Arial" w:hAnsi="Arial"/>
          <w:sz w:val="18"/>
          <w:szCs w:val="18"/>
          <w:color w:val="auto"/>
        </w:rPr>
      </w:pPr>
    </w:p>
    <w:p>
      <w:pPr>
        <w:ind w:right="760" w:firstLine="464"/>
        <w:spacing w:after="0" w:line="268" w:lineRule="auto"/>
        <w:tabs>
          <w:tab w:leader="none" w:pos="63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Upon the completion of all the Corporate Proceedings relating to the Subscription Rights, the issuance of the Subscription Rights will be duly authorized.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Upon the completion of all Corporate Proceedings relating to the Debt Securities, the issuance of the Debt Securities will be duly authorized.</w:t>
      </w:r>
    </w:p>
    <w:p>
      <w:pPr>
        <w:sectPr>
          <w:pgSz w:w="11900" w:h="16838" w:orient="portrait"/>
          <w:cols w:equalWidth="0" w:num="1">
            <w:col w:w="11360"/>
          </w:cols>
          <w:pgMar w:left="240" w:top="1036" w:right="2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0460" cy="3943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140460" cy="394335"/>
                    </a:xfrm>
                    <a:prstGeom prst="rect">
                      <a:avLst/>
                    </a:prstGeom>
                    <a:noFill/>
                  </pic:spPr>
                </pic:pic>
              </a:graphicData>
            </a:graphic>
          </wp:anchor>
        </w:drawing>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Upon the completion of all Corporate Proceedings relating to the Units, the issuance of the Units will be duly authorized.</w:t>
      </w:r>
    </w:p>
    <w:p>
      <w:pPr>
        <w:spacing w:after="0" w:line="17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foregoing opinion is limited to the laws of the State of Maryland and we do not express any opinion herein concerning any other law. We express no opinion as to compliance with federal or state securities laws, including the securities laws of the State of Maryland, or the 1940 Act. We express no opinion as to debt obligations of third parties that may be issued in combination with other Securities as a Unit as described in the Registration Statement.</w:t>
      </w:r>
    </w:p>
    <w:p>
      <w:pPr>
        <w:spacing w:after="0" w:line="107"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opinion is being furnished to you for submission to the Commission as an exhibit to the Registration Statement. We hereby consent to the filing of this opinion as an exhibit to the Registration Statement and to the use of the name of our firm therein. In giving this consent, we do not admit that we are within the category of persons whose consent is required by Section 7 of the 1933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78974/326178</w:t>
      </w:r>
    </w:p>
    <w:p>
      <w:pPr>
        <w:sectPr>
          <w:pgSz w:w="11900" w:h="16838" w:orient="portrait"/>
          <w:cols w:equalWidth="0" w:num="1">
            <w:col w:w="11380"/>
          </w:cols>
          <w:pgMar w:left="240" w:top="1036" w:right="27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(l)(2)</w:t>
      </w:r>
    </w:p>
    <w:p>
      <w:pPr>
        <w:spacing w:after="0" w:line="218"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1900 K Street, NW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600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Washington, DC 20006-1110</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+1 202 261 3300 Main</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+1 202 261 3333 Fax</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161290</wp:posOffset>
            </wp:positionV>
            <wp:extent cx="21697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Registration Statement on Form N-2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acted as counsel to PennantPark Investment Corporation, a Maryland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preparation and filing of a Registration Statement on Form N-2 (as amended,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originally filed on the date hereof with the U.S.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relating to possible offerings from time to time of up to an aggregate of $1,000,000,000 of the following securities of the Company: (1) shares of common stock, par value $0.001 per share, of the Company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(2) shares of preferred stock, par value $0.001 per share, of the Company (“</w:t>
      </w:r>
      <w:r>
        <w:rPr>
          <w:rFonts w:ascii="Arial" w:cs="Arial" w:eastAsia="Arial" w:hAnsi="Arial"/>
          <w:sz w:val="16"/>
          <w:szCs w:val="16"/>
          <w:u w:val="single" w:color="auto"/>
          <w:color w:val="auto"/>
        </w:rPr>
        <w:t>Preferred Stock</w:t>
      </w:r>
      <w:r>
        <w:rPr>
          <w:rFonts w:ascii="Arial" w:cs="Arial" w:eastAsia="Arial" w:hAnsi="Arial"/>
          <w:sz w:val="16"/>
          <w:szCs w:val="16"/>
          <w:color w:val="auto"/>
        </w:rPr>
        <w:t>”), (3) debt securities (“</w:t>
      </w:r>
      <w:r>
        <w:rPr>
          <w:rFonts w:ascii="Arial" w:cs="Arial" w:eastAsia="Arial" w:hAnsi="Arial"/>
          <w:sz w:val="16"/>
          <w:szCs w:val="16"/>
          <w:u w:val="single" w:color="auto"/>
          <w:color w:val="auto"/>
        </w:rPr>
        <w:t>Debt Securities</w:t>
      </w:r>
      <w:r>
        <w:rPr>
          <w:rFonts w:ascii="Arial" w:cs="Arial" w:eastAsia="Arial" w:hAnsi="Arial"/>
          <w:sz w:val="16"/>
          <w:szCs w:val="16"/>
          <w:color w:val="auto"/>
        </w:rPr>
        <w:t>”) to be issued pursuant to an indenture between the Company and American Stock Transfer &amp; Trust Company, LLC,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(4) rights to purchase Common Stock, (5) warrants of the Company to purchase Debt Securities, Common Stock or Preferred Stock (“</w:t>
      </w:r>
      <w:r>
        <w:rPr>
          <w:rFonts w:ascii="Arial" w:cs="Arial" w:eastAsia="Arial" w:hAnsi="Arial"/>
          <w:sz w:val="16"/>
          <w:szCs w:val="16"/>
          <w:u w:val="single" w:color="auto"/>
          <w:color w:val="auto"/>
        </w:rPr>
        <w:t>Warrants</w:t>
      </w:r>
      <w:r>
        <w:rPr>
          <w:rFonts w:ascii="Arial" w:cs="Arial" w:eastAsia="Arial" w:hAnsi="Arial"/>
          <w:sz w:val="16"/>
          <w:szCs w:val="16"/>
          <w:color w:val="auto"/>
        </w:rPr>
        <w:t>”) and (6) units consisting of any combination of the foregoing or of securities issued by the U.S. Treasury. The Warrants and Debt Securities are collectively referred to herein as the “</w:t>
      </w:r>
      <w:r>
        <w:rPr>
          <w:rFonts w:ascii="Arial" w:cs="Arial" w:eastAsia="Arial" w:hAnsi="Arial"/>
          <w:sz w:val="16"/>
          <w:szCs w:val="16"/>
          <w:u w:val="single" w:color="auto"/>
          <w:color w:val="auto"/>
        </w:rPr>
        <w:t>Securities</w:t>
      </w:r>
      <w:r>
        <w:rPr>
          <w:rFonts w:ascii="Arial" w:cs="Arial" w:eastAsia="Arial" w:hAnsi="Arial"/>
          <w:sz w:val="16"/>
          <w:szCs w:val="16"/>
          <w:color w:val="auto"/>
        </w:rPr>
        <w:t>.”</w:t>
      </w:r>
    </w:p>
    <w:p>
      <w:pPr>
        <w:spacing w:after="0" w:line="118"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The Registration Statement provides that the Securities may be offered separately or together, in separate series, in amounts, at prices and on terms to be set forth in one or more supplements to the prospectus included in the Registration Statement (each, a “</w:t>
      </w:r>
      <w:r>
        <w:rPr>
          <w:rFonts w:ascii="Arial" w:cs="Arial" w:eastAsia="Arial" w:hAnsi="Arial"/>
          <w:sz w:val="16"/>
          <w:szCs w:val="16"/>
          <w:u w:val="single" w:color="auto"/>
          <w:color w:val="auto"/>
        </w:rPr>
        <w:t>Prospectus Supplement</w:t>
      </w:r>
      <w:r>
        <w:rPr>
          <w:rFonts w:ascii="Arial" w:cs="Arial" w:eastAsia="Arial" w:hAnsi="Arial"/>
          <w:sz w:val="16"/>
          <w:szCs w:val="16"/>
          <w:color w:val="auto"/>
        </w:rPr>
        <w:t>”). This opinion letter is being furnished to the Company in accordance with the requirements of Item 25 of Form N-2 under the Investment Company Act of 1940, as amended, and we express no opinion herein as to any matter other than as to the legality of the Securities.</w:t>
      </w:r>
    </w:p>
    <w:p>
      <w:pPr>
        <w:spacing w:after="0" w:line="113"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pacing w:after="0" w:line="62" w:lineRule="exact"/>
        <w:rPr>
          <w:sz w:val="20"/>
          <w:szCs w:val="20"/>
          <w:color w:val="auto"/>
        </w:rPr>
      </w:pPr>
    </w:p>
    <w:p>
      <w:pPr>
        <w:ind w:left="1020" w:hanging="566"/>
        <w:spacing w:after="0"/>
        <w:tabs>
          <w:tab w:leader="none" w:pos="10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178" w:name="page179"/>
    <w:bookmarkEnd w:id="178"/>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600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ind w:left="1020" w:hanging="566"/>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form of warrant agreement (as may be amended or supplemented from time to time, the “</w:t>
      </w:r>
      <w:r>
        <w:rPr>
          <w:rFonts w:ascii="Arial" w:cs="Arial" w:eastAsia="Arial" w:hAnsi="Arial"/>
          <w:sz w:val="18"/>
          <w:szCs w:val="18"/>
          <w:u w:val="single" w:color="auto"/>
          <w:color w:val="auto"/>
        </w:rPr>
        <w:t>Warrant Agreement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0" w:right="900" w:hanging="566"/>
        <w:spacing w:after="0" w:line="268"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indenture, dated as of January 22, 2013, governing the Debt Securities (as may be amended or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and</w:t>
      </w:r>
    </w:p>
    <w:p>
      <w:pPr>
        <w:spacing w:after="0" w:line="50" w:lineRule="exact"/>
        <w:rPr>
          <w:rFonts w:ascii="Arial" w:cs="Arial" w:eastAsia="Arial" w:hAnsi="Arial"/>
          <w:sz w:val="18"/>
          <w:szCs w:val="18"/>
          <w:color w:val="auto"/>
        </w:rPr>
      </w:pPr>
    </w:p>
    <w:p>
      <w:pPr>
        <w:ind w:left="1020" w:right="60" w:hanging="566"/>
        <w:spacing w:after="0" w:line="268" w:lineRule="auto"/>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resolutions of the board of directors of the Company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relating to, among other things, the authorization and approval of the preparation and filing of the Registration Statement.</w:t>
      </w:r>
    </w:p>
    <w:p>
      <w:pPr>
        <w:spacing w:after="0" w:line="13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to the facts upon which this opinion is based, we have relied upon certificates of public officials and certificates and written statements of agents, officers, directors and representatives of the Company.</w:t>
      </w:r>
    </w:p>
    <w:p>
      <w:pPr>
        <w:spacing w:after="0" w:line="132"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qualifications and limitations set forth in this letter, we are of the opinion that:</w:t>
      </w:r>
    </w:p>
    <w:p>
      <w:pPr>
        <w:spacing w:after="0" w:line="90" w:lineRule="exact"/>
        <w:rPr>
          <w:sz w:val="20"/>
          <w:szCs w:val="20"/>
          <w:color w:val="auto"/>
        </w:rPr>
      </w:pPr>
    </w:p>
    <w:p>
      <w:pPr>
        <w:ind w:left="1020" w:hanging="566"/>
        <w:spacing w:after="0" w:line="255" w:lineRule="auto"/>
        <w:tabs>
          <w:tab w:leader="none" w:pos="10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Warrants, when (a) duly authorized, executed, authenticated, issued and sold in accordance with the Registration Statement and applicable Prospectus Supplement and the provisions of the Warrant Agreement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pacing w:after="0" w:line="61" w:lineRule="exact"/>
        <w:rPr>
          <w:rFonts w:ascii="Arial" w:cs="Arial" w:eastAsia="Arial" w:hAnsi="Arial"/>
          <w:sz w:val="18"/>
          <w:szCs w:val="18"/>
          <w:color w:val="auto"/>
        </w:rPr>
      </w:pPr>
    </w:p>
    <w:p>
      <w:pPr>
        <w:ind w:left="1020" w:hanging="566"/>
        <w:spacing w:after="0" w:line="291" w:lineRule="auto"/>
        <w:tabs>
          <w:tab w:leader="none" w:pos="102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Debt Securities, when (a) duly authorized, executed by the Company and authenticated by the Trustee in accordance with the provisions of the Indenture and (x) issued and sold in accordance with the Registration Statement and applicable Prospectus Supplement or (y) issued upon exchange or conversion of Preferred Stock or upon exercise of Warrants as contemplated by the Registration Statement and applicable Prospectus Supplement and (b) delivered to the purchaser or purchasers thereof against receipt by the Company of such lawful consideration therefor as the Board of Directors (or a duly authorized committee thereof or a duly authorized officer of the Company) may lawfully determine, will be valid and binding obligations of the Company enforceable against the Company in accordance with their respective terms.</w:t>
      </w:r>
    </w:p>
    <w:p>
      <w:pPr>
        <w:sectPr>
          <w:pgSz w:w="11900" w:h="16838" w:orient="portrait"/>
          <w:cols w:equalWidth="0" w:num="1">
            <w:col w:w="11400"/>
          </w:cols>
          <w:pgMar w:left="240" w:top="280" w:right="259" w:bottom="1440" w:gutter="0" w:footer="0" w:header="0"/>
        </w:sectPr>
      </w:pPr>
    </w:p>
    <w:bookmarkStart w:id="179" w:name="page180"/>
    <w:bookmarkEnd w:id="179"/>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600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opinions set forth herein are subject to the following assumptions, qualifications, limitations and exceptions being true and correct at or before the time of the delivery of any Securities offered pursuant to the Registration Statement and appropriate Prospectus Supplement:</w:t>
      </w:r>
    </w:p>
    <w:p>
      <w:pPr>
        <w:spacing w:after="0" w:line="51" w:lineRule="exact"/>
        <w:rPr>
          <w:sz w:val="20"/>
          <w:szCs w:val="20"/>
          <w:color w:val="auto"/>
        </w:rPr>
      </w:pPr>
    </w:p>
    <w:p>
      <w:pPr>
        <w:ind w:left="1020" w:hanging="566"/>
        <w:spacing w:after="0"/>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in good standing under the laws of the State of Maryland;</w:t>
      </w:r>
    </w:p>
    <w:p>
      <w:pPr>
        <w:spacing w:after="0" w:line="90" w:lineRule="exact"/>
        <w:rPr>
          <w:rFonts w:ascii="Arial" w:cs="Arial" w:eastAsia="Arial" w:hAnsi="Arial"/>
          <w:sz w:val="18"/>
          <w:szCs w:val="18"/>
          <w:color w:val="auto"/>
        </w:rPr>
      </w:pPr>
    </w:p>
    <w:p>
      <w:pPr>
        <w:ind w:left="1020" w:right="320" w:hanging="566"/>
        <w:spacing w:after="0" w:line="259"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of Directors, including any appropriate committee appointed thereby, and/or appropriate officers of the Company shall have duly (x) established the terms of the Securities and (y) authorized and taken any other necessary corporate or other action to approve the creation, if applicable, issuance and sale of the Securities and related matters;</w:t>
      </w:r>
    </w:p>
    <w:p>
      <w:pPr>
        <w:spacing w:after="0" w:line="59" w:lineRule="exact"/>
        <w:rPr>
          <w:rFonts w:ascii="Arial" w:cs="Arial" w:eastAsia="Arial" w:hAnsi="Arial"/>
          <w:sz w:val="18"/>
          <w:szCs w:val="18"/>
          <w:color w:val="auto"/>
        </w:rPr>
      </w:pPr>
    </w:p>
    <w:p>
      <w:pPr>
        <w:ind w:left="1020" w:right="20" w:hanging="566"/>
        <w:spacing w:after="0" w:line="268" w:lineRule="auto"/>
        <w:tabs>
          <w:tab w:leader="none" w:pos="10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resolutions establishing the definitive terms of and authorizing the Company to register, offer, sell and issue the Securities shall remain in effect and unchanged at all times during which the Securities are offered, sold or issued by the Company;</w:t>
      </w:r>
    </w:p>
    <w:p>
      <w:pPr>
        <w:spacing w:after="0" w:line="50" w:lineRule="exact"/>
        <w:rPr>
          <w:rFonts w:ascii="Arial" w:cs="Arial" w:eastAsia="Arial" w:hAnsi="Arial"/>
          <w:sz w:val="18"/>
          <w:szCs w:val="18"/>
          <w:color w:val="auto"/>
        </w:rPr>
      </w:pPr>
    </w:p>
    <w:p>
      <w:pPr>
        <w:ind w:left="1020" w:right="40" w:hanging="566"/>
        <w:spacing w:after="0" w:line="289"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terms of the issuance and sale of the Securities (x) shall have been duly established in accordance with all applicable law and the Articles of Incorporation and Bylaws of the Company, any Indenture, underwriting agreement and Warrant Agreement and any other relevant agreement relating to the terms and the offer and sale of the Securities (collectively, the “</w:t>
      </w:r>
      <w:r>
        <w:rPr>
          <w:rFonts w:ascii="Arial" w:cs="Arial" w:eastAsia="Arial" w:hAnsi="Arial"/>
          <w:sz w:val="16"/>
          <w:szCs w:val="16"/>
          <w:u w:val="single" w:color="auto"/>
          <w:color w:val="auto"/>
        </w:rPr>
        <w:t>Documents</w:t>
      </w:r>
      <w:r>
        <w:rPr>
          <w:rFonts w:ascii="Arial" w:cs="Arial" w:eastAsia="Arial" w:hAnsi="Arial"/>
          <w:sz w:val="16"/>
          <w:szCs w:val="16"/>
          <w:color w:val="auto"/>
        </w:rPr>
        <w:t>”) and the authorizing resolutions of the Board of Directors, and reflected in appropriate documentation reviewed by us, and (y) shall not violate any applicable law or the Documents (subject to the further assumption that such Documents have not been amended from the date hereof in a manner that would affect the validity of any of the opinions rendered herein), or result in a default under or breach of (nor constitute any event which with notice, lapse of time or both would constitute a default under or result in any breach of) any agreement or instrument binding upon the Company and so as to comply with any restriction imposed by any court or governmental body having jurisdiction over the Company;</w:t>
      </w:r>
    </w:p>
    <w:p>
      <w:pPr>
        <w:spacing w:after="0" w:line="37" w:lineRule="exact"/>
        <w:rPr>
          <w:rFonts w:ascii="Arial" w:cs="Arial" w:eastAsia="Arial" w:hAnsi="Arial"/>
          <w:sz w:val="16"/>
          <w:szCs w:val="16"/>
          <w:color w:val="auto"/>
        </w:rPr>
      </w:pPr>
    </w:p>
    <w:p>
      <w:pPr>
        <w:ind w:left="1020" w:hanging="566"/>
        <w:spacing w:after="0"/>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interest rate on the Debt Securities shall not be higher than the maximum lawful rate permitted from time to time under applicable law;</w:t>
      </w:r>
    </w:p>
    <w:p>
      <w:pPr>
        <w:spacing w:after="0" w:line="113" w:lineRule="exact"/>
        <w:rPr>
          <w:rFonts w:ascii="Arial" w:cs="Arial" w:eastAsia="Arial" w:hAnsi="Arial"/>
          <w:sz w:val="16"/>
          <w:szCs w:val="16"/>
          <w:color w:val="auto"/>
        </w:rPr>
      </w:pPr>
    </w:p>
    <w:p>
      <w:pPr>
        <w:ind w:left="1020" w:right="260" w:hanging="566"/>
        <w:spacing w:after="0" w:line="306" w:lineRule="auto"/>
        <w:tabs>
          <w:tab w:leader="none" w:pos="10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Securities (including any Securities issuable upon exercise, conversion or exchange of other Securities) and any certificates representing the relevant Securities (including any Securities issuable upon exercise, conversion or exchange of other Securities) have been duly authenticated, executed, countersigned, registered and delivered upon payment of the agreed-upon legal</w:t>
      </w:r>
    </w:p>
    <w:p>
      <w:pPr>
        <w:sectPr>
          <w:pgSz w:w="11900" w:h="16838" w:orient="portrait"/>
          <w:cols w:equalWidth="0" w:num="1">
            <w:col w:w="11380"/>
          </w:cols>
          <w:pgMar w:left="240" w:top="280" w:right="279" w:bottom="1440" w:gutter="0" w:footer="0" w:header="0"/>
        </w:sectPr>
      </w:pPr>
    </w:p>
    <w:bookmarkStart w:id="180" w:name="page181"/>
    <w:bookmarkEnd w:id="180"/>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600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left="1040" w:right="80"/>
        <w:spacing w:after="0" w:line="268" w:lineRule="auto"/>
        <w:rPr>
          <w:sz w:val="20"/>
          <w:szCs w:val="20"/>
          <w:color w:val="auto"/>
        </w:rPr>
      </w:pPr>
      <w:r>
        <w:rPr>
          <w:rFonts w:ascii="Arial" w:cs="Arial" w:eastAsia="Arial" w:hAnsi="Arial"/>
          <w:sz w:val="18"/>
          <w:szCs w:val="18"/>
          <w:color w:val="auto"/>
        </w:rPr>
        <w:t>consideration therefor and have been duly issued and sold in accordance with any relevant agreement and, if applicable, duly authorized, executed and delivered by the Company and any other appropriate party;</w:t>
      </w:r>
    </w:p>
    <w:p>
      <w:pPr>
        <w:spacing w:after="0" w:line="51" w:lineRule="exact"/>
        <w:rPr>
          <w:sz w:val="20"/>
          <w:szCs w:val="20"/>
          <w:color w:val="auto"/>
        </w:rPr>
      </w:pPr>
    </w:p>
    <w:p>
      <w:pPr>
        <w:ind w:left="1020" w:hanging="566"/>
        <w:spacing w:after="0" w:line="268"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Indenture and Warrant Agreement and any other relevant agreement has been duly authorized, executed and delivered by, and will constitute a valid and binding obligation of, each party thereto (other than the Company);</w:t>
      </w:r>
    </w:p>
    <w:p>
      <w:pPr>
        <w:spacing w:after="0" w:line="50" w:lineRule="exact"/>
        <w:rPr>
          <w:rFonts w:ascii="Arial" w:cs="Arial" w:eastAsia="Arial" w:hAnsi="Arial"/>
          <w:sz w:val="18"/>
          <w:szCs w:val="18"/>
          <w:color w:val="auto"/>
        </w:rPr>
      </w:pPr>
    </w:p>
    <w:p>
      <w:pPr>
        <w:ind w:left="1020" w:right="120" w:hanging="566"/>
        <w:spacing w:after="0" w:line="332" w:lineRule="auto"/>
        <w:tabs>
          <w:tab w:leader="none" w:pos="10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Registration Statement, as amended (including all necessary post-effective amendments), and any additional registration statement filed under Rule 462, shall be effective under the Securities Act, and such effectiveness shall not have been terminated or rescinded;</w:t>
      </w:r>
    </w:p>
    <w:p>
      <w:pPr>
        <w:spacing w:after="0" w:line="4" w:lineRule="exact"/>
        <w:rPr>
          <w:rFonts w:ascii="Arial" w:cs="Arial" w:eastAsia="Arial" w:hAnsi="Arial"/>
          <w:sz w:val="16"/>
          <w:szCs w:val="16"/>
          <w:color w:val="auto"/>
        </w:rPr>
      </w:pPr>
    </w:p>
    <w:p>
      <w:pPr>
        <w:ind w:left="1020" w:right="80" w:hanging="566"/>
        <w:spacing w:after="0" w:line="268"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appropriate Prospectus Supplement shall have been prepared, delivered and filed in compliance with the Securities Act and the applicable rules and regulations thereunder describing the Securities offered thereby;</w:t>
      </w:r>
    </w:p>
    <w:p>
      <w:pPr>
        <w:spacing w:after="0" w:line="50" w:lineRule="exact"/>
        <w:rPr>
          <w:rFonts w:ascii="Arial" w:cs="Arial" w:eastAsia="Arial" w:hAnsi="Arial"/>
          <w:sz w:val="18"/>
          <w:szCs w:val="18"/>
          <w:color w:val="auto"/>
        </w:rPr>
      </w:pPr>
    </w:p>
    <w:p>
      <w:pPr>
        <w:ind w:left="1020" w:right="100" w:hanging="566"/>
        <w:spacing w:after="0" w:line="259"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Securities shall be issued and sold in compliance with all U.S. federal and state securities laws and solely in the manner stated in the Registration Statement and the applicable Prospectus Supplement and there shall not have occurred any change in law affecting the validity of the opinions rendered herein;</w:t>
      </w:r>
    </w:p>
    <w:p>
      <w:pPr>
        <w:spacing w:after="0" w:line="59" w:lineRule="exact"/>
        <w:rPr>
          <w:rFonts w:ascii="Arial" w:cs="Arial" w:eastAsia="Arial" w:hAnsi="Arial"/>
          <w:sz w:val="18"/>
          <w:szCs w:val="18"/>
          <w:color w:val="auto"/>
        </w:rPr>
      </w:pPr>
    </w:p>
    <w:p>
      <w:pPr>
        <w:jc w:val="both"/>
        <w:ind w:left="1020" w:right="80" w:hanging="566"/>
        <w:spacing w:after="0" w:line="259"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Securities will be sold pursuant to a firm commitment underwritten offering, the underwriting agreement with respect to the Securities in the form filed as an exhibit to the Registration Statement or any post-effective amendment thereto, or incorporated by reference therein, has been duly authorized, executed and delivered by the Company and the other parties thereto; and</w:t>
      </w:r>
    </w:p>
    <w:p>
      <w:pPr>
        <w:spacing w:after="0" w:line="59" w:lineRule="exact"/>
        <w:rPr>
          <w:rFonts w:ascii="Arial" w:cs="Arial" w:eastAsia="Arial" w:hAnsi="Arial"/>
          <w:sz w:val="18"/>
          <w:szCs w:val="18"/>
          <w:color w:val="auto"/>
        </w:rPr>
      </w:pPr>
    </w:p>
    <w:p>
      <w:pPr>
        <w:ind w:left="1020" w:right="80" w:hanging="566"/>
        <w:spacing w:after="0" w:line="268" w:lineRule="auto"/>
        <w:tabs>
          <w:tab w:leader="none" w:pos="10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the case of an agreement or instrument pursuant to which any Securities are to be issued, there shall be no terms or provisions contained therein which would affect the validity of any of the opinions rendered herein.</w:t>
      </w:r>
    </w:p>
    <w:p>
      <w:pPr>
        <w:spacing w:after="0" w:line="13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 (iii) provisions of law which may require that a judgment for money damages rendered by a court in the United States be expressed only in U.S. dollars; (iv) 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 (v) governmental authority to limit, delay or prohibit the making of payments outside the United States or in foreign currency or composite currency.</w:t>
      </w:r>
    </w:p>
    <w:p>
      <w:pPr>
        <w:sectPr>
          <w:pgSz w:w="11900" w:h="16838" w:orient="portrait"/>
          <w:cols w:equalWidth="0" w:num="1">
            <w:col w:w="11380"/>
          </w:cols>
          <w:pgMar w:left="240" w:top="280" w:right="279" w:bottom="1440" w:gutter="0" w:footer="0" w:header="0"/>
        </w:sectPr>
      </w:pPr>
    </w:p>
    <w:bookmarkStart w:id="181" w:name="page182"/>
    <w:bookmarkEnd w:id="181"/>
    <w:p>
      <w:pPr>
        <w:ind w:left="8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46480" cy="3600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046480" cy="360045"/>
                    </a:xfrm>
                    <a:prstGeom prst="rect">
                      <a:avLst/>
                    </a:prstGeom>
                    <a:noFill/>
                  </pic:spPr>
                </pic:pic>
              </a:graphicData>
            </a:graphic>
          </wp:anchor>
        </w:drawing>
      </w:r>
    </w:p>
    <w:p>
      <w:pPr>
        <w:ind w:left="8000"/>
        <w:spacing w:after="0"/>
        <w:rPr>
          <w:sz w:val="20"/>
          <w:szCs w:val="20"/>
          <w:color w:val="auto"/>
        </w:rPr>
      </w:pPr>
      <w:r>
        <w:rPr>
          <w:rFonts w:ascii="Arial" w:cs="Arial" w:eastAsia="Arial" w:hAnsi="Arial"/>
          <w:sz w:val="18"/>
          <w:szCs w:val="18"/>
          <w:color w:val="auto"/>
        </w:rPr>
        <w:t>December 11, 2013</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Page 5</w:t>
      </w:r>
    </w:p>
    <w:p>
      <w:pPr>
        <w:spacing w:after="0" w:line="16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herein are limited to the laws of the State of New York.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assume no obligation to advise you of any changes in the foregoing subsequent to the effectiveness of the Registration Statement.</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hereby consent to the filing of this opinion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Dechert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Dechert LLP</w:t>
      </w:r>
    </w:p>
    <w:p>
      <w:pPr>
        <w:sectPr>
          <w:pgSz w:w="11900" w:h="16838" w:orient="portrait"/>
          <w:cols w:equalWidth="0" w:num="1">
            <w:col w:w="11180"/>
          </w:cols>
          <w:pgMar w:left="240" w:top="280" w:right="47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(n)(1)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 and Subsidiaries</w:t>
      </w:r>
    </w:p>
    <w:p>
      <w:pPr>
        <w:spacing w:after="0" w:line="165"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consent to the use of our audit reports dated November 13, 2013 with respect to the consolidated financial statements of PennantPark Investment Corporation and subsidiaries (the “Company”) as of September 30, 2013 and 2012 and for each of the years in the three-year period ended September 30, 2013, and the effectiveness of internal control over financial reporting as of September 30, 2013, included in the Registration Statement on Form N-2 and to the references to our firm under the headings “Recent Developments”, “Selected Financial Data”, “Senior Securities” and “Independent Registered Public Accounting Firm” in such registration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1)"/>
      <w:numFmt w:val="decimal"/>
      <w:start w:val="1"/>
    </w:lvl>
  </w:abstractNum>
  <w:abstractNum w:abstractNumId="2">
    <w:nsid w:val="310C50B3"/>
    <w:multiLevelType w:val="hybridMultilevel"/>
    <w:lvl w:ilvl="0">
      <w:lvlJc w:val="left"/>
      <w:lvlText w:val="(%1)"/>
      <w:numFmt w:val="decimal"/>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1)"/>
      <w:numFmt w:val="decimal"/>
      <w:start w:val="1"/>
    </w:lvl>
  </w:abstractNum>
  <w:abstractNum w:abstractNumId="7">
    <w:nsid w:val="4AD084E9"/>
    <w:multiLevelType w:val="hybridMultilevel"/>
    <w:lvl w:ilvl="0">
      <w:lvlJc w:val="left"/>
      <w:lvlText w:val="(%1)"/>
      <w:numFmt w:val="lowerRoman"/>
      <w:start w:val="4"/>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
      <w:numFmt w:val="bullet"/>
      <w:start w:val="1"/>
    </w:lvl>
  </w:abstractNum>
  <w:abstractNum w:abstractNumId="13">
    <w:nsid w:val="15014ACB"/>
    <w:multiLevelType w:val="hybridMultilevel"/>
    <w:lvl w:ilvl="0">
      <w:lvlJc w:val="left"/>
      <w:lvlText w:val="•"/>
      <w:numFmt w:val="bullet"/>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decimal"/>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1)"/>
      <w:numFmt w:val="decimal"/>
      <w:start w:val="1"/>
    </w:lvl>
  </w:abstractNum>
  <w:abstractNum w:abstractNumId="19">
    <w:nsid w:val="168E121F"/>
    <w:multiLevelType w:val="hybridMultilevel"/>
    <w:lvl w:ilvl="0">
      <w:lvlJc w:val="left"/>
      <w:lvlText w:val="(%1)"/>
      <w:numFmt w:val="decimal"/>
      <w:start w:val="3"/>
    </w:lvl>
  </w:abstractNum>
  <w:abstractNum w:abstractNumId="20">
    <w:nsid w:val="1EBA5D23"/>
    <w:multiLevelType w:val="hybridMultilevel"/>
    <w:lvl w:ilvl="0">
      <w:lvlJc w:val="left"/>
      <w:lvlText w:val="(%1)"/>
      <w:numFmt w:val="decimal"/>
      <w:start w:val="1"/>
    </w:lvl>
  </w:abstractNum>
  <w:abstractNum w:abstractNumId="21">
    <w:nsid w:val="661E3F1E"/>
    <w:multiLevelType w:val="hybridMultilevel"/>
    <w:lvl w:ilvl="0">
      <w:lvlJc w:val="left"/>
      <w:lvlText w:val="(%1)"/>
      <w:numFmt w:val="lowerLetter"/>
      <w:start w:val="1"/>
    </w:lvl>
  </w:abstractNum>
  <w:abstractNum w:abstractNumId="22">
    <w:nsid w:val="5DC79EA8"/>
    <w:multiLevelType w:val="hybridMultilevel"/>
    <w:lvl w:ilvl="0">
      <w:lvlJc w:val="left"/>
      <w:lvlText w:val="(%1)"/>
      <w:numFmt w:val="decimal"/>
      <w:start w:val="1"/>
    </w:lvl>
  </w:abstractNum>
  <w:abstractNum w:abstractNumId="23">
    <w:nsid w:val="540A471C"/>
    <w:multiLevelType w:val="hybridMultilevel"/>
    <w:lvl w:ilvl="0">
      <w:lvlJc w:val="left"/>
      <w:lvlText w:val="(%1)"/>
      <w:numFmt w:val="decimal"/>
      <w:start w:val="1"/>
    </w:lvl>
  </w:abstractNum>
  <w:abstractNum w:abstractNumId="24">
    <w:nsid w:val="7BD3EE7B"/>
    <w:multiLevelType w:val="hybridMultilevel"/>
    <w:lvl w:ilvl="0">
      <w:lvlJc w:val="left"/>
      <w:lvlText w:val="(%1)"/>
      <w:numFmt w:val="decimal"/>
      <w:start w:val="1"/>
    </w:lvl>
  </w:abstractNum>
  <w:abstractNum w:abstractNumId="25">
    <w:nsid w:val="51D9C564"/>
    <w:multiLevelType w:val="hybridMultilevel"/>
    <w:lvl w:ilvl="0">
      <w:lvlJc w:val="left"/>
      <w:lvlText w:val="(%1)"/>
      <w:numFmt w:val="decimal"/>
      <w:start w:val="1"/>
    </w:lvl>
  </w:abstractNum>
  <w:abstractNum w:abstractNumId="26">
    <w:nsid w:val="613EFDC5"/>
    <w:multiLevelType w:val="hybridMultilevel"/>
    <w:lvl w:ilvl="0">
      <w:lvlJc w:val="left"/>
      <w:lvlText w:val="(%1)"/>
      <w:numFmt w:val="decimal"/>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1)"/>
      <w:numFmt w:val="lowerLetter"/>
      <w:start w:val="1"/>
    </w:lvl>
  </w:abstractNum>
  <w:abstractNum w:abstractNumId="31">
    <w:nsid w:val="8F2B15E"/>
    <w:multiLevelType w:val="hybridMultilevel"/>
    <w:lvl w:ilvl="0">
      <w:lvlJc w:val="left"/>
      <w:lvlText w:val="%1)"/>
      <w:numFmt w:val="lowerLetter"/>
      <w:start w:val="2"/>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1)"/>
      <w:numFmt w:val="lowerLetter"/>
      <w:start w:val="3"/>
    </w:lvl>
  </w:abstractNum>
  <w:abstractNum w:abstractNumId="34">
    <w:nsid w:val="68EB2F63"/>
    <w:multiLevelType w:val="hybridMultilevel"/>
    <w:lvl w:ilvl="0">
      <w:lvlJc w:val="left"/>
      <w:lvlText w:val="%1)"/>
      <w:numFmt w:val="lowerLetter"/>
      <w:start w:val="4"/>
    </w:lvl>
  </w:abstractNum>
  <w:abstractNum w:abstractNumId="35">
    <w:nsid w:val="4962813B"/>
    <w:multiLevelType w:val="hybridMultilevel"/>
    <w:lvl w:ilvl="0">
      <w:lvlJc w:val="left"/>
      <w:lvlText w:val="%1)"/>
      <w:numFmt w:val="lowerLetter"/>
      <w:start w:val="1"/>
    </w:lvl>
  </w:abstractNum>
  <w:abstractNum w:abstractNumId="36">
    <w:nsid w:val="60B6DF70"/>
    <w:multiLevelType w:val="hybridMultilevel"/>
    <w:lvl w:ilvl="0">
      <w:lvlJc w:val="left"/>
      <w:lvlText w:val="%1)"/>
      <w:numFmt w:val="lowerLetter"/>
      <w:start w:val="2"/>
    </w:lvl>
  </w:abstractNum>
  <w:abstractNum w:abstractNumId="37">
    <w:nsid w:val="6A5EE64"/>
    <w:multiLevelType w:val="hybridMultilevel"/>
    <w:lvl w:ilvl="0">
      <w:lvlJc w:val="left"/>
      <w:lvlText w:val="%1)"/>
      <w:numFmt w:val="lowerLetter"/>
      <w:start w:val="3"/>
    </w:lvl>
  </w:abstractNum>
  <w:abstractNum w:abstractNumId="38">
    <w:nsid w:val="14330624"/>
    <w:multiLevelType w:val="hybridMultilevel"/>
    <w:lvl w:ilvl="0">
      <w:lvlJc w:val="left"/>
      <w:lvlText w:val="%1)"/>
      <w:numFmt w:val="lowerLetter"/>
      <w:start w:val="4"/>
    </w:lvl>
  </w:abstractNum>
  <w:abstractNum w:abstractNumId="39">
    <w:nsid w:val="7FFFCA11"/>
    <w:multiLevelType w:val="hybridMultilevel"/>
    <w:lvl w:ilvl="0">
      <w:lvlJc w:val="left"/>
      <w:lvlText w:val="%1)"/>
      <w:numFmt w:val="lowerLetter"/>
      <w:start w:val="5"/>
    </w:lvl>
  </w:abstractNum>
  <w:abstractNum w:abstractNumId="40">
    <w:nsid w:val="1A27709E"/>
    <w:multiLevelType w:val="hybridMultilevel"/>
    <w:lvl w:ilvl="0">
      <w:lvlJc w:val="left"/>
      <w:lvlText w:val="%1)"/>
      <w:numFmt w:val="lowerLetter"/>
      <w:start w:val="6"/>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1)"/>
      <w:numFmt w:val="decimal"/>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1)"/>
      <w:numFmt w:val="decimal"/>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1)"/>
      <w:numFmt w:val="decimal"/>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1)"/>
      <w:numFmt w:val="decimal"/>
    </w:lvl>
    <w:lvl w:ilvl="1">
      <w:lvlJc w:val="left"/>
      <w:lvlText w:val="(*)"/>
      <w:numFmt w:val="bullet"/>
      <w:start w:val="1"/>
    </w:lvl>
  </w:abstractNum>
  <w:abstractNum w:abstractNumId="53">
    <w:nsid w:val="74DE0EE3"/>
    <w:multiLevelType w:val="hybridMultilevel"/>
    <w:lvl w:ilvl="0">
      <w:lvlJc w:val="left"/>
      <w:lvlText w:val="="/>
      <w:numFmt w:val="bullet"/>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
      <w:numFmt w:val="bullet"/>
      <w:start w:val="1"/>
    </w:lvl>
  </w:abstractNum>
  <w:abstractNum w:abstractNumId="56">
    <w:nsid w:val="46B7D447"/>
    <w:multiLevelType w:val="hybridMultilevel"/>
    <w:lvl w:ilvl="0">
      <w:lvlJc w:val="left"/>
      <w:lvlText w:val="(%1)"/>
      <w:numFmt w:val="lowerLetter"/>
      <w:start w:val="2"/>
    </w:lvl>
  </w:abstractNum>
  <w:abstractNum w:abstractNumId="57">
    <w:nsid w:val="4A2AC315"/>
    <w:multiLevelType w:val="hybridMultilevel"/>
    <w:lvl w:ilvl="0">
      <w:lvlJc w:val="left"/>
      <w:lvlText w:val="(%1)"/>
      <w:numFmt w:val="decimal"/>
      <w:start w:val="3"/>
    </w:lvl>
  </w:abstractNum>
  <w:abstractNum w:abstractNumId="58">
    <w:nsid w:val="39EE015C"/>
    <w:multiLevelType w:val="hybridMultilevel"/>
    <w:lvl w:ilvl="0">
      <w:lvlJc w:val="left"/>
      <w:lvlText w:val="•"/>
      <w:numFmt w:val="bullet"/>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
      <w:numFmt w:val="bullet"/>
      <w:start w:val="1"/>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
      <w:numFmt w:val="bullet"/>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1)"/>
      <w:numFmt w:val="decimal"/>
      <w:start w:val="2"/>
    </w:lvl>
  </w:abstractNum>
  <w:abstractNum w:abstractNumId="81">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6A3DD3E8"/>
    <w:multiLevelType w:val="hybridMultilevel"/>
    <w:lvl w:ilvl="0">
      <w:lvlJc w:val="left"/>
      <w:lvlText w:val="•"/>
      <w:numFmt w:val="bullet"/>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
      <w:numFmt w:val="bullet"/>
      <w:start w:val="1"/>
    </w:lvl>
    <w:lvl w:ilvl="1">
      <w:lvlJc w:val="left"/>
      <w:lvlText w:val="%2)"/>
      <w:numFmt w:val="decimal"/>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1)"/>
      <w:numFmt w:val="decimal"/>
      <w:start w:val="1"/>
    </w:lvl>
  </w:abstractNum>
  <w:abstractNum w:abstractNumId="88">
    <w:nsid w:val="1D545C4D"/>
    <w:multiLevelType w:val="hybridMultilevel"/>
    <w:lvl w:ilvl="0">
      <w:lvlJc w:val="left"/>
      <w:lvlText w:val="(%1)"/>
      <w:numFmt w:val="decimal"/>
      <w:start w:val="1"/>
    </w:lvl>
  </w:abstractNum>
  <w:abstractNum w:abstractNumId="89">
    <w:nsid w:val="59ADEA3D"/>
    <w:multiLevelType w:val="hybridMultilevel"/>
    <w:lvl w:ilvl="0">
      <w:lvlJc w:val="left"/>
      <w:lvlText w:val="(%1)"/>
      <w:numFmt w:val="decimal"/>
      <w:start w:val="1"/>
    </w:lvl>
  </w:abstractNum>
  <w:abstractNum w:abstractNumId="90">
    <w:nsid w:val="288F1A34"/>
    <w:multiLevelType w:val="hybridMultilevel"/>
    <w:lvl w:ilvl="0">
      <w:lvlJc w:val="left"/>
      <w:lvlText w:val="(%1)"/>
      <w:numFmt w:val="decimal"/>
      <w:start w:val="2"/>
    </w:lvl>
  </w:abstractNum>
  <w:abstractNum w:abstractNumId="91">
    <w:nsid w:val="2A155DBC"/>
    <w:multiLevelType w:val="hybridMultilevel"/>
    <w:lvl w:ilvl="0">
      <w:lvlJc w:val="left"/>
      <w:lvlText w:val="%1"/>
      <w:numFmt w:val="lowerLetter"/>
      <w:start w:val="1"/>
    </w:lvl>
    <w:lvl w:ilvl="1">
      <w:lvlJc w:val="left"/>
      <w:lvlText w:val="(%2)"/>
      <w:numFmt w:val="decimal"/>
      <w:start w:val="4"/>
    </w:lvl>
  </w:abstractNum>
  <w:abstractNum w:abstractNumId="92">
    <w:nsid w:val="1D9F6E5F"/>
    <w:multiLevelType w:val="hybridMultilevel"/>
    <w:lvl w:ilvl="0">
      <w:lvlJc w:val="left"/>
      <w:lvlText w:val="(%1)"/>
      <w:numFmt w:val="lowerLetter"/>
      <w:start w:val="2"/>
    </w:lvl>
    <w:lvl w:ilvl="1">
      <w:lvlJc w:val="left"/>
      <w:lvlText w:val="%2"/>
      <w:numFmt w:val="decimal"/>
      <w:start w:val="1"/>
    </w:lvl>
  </w:abstractNum>
  <w:abstractNum w:abstractNumId="93">
    <w:nsid w:val="97E1B4E"/>
    <w:multiLevelType w:val="hybridMultilevel"/>
    <w:lvl w:ilvl="0">
      <w:lvlJc w:val="left"/>
      <w:lvlText w:val="*"/>
      <w:numFmt w:val="bullet"/>
      <w:start w:val="1"/>
    </w:lvl>
  </w:abstractNum>
  <w:abstractNum w:abstractNumId="94">
    <w:nsid w:val="51088277"/>
    <w:multiLevelType w:val="hybridMultilevel"/>
    <w:lvl w:ilvl="0">
      <w:lvlJc w:val="left"/>
      <w:lvlText w:val="(%1)"/>
      <w:numFmt w:val="decimal"/>
      <w:start w:val="1"/>
    </w:lvl>
  </w:abstractNum>
  <w:abstractNum w:abstractNumId="95">
    <w:nsid w:val="1CA0C5FA"/>
    <w:multiLevelType w:val="hybridMultilevel"/>
    <w:lvl w:ilvl="0">
      <w:lvlJc w:val="left"/>
      <w:lvlText w:val="(%1)"/>
      <w:numFmt w:val="decimal"/>
      <w:start w:val="1"/>
    </w:lvl>
  </w:abstractNum>
  <w:abstractNum w:abstractNumId="96">
    <w:nsid w:val="53584BCB"/>
    <w:multiLevelType w:val="hybridMultilevel"/>
    <w:lvl w:ilvl="0">
      <w:lvlJc w:val="left"/>
      <w:lvlText w:val="(%1)"/>
      <w:numFmt w:val="decimal"/>
      <w:start w:val="1"/>
    </w:lvl>
  </w:abstractNum>
  <w:abstractNum w:abstractNumId="97">
    <w:nsid w:val="415E286C"/>
    <w:multiLevelType w:val="hybridMultilevel"/>
    <w:lvl w:ilvl="0">
      <w:lvlJc w:val="left"/>
      <w:lvlText w:val="1"/>
      <w:numFmt w:val="bullet"/>
      <w:start w:val="1"/>
    </w:lvl>
  </w:abstractNum>
  <w:abstractNum w:abstractNumId="98">
    <w:nsid w:val="7C58FD05"/>
    <w:multiLevelType w:val="hybridMultilevel"/>
    <w:lvl w:ilvl="0">
      <w:lvlJc w:val="left"/>
      <w:lvlText w:val="2"/>
      <w:numFmt w:val="bullet"/>
      <w:start w:val="1"/>
    </w:lvl>
  </w:abstractNum>
  <w:abstractNum w:abstractNumId="99">
    <w:nsid w:val="23D86AAC"/>
    <w:multiLevelType w:val="hybridMultilevel"/>
    <w:lvl w:ilvl="0">
      <w:lvlJc w:val="left"/>
      <w:lvlText w:val="(%1)"/>
      <w:numFmt w:val="lowerLetter"/>
      <w:start w:val="1"/>
    </w:lvl>
  </w:abstractNum>
  <w:abstractNum w:abstractNumId="100">
    <w:nsid w:val="45E6D486"/>
    <w:multiLevelType w:val="hybridMultilevel"/>
    <w:lvl w:ilvl="0">
      <w:lvlJc w:val="left"/>
      <w:lvlText w:val="(%1)"/>
      <w:numFmt w:val="lowerLetter"/>
      <w:start w:val="5"/>
    </w:lvl>
  </w:abstractNum>
  <w:abstractNum w:abstractNumId="101">
    <w:nsid w:val="5C10FE21"/>
    <w:multiLevelType w:val="hybridMultilevel"/>
    <w:lvl w:ilvl="0">
      <w:lvlJc w:val="left"/>
      <w:lvlText w:val="(%1)"/>
      <w:numFmt w:val="lowerLetter"/>
      <w:start w:val="7"/>
    </w:lvl>
  </w:abstractNum>
  <w:abstractNum w:abstractNumId="102">
    <w:nsid w:val="E7FFA2B"/>
    <w:multiLevelType w:val="hybridMultilevel"/>
    <w:lvl w:ilvl="0">
      <w:lvlJc w:val="left"/>
      <w:lvlText w:val="(%1)"/>
      <w:numFmt w:val="lowerLetter"/>
      <w:start w:val="10"/>
    </w:lvl>
  </w:abstractNum>
  <w:abstractNum w:abstractNumId="103">
    <w:nsid w:val="3C5991AA"/>
    <w:multiLevelType w:val="hybridMultilevel"/>
    <w:lvl w:ilvl="0">
      <w:lvlJc w:val="left"/>
      <w:lvlText w:val="2"/>
      <w:numFmt w:val="bullet"/>
      <w:start w:val="1"/>
    </w:lvl>
  </w:abstractNum>
  <w:abstractNum w:abstractNumId="104">
    <w:nsid w:val="4BD8591A"/>
    <w:multiLevelType w:val="hybridMultilevel"/>
    <w:lvl w:ilvl="0">
      <w:lvlJc w:val="left"/>
      <w:lvlText w:val="(%1)"/>
      <w:numFmt w:val="lowerLetter"/>
      <w:start w:val="18"/>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1."/>
      <w:numFmt w:val="decimal"/>
      <w:start w:val="1"/>
    </w:lvl>
  </w:abstractNum>
  <w:abstractNum w:abstractNumId="107">
    <w:nsid w:val="2B0D8DBE"/>
    <w:multiLevelType w:val="hybridMultilevel"/>
    <w:lvl w:ilvl="0">
      <w:lvlJc w:val="left"/>
      <w:lvlText w:val="(%1)"/>
      <w:numFmt w:val="decimal"/>
      <w:start w:val="1"/>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1"/>
      <w:numFmt w:val="lowerLetter"/>
      <w:start w:val="1"/>
    </w:lvl>
    <w:lvl w:ilvl="1">
      <w:lvlJc w:val="left"/>
      <w:lvlText w:val="(%2)"/>
      <w:numFmt w:val="lowerLetter"/>
      <w:start w:val="9"/>
    </w:lvl>
    <w:lvl w:ilvl="2">
      <w:lvlJc w:val="left"/>
      <w:lvlText w:val="(%3)"/>
      <w:numFmt w:val="lowerRoman"/>
      <w:start w:val="2"/>
    </w:lvl>
  </w:abstractNum>
  <w:abstractNum w:abstractNumId="110">
    <w:nsid w:val="69E373"/>
    <w:multiLevelType w:val="hybridMultilevel"/>
    <w:lvl w:ilvl="0">
      <w:lvlJc w:val="left"/>
      <w:lvlText w:val="(%1)"/>
      <w:numFmt w:val="lowerLetter"/>
      <w:start w:val="2"/>
    </w:lvl>
    <w:lvl w:ilvl="1">
      <w:lvlJc w:val="left"/>
      <w:lvlText w:val="(%2)"/>
      <w:numFmt w:val="lowerLetter"/>
      <w:start w:val="3"/>
    </w:lvl>
    <w:lvl w:ilvl="2">
      <w:lvlJc w:val="left"/>
      <w:lvlText w:val="%3"/>
      <w:numFmt w:val="lowerRoman"/>
      <w:start w:val="1"/>
    </w:lvl>
  </w:abstractNum>
  <w:abstractNum w:abstractNumId="111">
    <w:nsid w:val="2C27173B"/>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12">
    <w:nsid w:val="4C9B090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13">
    <w:nsid w:val="6AA7B75C"/>
    <w:multiLevelType w:val="hybridMultilevel"/>
    <w:lvl w:ilvl="0">
      <w:lvlJc w:val="left"/>
      <w:lvlText w:val="%1"/>
      <w:numFmt w:val="decimal"/>
      <w:start w:val="1"/>
    </w:lvl>
    <w:lvl w:ilvl="1">
      <w:lvlJc w:val="left"/>
      <w:lvlText w:val="(%2)"/>
      <w:numFmt w:val="lowerLetter"/>
      <w:start w:val="2"/>
    </w:lvl>
  </w:abstractNum>
  <w:abstractNum w:abstractNumId="114">
    <w:nsid w:val="1DF029D3"/>
    <w:multiLevelType w:val="hybridMultilevel"/>
    <w:lvl w:ilvl="0">
      <w:lvlJc w:val="left"/>
      <w:lvlText w:val="(%1)"/>
      <w:numFmt w:val="decimal"/>
      <w:start w:val="6"/>
    </w:lvl>
    <w:lvl w:ilvl="1">
      <w:lvlJc w:val="left"/>
      <w:lvlText w:val="%2"/>
      <w:numFmt w:val="lowerLetter"/>
      <w:start w:val="1"/>
    </w:lvl>
  </w:abstractNum>
  <w:abstractNum w:abstractNumId="115">
    <w:nsid w:val="5675FF36"/>
    <w:multiLevelType w:val="hybridMultilevel"/>
    <w:lvl w:ilvl="0">
      <w:lvlJc w:val="left"/>
      <w:lvlText w:val="%1."/>
      <w:numFmt w:val="decimal"/>
      <w:start w:val="2"/>
    </w:lvl>
  </w:abstractNum>
  <w:abstractNum w:abstractNumId="116">
    <w:nsid w:val="3DD15094"/>
    <w:multiLevelType w:val="hybridMultilevel"/>
    <w:lvl w:ilvl="0">
      <w:lvlJc w:val="left"/>
      <w:lvlText w:val="%1."/>
      <w:numFmt w:val="decimal"/>
      <w:start w:val="5"/>
    </w:lvl>
  </w:abstractNum>
  <w:abstractNum w:abstractNumId="117">
    <w:nsid w:val="3DB012B3"/>
    <w:multiLevelType w:val="hybridMultilevel"/>
    <w:lvl w:ilvl="0">
      <w:lvlJc w:val="left"/>
      <w:lvlText w:val="%1."/>
      <w:numFmt w:val="decimal"/>
      <w:start w:val="1"/>
    </w:lvl>
  </w:abstractNum>
  <w:abstractNum w:abstractNumId="118">
    <w:nsid w:val="2708C9AF"/>
    <w:multiLevelType w:val="hybridMultilevel"/>
    <w:lvl w:ilvl="0">
      <w:lvlJc w:val="left"/>
      <w:lvlText w:val="%1."/>
      <w:numFmt w:val="decimal"/>
      <w:start w:val="7"/>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1)"/>
      <w:numFmt w:val="lowerRoman"/>
      <w:start w:val="1"/>
    </w:lvl>
  </w:abstractNum>
  <w:abstractNum w:abstractNumId="121">
    <w:nsid w:val="4F97E3E4"/>
    <w:multiLevelType w:val="hybridMultilevel"/>
    <w:lvl w:ilvl="0">
      <w:lvlJc w:val="left"/>
      <w:lvlText w:val="(%1)"/>
      <w:numFmt w:val="lowerRoman"/>
      <w:start w:val="2"/>
    </w:lvl>
  </w:abstractNum>
  <w:abstractNum w:abstractNumId="122">
    <w:nsid w:val="53B0A9E"/>
    <w:multiLevelType w:val="hybridMultilevel"/>
    <w:lvl w:ilvl="0">
      <w:lvlJc w:val="left"/>
      <w:lvlText w:val="%1."/>
      <w:numFmt w:val="decimal"/>
      <w:start w:val="1"/>
    </w:lvl>
  </w:abstractNum>
  <w:abstractNum w:abstractNumId="123">
    <w:nsid w:val="34FD6B4F"/>
    <w:multiLevelType w:val="hybridMultilevel"/>
    <w:lvl w:ilvl="0">
      <w:lvlJc w:val="left"/>
      <w:lvlText w:val="(%1)"/>
      <w:numFmt w:val="lowerRoman"/>
      <w:start w:val="1"/>
    </w:lvl>
  </w:abstractNum>
  <w:abstractNum w:abstractNumId="124">
    <w:nsid w:val="5915FF32"/>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2019-12-07T15:23:22Z</dcterms:created>
  <dcterms:modified xsi:type="dcterms:W3CDTF">2019-12-07T15:23:22Z</dcterms:modified>
</cp:coreProperties>
</file>