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333-150033</w:t>
      </w:r>
    </w:p>
    <w:p>
      <w:pPr>
        <w:spacing w:after="0" w:line="3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Prospectus Supplement</w:t>
      </w:r>
    </w:p>
    <w:p>
      <w:pPr>
        <w:spacing w:after="0" w:line="223" w:lineRule="auto"/>
        <w:rPr>
          <w:sz w:val="20"/>
          <w:szCs w:val="20"/>
          <w:color w:val="auto"/>
        </w:rPr>
      </w:pPr>
      <w:r>
        <w:rPr>
          <w:rFonts w:ascii="Arial" w:cs="Arial" w:eastAsia="Arial" w:hAnsi="Arial"/>
          <w:sz w:val="14"/>
          <w:szCs w:val="14"/>
          <w:b w:val="1"/>
          <w:bCs w:val="1"/>
          <w:color w:val="auto"/>
        </w:rPr>
        <w:t>To the Prospectus dated</w:t>
      </w:r>
    </w:p>
    <w:p>
      <w:pPr>
        <w:spacing w:after="0"/>
        <w:rPr>
          <w:sz w:val="20"/>
          <w:szCs w:val="20"/>
          <w:color w:val="auto"/>
        </w:rPr>
      </w:pPr>
      <w:r>
        <w:rPr>
          <w:rFonts w:ascii="Arial" w:cs="Arial" w:eastAsia="Arial" w:hAnsi="Arial"/>
          <w:sz w:val="14"/>
          <w:szCs w:val="14"/>
          <w:b w:val="1"/>
          <w:bCs w:val="1"/>
          <w:color w:val="auto"/>
        </w:rPr>
        <w:t>January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26035</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8,000,000 Shares</w:t>
      </w:r>
    </w:p>
    <w:p>
      <w:pPr>
        <w:spacing w:after="0" w:line="90" w:lineRule="exact"/>
        <w:rPr>
          <w:sz w:val="24"/>
          <w:szCs w:val="24"/>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4"/>
          <w:szCs w:val="24"/>
          <w:color w:val="auto"/>
        </w:rPr>
      </w:pPr>
    </w:p>
    <w:p>
      <w:pPr>
        <w:ind w:left="4860"/>
        <w:spacing w:after="0"/>
        <w:rPr>
          <w:sz w:val="20"/>
          <w:szCs w:val="20"/>
          <w:color w:val="auto"/>
        </w:rPr>
      </w:pPr>
      <w:r>
        <w:rPr>
          <w:rFonts w:ascii="Arial" w:cs="Arial" w:eastAsia="Arial" w:hAnsi="Arial"/>
          <w:sz w:val="24"/>
          <w:szCs w:val="24"/>
          <w:b w:val="1"/>
          <w:bCs w:val="1"/>
          <w:color w:val="auto"/>
        </w:rPr>
        <w:t>$12.40 per share</w:t>
      </w:r>
    </w:p>
    <w:p>
      <w:pPr>
        <w:spacing w:after="0" w:line="51" w:lineRule="exact"/>
        <w:rPr>
          <w:sz w:val="24"/>
          <w:szCs w:val="24"/>
          <w:color w:val="auto"/>
        </w:rPr>
      </w:pPr>
    </w:p>
    <w:p>
      <w:pPr>
        <w:ind w:right="140" w:firstLine="342"/>
        <w:spacing w:after="0" w:line="233" w:lineRule="auto"/>
        <w:rPr>
          <w:sz w:val="20"/>
          <w:szCs w:val="20"/>
          <w:color w:val="auto"/>
        </w:rPr>
      </w:pPr>
      <w:r>
        <w:rPr>
          <w:rFonts w:ascii="Arial" w:cs="Arial" w:eastAsia="Arial" w:hAnsi="Arial"/>
          <w:sz w:val="14"/>
          <w:szCs w:val="14"/>
          <w:color w:val="auto"/>
        </w:rPr>
        <w:t>We are offering for sale 8,000,000 shares of our common stock. Our common stock is traded on the NASDAQ Global Select Market under the symbol “PNNT”. The last reported closing price for our common stock on February 7, 2011 was $13.05 per share. The net asset value of our common stock on December 31, 2010 (the last date prior to the date of this prospectus supplement on which we determined net asset value) was $11.14 per share.</w:t>
      </w:r>
    </w:p>
    <w:p>
      <w:pPr>
        <w:spacing w:after="0" w:line="31" w:lineRule="exact"/>
        <w:rPr>
          <w:sz w:val="24"/>
          <w:szCs w:val="24"/>
          <w:color w:val="auto"/>
        </w:rPr>
      </w:pPr>
    </w:p>
    <w:p>
      <w:pPr>
        <w:ind w:right="120" w:firstLine="342"/>
        <w:spacing w:after="0" w:line="230" w:lineRule="auto"/>
        <w:rPr>
          <w:sz w:val="20"/>
          <w:szCs w:val="20"/>
          <w:color w:val="auto"/>
        </w:rPr>
      </w:pPr>
      <w:r>
        <w:rPr>
          <w:rFonts w:ascii="Arial" w:cs="Arial" w:eastAsia="Arial" w:hAnsi="Arial"/>
          <w:sz w:val="14"/>
          <w:szCs w:val="14"/>
          <w:color w:val="auto"/>
        </w:rPr>
        <w:t>PennantPark Investment Corporation, a Maryland corporation, is a closed-end, externally managed, non-diversified investment company that has elected to be treated as a business development company (“BDC”) under the Investment Company Act of 1940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31" w:lineRule="exact"/>
        <w:rPr>
          <w:sz w:val="24"/>
          <w:szCs w:val="24"/>
          <w:color w:val="auto"/>
        </w:rPr>
      </w:pPr>
    </w:p>
    <w:p>
      <w:pPr>
        <w:ind w:right="160" w:firstLine="342"/>
        <w:spacing w:after="0" w:line="273" w:lineRule="auto"/>
        <w:rPr>
          <w:sz w:val="20"/>
          <w:szCs w:val="20"/>
          <w:color w:val="auto"/>
        </w:rPr>
      </w:pPr>
      <w:r>
        <w:rPr>
          <w:rFonts w:ascii="Arial" w:cs="Arial" w:eastAsia="Arial" w:hAnsi="Arial"/>
          <w:sz w:val="12"/>
          <w:szCs w:val="12"/>
          <w:color w:val="auto"/>
        </w:rPr>
        <w:t xml:space="preserve">This prospectus supplement and the accompanying prospectus contain important information you should know before investing in our securities. Please read them before you invest and keep them for future reference. We file annual, quarterly and current reports, proxy statements and other information about us with the Securities and Exchange Commission (the “SEC”). This information is available free of charge by contacting us at 590 Madison Avenue, New York, NY 10022 or by telephone at (212) 905-1000 or on our website at </w:t>
      </w:r>
      <w:r>
        <w:rPr>
          <w:rFonts w:ascii="Arial" w:cs="Arial" w:eastAsia="Arial" w:hAnsi="Arial"/>
          <w:sz w:val="12"/>
          <w:szCs w:val="12"/>
          <w:i w:val="1"/>
          <w:iCs w:val="1"/>
          <w:color w:val="auto"/>
        </w:rPr>
        <w:t>www.pennantpark.com.</w:t>
      </w:r>
      <w:r>
        <w:rPr>
          <w:rFonts w:ascii="Arial" w:cs="Arial" w:eastAsia="Arial" w:hAnsi="Arial"/>
          <w:sz w:val="12"/>
          <w:szCs w:val="12"/>
          <w:color w:val="auto"/>
        </w:rPr>
        <w:t xml:space="preserve"> The SEC also maintains a website at </w:t>
      </w:r>
      <w:r>
        <w:rPr>
          <w:rFonts w:ascii="Arial" w:cs="Arial" w:eastAsia="Arial" w:hAnsi="Arial"/>
          <w:sz w:val="12"/>
          <w:szCs w:val="12"/>
          <w:i w:val="1"/>
          <w:iCs w:val="1"/>
          <w:color w:val="auto"/>
        </w:rPr>
        <w:t>www.sec.gov</w:t>
      </w:r>
      <w:r>
        <w:rPr>
          <w:rFonts w:ascii="Arial" w:cs="Arial" w:eastAsia="Arial" w:hAnsi="Arial"/>
          <w:sz w:val="12"/>
          <w:szCs w:val="12"/>
          <w:color w:val="auto"/>
        </w:rPr>
        <w:t xml:space="preserve"> that contains such information free of charge. Information contained on our website is not incorporated by reference into this prospectus supplement or the accompanying prospectus, and you should not consider information contained on our website to be part of this prospectus supplement.</w:t>
      </w:r>
    </w:p>
    <w:p>
      <w:pPr>
        <w:spacing w:after="0" w:line="116" w:lineRule="exact"/>
        <w:rPr>
          <w:sz w:val="24"/>
          <w:szCs w:val="24"/>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“Risk Factors” beginning on page 9 and “Sales of Common Stock Below Net Asset Value” on page 51 of the accompanying prospectus.</w:t>
      </w:r>
    </w:p>
    <w:p>
      <w:pPr>
        <w:spacing w:after="0" w:line="134" w:lineRule="exact"/>
        <w:rPr>
          <w:sz w:val="24"/>
          <w:szCs w:val="24"/>
          <w:color w:val="auto"/>
        </w:rPr>
      </w:pPr>
    </w:p>
    <w:p>
      <w:pPr>
        <w:ind w:right="520"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300" w:type="dxa"/>
            <w:vAlign w:val="bottom"/>
            <w:vMerge w:val="restart"/>
          </w:tcPr>
          <w:p>
            <w:pPr>
              <w:spacing w:after="0"/>
              <w:rPr>
                <w:sz w:val="20"/>
                <w:szCs w:val="20"/>
                <w:color w:val="auto"/>
              </w:rPr>
            </w:pPr>
            <w:r>
              <w:rPr>
                <w:rFonts w:ascii="Arial" w:cs="Arial" w:eastAsia="Arial" w:hAnsi="Arial"/>
                <w:sz w:val="14"/>
                <w:szCs w:val="14"/>
                <w:color w:val="auto"/>
              </w:rPr>
              <w:t>Public offering price</w:t>
            </w:r>
          </w:p>
        </w:tc>
        <w:tc>
          <w:tcPr>
            <w:tcW w:w="2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6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7300" w:type="dxa"/>
            <w:vAlign w:val="bottom"/>
            <w:vMerge w:val="continue"/>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Borders>
              <w:top w:val="single" w:sz="8" w:color="auto"/>
            </w:tcBorders>
          </w:tcPr>
          <w:p>
            <w:pPr>
              <w:jc w:val="right"/>
              <w:ind w:right="21"/>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12.40</w:t>
            </w:r>
          </w:p>
        </w:tc>
        <w:tc>
          <w:tcPr>
            <w:tcW w:w="4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5"/>
              </w:rPr>
              <w:t>99,200,000</w:t>
            </w: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 (sales load)</w:t>
            </w:r>
          </w:p>
        </w:tc>
        <w:tc>
          <w:tcPr>
            <w:tcW w:w="2540" w:type="dxa"/>
            <w:vAlign w:val="bottom"/>
            <w:gridSpan w:val="2"/>
          </w:tcPr>
          <w:p>
            <w:pPr>
              <w:jc w:val="right"/>
              <w:ind w:right="21"/>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0.589</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4,712,000</w:t>
            </w:r>
          </w:p>
        </w:tc>
        <w:tc>
          <w:tcPr>
            <w:tcW w:w="0" w:type="dxa"/>
            <w:vAlign w:val="bottom"/>
          </w:tcPr>
          <w:p>
            <w:pPr>
              <w:spacing w:after="0"/>
              <w:rPr>
                <w:sz w:val="1"/>
                <w:szCs w:val="1"/>
                <w:color w:val="auto"/>
              </w:rPr>
            </w:pPr>
          </w:p>
        </w:tc>
      </w:tr>
      <w:tr>
        <w:trPr>
          <w:trHeight w:val="172"/>
        </w:trPr>
        <w:tc>
          <w:tcPr>
            <w:tcW w:w="7300" w:type="dxa"/>
            <w:vAlign w:val="bottom"/>
          </w:tcPr>
          <w:p>
            <w:pPr>
              <w:spacing w:after="0"/>
              <w:rPr>
                <w:sz w:val="20"/>
                <w:szCs w:val="20"/>
                <w:color w:val="auto"/>
              </w:rPr>
            </w:pPr>
            <w:r>
              <w:rPr>
                <w:rFonts w:ascii="Arial" w:cs="Arial" w:eastAsia="Arial" w:hAnsi="Arial"/>
                <w:sz w:val="14"/>
                <w:szCs w:val="14"/>
                <w:color w:val="auto"/>
              </w:rPr>
              <w:t>Proceeds to PennantPark Investment Corporation (before estimated expenses of $325,000)</w:t>
            </w:r>
          </w:p>
        </w:tc>
        <w:tc>
          <w:tcPr>
            <w:tcW w:w="2540" w:type="dxa"/>
            <w:vAlign w:val="bottom"/>
            <w:gridSpan w:val="2"/>
          </w:tcPr>
          <w:p>
            <w:pPr>
              <w:jc w:val="right"/>
              <w:ind w:right="21"/>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11.811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5"/>
              </w:rPr>
              <w:t>94,488,000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jc w:val="both"/>
        <w:ind w:right="200" w:firstLine="342"/>
        <w:spacing w:after="0" w:line="234" w:lineRule="auto"/>
        <w:rPr>
          <w:sz w:val="20"/>
          <w:szCs w:val="20"/>
          <w:color w:val="auto"/>
        </w:rPr>
      </w:pPr>
      <w:r>
        <w:rPr>
          <w:rFonts w:ascii="Arial" w:cs="Arial" w:eastAsia="Arial" w:hAnsi="Arial"/>
          <w:sz w:val="14"/>
          <w:szCs w:val="14"/>
          <w:b w:val="1"/>
          <w:bCs w:val="1"/>
          <w:color w:val="auto"/>
        </w:rPr>
        <w:t>The underwriters may also purchase up to an additional 1,200,000 shares from us at the public offering price, less the underwriting discounts, within 30 days from the date of this prospectus supplement to cover overallotments. If the underwriters exercise this option in full, the total public offering price will be $114,080,000, the total underwriting discount and commissions (sales load) paid by us will be $5,418,800, and total proceeds, before expenses, will be $108,661,200.</w:t>
      </w:r>
    </w:p>
    <w:p>
      <w:pPr>
        <w:spacing w:after="0" w:line="29"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The underwriters expect to deliver the shares on or about February 11,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43"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J.P. Morgan</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Stifel Nicolaus Weisel</w:t>
      </w:r>
    </w:p>
    <w:p>
      <w:pPr>
        <w:spacing w:after="0" w:line="159" w:lineRule="exact"/>
        <w:rPr>
          <w:sz w:val="24"/>
          <w:szCs w:val="24"/>
          <w:color w:val="auto"/>
        </w:rPr>
      </w:pPr>
    </w:p>
    <w:p>
      <w:pPr>
        <w:sectPr>
          <w:pgSz w:w="11900" w:h="16838" w:orient="portrait"/>
          <w:cols w:equalWidth="0" w:num="3">
            <w:col w:w="4560" w:space="720"/>
            <w:col w:w="2600" w:space="720"/>
            <w:col w:w="2820"/>
          </w:cols>
          <w:pgMar w:left="240" w:top="23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FBR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Ladenburg Thalmann &amp; Co.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RBC Capital Markets</w:t>
      </w:r>
    </w:p>
    <w:p>
      <w:pPr>
        <w:spacing w:after="0" w:line="119" w:lineRule="exact"/>
        <w:rPr>
          <w:sz w:val="24"/>
          <w:szCs w:val="24"/>
          <w:color w:val="auto"/>
        </w:rPr>
      </w:pPr>
    </w:p>
    <w:p>
      <w:pPr>
        <w:sectPr>
          <w:pgSz w:w="11900" w:h="16838" w:orient="portrait"/>
          <w:cols w:equalWidth="0" w:num="4">
            <w:col w:w="2240" w:space="720"/>
            <w:col w:w="2040" w:space="720"/>
            <w:col w:w="3220" w:space="720"/>
            <w:col w:w="17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The date of this prospectus supplement is February 8, 2011.</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980" w:type="dxa"/>
            <w:vAlign w:val="bottom"/>
            <w:gridSpan w:val="4"/>
          </w:tcPr>
          <w:p>
            <w:pPr>
              <w:jc w:val="center"/>
              <w:ind w:right="346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80" w:type="dxa"/>
            <w:vAlign w:val="bottom"/>
            <w:gridSpan w:val="4"/>
          </w:tcPr>
          <w:p>
            <w:pPr>
              <w:jc w:val="center"/>
              <w:ind w:right="3460"/>
              <w:spacing w:after="0"/>
              <w:rPr>
                <w:sz w:val="20"/>
                <w:szCs w:val="20"/>
                <w:color w:val="auto"/>
              </w:rPr>
            </w:pPr>
            <w:r>
              <w:rPr>
                <w:rFonts w:ascii="Arial" w:cs="Arial" w:eastAsia="Arial" w:hAnsi="Arial"/>
                <w:sz w:val="18"/>
                <w:szCs w:val="18"/>
                <w:b w:val="1"/>
                <w:bCs w:val="1"/>
                <w:color w:val="auto"/>
                <w:w w:val="95"/>
              </w:rPr>
              <w:t>PROSPECTUS SUPPLEMENT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620" w:type="dxa"/>
            <w:vAlign w:val="bottom"/>
            <w:gridSpan w:val="9"/>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7320" w:type="dxa"/>
            <w:vAlign w:val="bottom"/>
            <w:gridSpan w:val="5"/>
            <w:vMerge w:val="restart"/>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620" w:type="dxa"/>
            <w:vAlign w:val="bottom"/>
            <w:tcBorders>
              <w:bottom w:val="single" w:sz="8" w:color="0000EE"/>
            </w:tcBorders>
            <w:gridSpan w:val="9"/>
            <w:vMerge w:val="continue"/>
          </w:tcPr>
          <w:p>
            <w:pPr>
              <w:spacing w:after="0"/>
              <w:rPr>
                <w:sz w:val="14"/>
                <w:szCs w:val="14"/>
                <w:color w:val="auto"/>
              </w:rPr>
            </w:pPr>
          </w:p>
        </w:tc>
        <w:tc>
          <w:tcPr>
            <w:tcW w:w="7320" w:type="dxa"/>
            <w:vAlign w:val="bottom"/>
            <w:gridSpan w:val="5"/>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w w:val="92"/>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940" w:type="dxa"/>
            <w:vAlign w:val="bottom"/>
            <w:gridSpan w:val="14"/>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FEES AND EXPENSES</w:t>
              </w:r>
            </w:hyperlink>
          </w:p>
        </w:tc>
        <w:tc>
          <w:tcPr>
            <w:tcW w:w="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S-7</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4"/>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FORWARD-LOOKING STATEMENTS</w:t>
              </w:r>
            </w:hyperlink>
          </w:p>
        </w:tc>
        <w:tc>
          <w:tcPr>
            <w:tcW w:w="1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S-9</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3"/>
              </w:rPr>
            </w:pPr>
            <w:hyperlink w:anchor="page13">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3"/>
          </w:tcPr>
          <w:p>
            <w:pPr>
              <w:spacing w:after="0"/>
              <w:rPr>
                <w:sz w:val="17"/>
                <w:szCs w:val="17"/>
                <w:color w:val="auto"/>
              </w:rPr>
            </w:pPr>
          </w:p>
        </w:tc>
        <w:tc>
          <w:tcPr>
            <w:tcW w:w="7900" w:type="dxa"/>
            <w:vAlign w:val="bottom"/>
            <w:gridSpan w:val="7"/>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S-10</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CAPITALIZATION</w:t>
              </w:r>
            </w:hyperlink>
          </w:p>
        </w:tc>
        <w:tc>
          <w:tcPr>
            <w:tcW w:w="9400" w:type="dxa"/>
            <w:vAlign w:val="bottom"/>
            <w:gridSpan w:val="11"/>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S-11</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PRICE RANGE OF COMMON STOCK</w:t>
              </w:r>
            </w:hyperlink>
          </w:p>
        </w:tc>
        <w:tc>
          <w:tcPr>
            <w:tcW w:w="7860" w:type="dxa"/>
            <w:vAlign w:val="bottom"/>
            <w:gridSpan w:val="6"/>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S-12</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SELECTED FINANCIAL DATA</w:t>
              </w:r>
            </w:hyperlink>
          </w:p>
        </w:tc>
        <w:tc>
          <w:tcPr>
            <w:tcW w:w="8440" w:type="dxa"/>
            <w:vAlign w:val="bottom"/>
            <w:gridSpan w:val="8"/>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S-13</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b w:val="1"/>
                <w:bCs w:val="1"/>
                <w:color w:val="0000EE"/>
                <w:w w:val="97"/>
              </w:rPr>
              <w:t>MANAGEMENT’S DISCUSSION AND ANALYSIS OF FINANCIAL CONDITION AND RESULTS OF OPERATIONS</w:t>
            </w:r>
          </w:p>
        </w:tc>
        <w:tc>
          <w:tcPr>
            <w:tcW w:w="1860" w:type="dxa"/>
            <w:vAlign w:val="bottom"/>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S-15</w:t>
            </w:r>
          </w:p>
        </w:tc>
        <w:tc>
          <w:tcPr>
            <w:tcW w:w="0" w:type="dxa"/>
            <w:vAlign w:val="bottom"/>
          </w:tcPr>
          <w:p>
            <w:pPr>
              <w:spacing w:after="0"/>
              <w:rPr>
                <w:sz w:val="1"/>
                <w:szCs w:val="1"/>
                <w:color w:val="auto"/>
              </w:rPr>
            </w:pPr>
          </w:p>
        </w:tc>
      </w:tr>
      <w:tr>
        <w:trPr>
          <w:trHeight w:val="196"/>
        </w:trPr>
        <w:tc>
          <w:tcPr>
            <w:tcW w:w="10940" w:type="dxa"/>
            <w:vAlign w:val="bottom"/>
            <w:gridSpan w:val="1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UNDERWRITING</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S-27</w:t>
            </w:r>
          </w:p>
        </w:tc>
        <w:tc>
          <w:tcPr>
            <w:tcW w:w="0" w:type="dxa"/>
            <w:vAlign w:val="bottom"/>
          </w:tcPr>
          <w:p>
            <w:pPr>
              <w:spacing w:after="0"/>
              <w:rPr>
                <w:sz w:val="1"/>
                <w:szCs w:val="1"/>
                <w:color w:val="auto"/>
              </w:rPr>
            </w:pPr>
          </w:p>
        </w:tc>
      </w:tr>
      <w:tr>
        <w:trPr>
          <w:trHeight w:val="236"/>
        </w:trPr>
        <w:tc>
          <w:tcPr>
            <w:tcW w:w="144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MANAGEMENT</w:t>
            </w:r>
          </w:p>
        </w:tc>
        <w:tc>
          <w:tcPr>
            <w:tcW w:w="9500" w:type="dxa"/>
            <w:vAlign w:val="bottom"/>
            <w:gridSpan w:val="13"/>
          </w:tcPr>
          <w:p>
            <w:pPr>
              <w:spacing w:after="0"/>
              <w:rPr>
                <w:sz w:val="20"/>
                <w:szCs w:val="20"/>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4"/>
              </w:rPr>
              <w:t>S-30</w:t>
            </w:r>
          </w:p>
        </w:tc>
        <w:tc>
          <w:tcPr>
            <w:tcW w:w="0" w:type="dxa"/>
            <w:vAlign w:val="bottom"/>
          </w:tcPr>
          <w:p>
            <w:pPr>
              <w:spacing w:after="0"/>
              <w:rPr>
                <w:sz w:val="1"/>
                <w:szCs w:val="1"/>
                <w:color w:val="auto"/>
              </w:rPr>
            </w:pPr>
          </w:p>
        </w:tc>
      </w:tr>
      <w:tr>
        <w:trPr>
          <w:trHeight w:val="190"/>
        </w:trPr>
        <w:tc>
          <w:tcPr>
            <w:tcW w:w="10940" w:type="dxa"/>
            <w:vAlign w:val="bottom"/>
            <w:gridSpan w:val="14"/>
          </w:tcPr>
          <w:p>
            <w:pPr>
              <w:spacing w:after="0" w:line="190"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LEGAL MATTERS</w:t>
              </w:r>
            </w:hyperlink>
          </w:p>
        </w:tc>
        <w:tc>
          <w:tcPr>
            <w:tcW w:w="400" w:type="dxa"/>
            <w:vAlign w:val="bottom"/>
            <w:gridSpan w:val="3"/>
          </w:tcPr>
          <w:p>
            <w:pPr>
              <w:jc w:val="right"/>
              <w:ind w:right="20"/>
              <w:spacing w:after="0" w:line="190" w:lineRule="exact"/>
              <w:rPr>
                <w:sz w:val="20"/>
                <w:szCs w:val="20"/>
                <w:color w:val="auto"/>
              </w:rPr>
            </w:pPr>
            <w:r>
              <w:rPr>
                <w:rFonts w:ascii="Arial" w:cs="Arial" w:eastAsia="Arial" w:hAnsi="Arial"/>
                <w:sz w:val="18"/>
                <w:szCs w:val="18"/>
                <w:b w:val="1"/>
                <w:bCs w:val="1"/>
                <w:color w:val="auto"/>
                <w:w w:val="94"/>
              </w:rPr>
              <w:t>S-31</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INDEX TO INTERIM FINANCIAL STATEMENTS</w:t>
              </w:r>
            </w:hyperlink>
          </w:p>
        </w:tc>
        <w:tc>
          <w:tcPr>
            <w:tcW w:w="6980" w:type="dxa"/>
            <w:vAlign w:val="bottom"/>
            <w:gridSpan w:val="4"/>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S-32</w:t>
            </w:r>
          </w:p>
        </w:tc>
        <w:tc>
          <w:tcPr>
            <w:tcW w:w="0" w:type="dxa"/>
            <w:vAlign w:val="bottom"/>
          </w:tcPr>
          <w:p>
            <w:pPr>
              <w:spacing w:after="0"/>
              <w:rPr>
                <w:sz w:val="1"/>
                <w:szCs w:val="1"/>
                <w:color w:val="auto"/>
              </w:rPr>
            </w:pPr>
          </w:p>
        </w:tc>
      </w:tr>
      <w:tr>
        <w:trPr>
          <w:trHeight w:val="196"/>
        </w:trPr>
        <w:tc>
          <w:tcPr>
            <w:tcW w:w="10940" w:type="dxa"/>
            <w:vAlign w:val="bottom"/>
            <w:gridSpan w:val="14"/>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AWARENESS LETTER OF INDEPENDENT REGISTERED PUBLIC ACCOUNTING FIRM</w:t>
              </w:r>
            </w:hyperlink>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S-62</w:t>
            </w:r>
          </w:p>
        </w:tc>
        <w:tc>
          <w:tcPr>
            <w:tcW w:w="0" w:type="dxa"/>
            <w:vAlign w:val="bottom"/>
          </w:tcPr>
          <w:p>
            <w:pPr>
              <w:spacing w:after="0"/>
              <w:rPr>
                <w:sz w:val="1"/>
                <w:szCs w:val="1"/>
                <w:color w:val="auto"/>
              </w:rPr>
            </w:pPr>
          </w:p>
        </w:tc>
      </w:tr>
      <w:tr>
        <w:trPr>
          <w:trHeight w:val="196"/>
        </w:trPr>
        <w:tc>
          <w:tcPr>
            <w:tcW w:w="712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CONSENT OF INDEPENDENT REGISTERED PUBLIC ACCOUNTING FIRM</w:t>
              </w:r>
            </w:hyperlink>
          </w:p>
        </w:tc>
        <w:tc>
          <w:tcPr>
            <w:tcW w:w="3820" w:type="dxa"/>
            <w:vAlign w:val="bottom"/>
            <w:gridSpan w:val="2"/>
          </w:tcPr>
          <w:p>
            <w:pPr>
              <w:spacing w:after="0"/>
              <w:rPr>
                <w:sz w:val="17"/>
                <w:szCs w:val="17"/>
                <w:color w:val="auto"/>
              </w:rPr>
            </w:pPr>
          </w:p>
        </w:tc>
        <w:tc>
          <w:tcPr>
            <w:tcW w:w="40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w w:val="94"/>
              </w:rPr>
              <w:t>S-63</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80" w:type="dxa"/>
            <w:vAlign w:val="bottom"/>
            <w:gridSpan w:val="4"/>
          </w:tcPr>
          <w:p>
            <w:pPr>
              <w:jc w:val="center"/>
              <w:ind w:right="3460"/>
              <w:spacing w:after="0"/>
              <w:rPr>
                <w:sz w:val="20"/>
                <w:szCs w:val="20"/>
                <w:color w:val="auto"/>
              </w:rPr>
            </w:pPr>
            <w:r>
              <w:rPr>
                <w:rFonts w:ascii="Arial" w:cs="Arial" w:eastAsia="Arial" w:hAnsi="Arial"/>
                <w:sz w:val="18"/>
                <w:szCs w:val="18"/>
                <w:b w:val="1"/>
                <w:bCs w:val="1"/>
                <w:color w:val="auto"/>
                <w:w w:val="93"/>
              </w:rPr>
              <w:t>PROSPECTUS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PROSPECTUS SUMMARY</w:t>
            </w:r>
          </w:p>
        </w:tc>
        <w:tc>
          <w:tcPr>
            <w:tcW w:w="1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5"/>
        </w:trPr>
        <w:tc>
          <w:tcPr>
            <w:tcW w:w="10940" w:type="dxa"/>
            <w:vAlign w:val="bottom"/>
            <w:gridSpan w:val="14"/>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FEES AND EXPENSES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RISK FACTORS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FORWARD-LOOKING STATEMENTS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USE OF PROCEEDS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SELECTED FINANCIAL DATA</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SENIOR SECURITIES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PRICE RANGE OF COMMON STOCK</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SALES OF COMMON STOCK BELOW NET ASSET VALUE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DISTRIBUTIONS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BUSINESS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INVESTMENT OBJECTIVES AND POLICIES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PORTFOLIO COMPANIES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MANAGEMENT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CONTROL PERSONS AND PRINCIPAL STOCKHOLDERS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CERTAIN RELATIONSHIPS AND TRANSACTIONS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DETERMINATION OF NET ASSET VALUE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DIVIDEND REINVESTMENT PLAN</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940" w:type="dxa"/>
            <w:vAlign w:val="bottom"/>
            <w:gridSpan w:val="14"/>
          </w:tcPr>
          <w:p>
            <w:pPr>
              <w:spacing w:after="0"/>
              <w:rPr>
                <w:sz w:val="20"/>
                <w:szCs w:val="20"/>
                <w:color w:val="auto"/>
              </w:rPr>
            </w:pPr>
            <w:r>
              <w:rPr>
                <w:rFonts w:ascii="Arial" w:cs="Arial" w:eastAsia="Arial" w:hAnsi="Arial"/>
                <w:sz w:val="18"/>
                <w:szCs w:val="18"/>
                <w:b w:val="1"/>
                <w:bCs w:val="1"/>
                <w:color w:val="auto"/>
              </w:rPr>
              <w:t>DESCRIPTION OF OUR CAPITAL STOCK</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DESCRIPTION OF OUR PREFERRED STOCK</w:t>
            </w:r>
          </w:p>
        </w:tc>
        <w:tc>
          <w:tcPr>
            <w:tcW w:w="32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DESCRIPTION OF OUR WARRANTS</w:t>
            </w:r>
          </w:p>
        </w:tc>
        <w:tc>
          <w:tcPr>
            <w:tcW w:w="32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DESCRIPTION OF OUR SUBSCRIPTION RIGHTS</w:t>
            </w:r>
          </w:p>
        </w:tc>
        <w:tc>
          <w:tcPr>
            <w:tcW w:w="3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DESCRIPTION OF OUR DEBT SECURITIES</w:t>
            </w:r>
          </w:p>
        </w:tc>
        <w:tc>
          <w:tcPr>
            <w:tcW w:w="32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REGULATION</w:t>
            </w:r>
          </w:p>
        </w:tc>
        <w:tc>
          <w:tcPr>
            <w:tcW w:w="32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BROKERAGE ALLOCATIONS AND OTHER PRACTICES</w:t>
            </w:r>
          </w:p>
        </w:tc>
        <w:tc>
          <w:tcPr>
            <w:tcW w:w="32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MATERIAL U.S. FEDERAL INCOME TAX CONSIDERATIONS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PLAN OF DISTRIBUTION</w:t>
            </w:r>
          </w:p>
        </w:tc>
        <w:tc>
          <w:tcPr>
            <w:tcW w:w="32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CUSTODIAN, TRANSFER AGENT AND TRUSTEE</w:t>
            </w:r>
          </w:p>
        </w:tc>
        <w:tc>
          <w:tcPr>
            <w:tcW w:w="3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LEGAL MATTERS</w:t>
            </w:r>
          </w:p>
        </w:tc>
        <w:tc>
          <w:tcPr>
            <w:tcW w:w="3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8040" w:type="dxa"/>
            <w:vAlign w:val="bottom"/>
          </w:tcPr>
          <w:p>
            <w:pPr>
              <w:spacing w:after="0"/>
              <w:rPr>
                <w:sz w:val="20"/>
                <w:szCs w:val="20"/>
                <w:color w:val="auto"/>
              </w:rPr>
            </w:pPr>
            <w:r>
              <w:rPr>
                <w:rFonts w:ascii="Arial" w:cs="Arial" w:eastAsia="Arial" w:hAnsi="Arial"/>
                <w:sz w:val="18"/>
                <w:szCs w:val="18"/>
                <w:b w:val="1"/>
                <w:bCs w:val="1"/>
                <w:color w:val="auto"/>
              </w:rPr>
              <w:t>INDEPENDENT REGISTERED PUBLIC ACCOUNTING FIRM</w:t>
            </w:r>
          </w:p>
        </w:tc>
        <w:tc>
          <w:tcPr>
            <w:tcW w:w="32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8"/>
        </w:trPr>
        <w:tc>
          <w:tcPr>
            <w:tcW w:w="8040" w:type="dxa"/>
            <w:vAlign w:val="bottom"/>
          </w:tcPr>
          <w:p>
            <w:pPr>
              <w:spacing w:after="0"/>
              <w:rPr>
                <w:sz w:val="20"/>
                <w:szCs w:val="20"/>
                <w:color w:val="auto"/>
              </w:rPr>
            </w:pPr>
            <w:r>
              <w:rPr>
                <w:rFonts w:ascii="Arial" w:cs="Arial" w:eastAsia="Arial" w:hAnsi="Arial"/>
                <w:sz w:val="18"/>
                <w:szCs w:val="18"/>
                <w:b w:val="1"/>
                <w:bCs w:val="1"/>
                <w:color w:val="auto"/>
              </w:rPr>
              <w:t>INDEX TO FINANCIAL STATEMENTS</w:t>
            </w:r>
          </w:p>
        </w:tc>
        <w:tc>
          <w:tcPr>
            <w:tcW w:w="3280" w:type="dxa"/>
            <w:vAlign w:val="bottom"/>
          </w:tcPr>
          <w:p>
            <w:pPr>
              <w:jc w:val="right"/>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You should read carefully the more detailed information set forth under “Risk Factors” and the other information included in the accompanying prospectus before making an investment decision. The forward-looking statements involve risks and uncertainties for both us and our consolidated Small Business Investment Company (“SBIC”) subsidiary and actual results could differ materially from those projected in the forward-looking statements for many reasons, including those factors discussed in “Risk Factors” and elsewhere in the accompanying prospectus and this prospectus supplement. In this prospectus supplement and the accompanying prospectus, except where the context suggests otherwise, the terms “we,” “us,” “Company,” “our” and “PennantPark Investment” refer to PennantPark Investment Corporation; “SBIC LP” and “our SBIC” refer to our wholly owned, consolidated SBIC subsidiary, PennantPark SBIC LP; “PennantPark Investment Advisers” or the “Investment Adviser” refers to PennantPark Investment Advisers, LLC; “PennantPark Investment Administration” or the “Administrator” refers to PennantPark Investment Administration, LLC.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Small Business Administration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business development company under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Small Business Investment Act of 1958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inception in 2007, we have raised nearly $900 million in debt and equity capital, and have invested over $1 billion in over 100 companies and 54 different financial sponsors.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“Management,” “Certain Relationships and Transactions—Investment Management Agreement,” and “Risk Factors—Risks Related to our Business and Structure” in the accompanying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325"/>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80" w:hanging="325"/>
        <w:spacing w:after="0" w:line="262"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900" w:hanging="325"/>
        <w:spacing w:after="0" w:line="310"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325"/>
        <w:spacing w:after="0" w:line="262"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equity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3" w:lineRule="exact"/>
        <w:rPr>
          <w:sz w:val="20"/>
          <w:szCs w:val="20"/>
          <w:color w:val="auto"/>
        </w:rPr>
      </w:pPr>
    </w:p>
    <w:p>
      <w:pPr>
        <w:ind w:left="900" w:right="140" w:hanging="325"/>
        <w:spacing w:after="0" w:line="262"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Selection Criteria” in the accompanying prospectus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Ability to Source and Evaluate Transactions through our Investment Adviser’s Research Capability and Established Network</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other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financial needs of a company while also generating attractive risk-adjusted returns. We can invest in any part of a capital structure and our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Furthermore, many of our competitors are not subject to the regulatory restrictions that the 1940 Act imposes on us as a business development company. See “Risk Factors—Risks Relating to our Business and Structure—We operate in a highly competitive market for investment opportunities” in the accompanying prospectus for more information.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a five-year, multi-currency $300.0 million senior secured credit facility (the “credit facility”), which matures on June 25, 2012, and is secured by substantially all of our investment portfolio assets (excluding the assets of SBIC LP) with a group of lenders, under which we had $255.8 million outstanding with a weighted average interest rate at the time of 1.28% and had $44.2 million of unused borrowing capacity, which is subject to maintenance of the applicable total assets to debt ratio of 200%, as of December 31, 2010. Pricing of borrowings under our credit facility is set at 100 basis points over the London Interbank Offering Rate (“LIBOR”). We believe that our capital resources will provide us with the flexibility to take advantage of market opportunities when they arise. In addition, any future additional debt capital we incur, to the extent it is available under current credit market conditions, may be issued at a higher cost and on less favorable terms and conditions than our current credit facility. See “Recent Developments” in this prospectus supplement for more information.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2010, SBIC LP had a debenture commitment from the SBA in the amount of $100.0 million, had $30.0 million outstanding (including $29.5 million of temporary draws) with a weighted average interest rate of 0.96%, exclusive of the 3.43% of upfront fees, and had $70 million remaining unused borrowing capacity subject to customary regulatory requirements. SBA debentures offer competitive terms such as being non-recourse to us, having a 10-year maturity, requiring semi-annual interest payments, not requiring principal payments prior to maturity and may be prepaid at any time without penalty. The SBA debentures are secured by all the investment portfolio assets of SBIC LP and have a superior claim over such assets. See “Regulation” in the accompanying prospectus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PennantPark Investment. Under our investment management agreement (the “Investment Management Agreement”), we have agreed to pay our Investment Adviser an annual base management fee based on our average adjusted gross assets as well as an incentive fee based on our investment performance. See “Business—Investment Management Agreement” in the accompanying prospectus for more information.</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“Business—Administration Agreement” in the accompanying prospectus for more information.</w:t>
      </w:r>
    </w:p>
    <w:p>
      <w:pPr>
        <w:spacing w:after="0" w:line="14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As a business development company, we are required to comply with certain regulatory requirements. Also, while we are permitted to finance investments using debt, our ability to use debt is limited in certain significant respects. See “Regulation” for more information. We have elected to be treated for federal income tax purposes under the Code as a RIC. See “Material U.S. Federal Income Tax Considerations” in the accompanying prospectus for more information.</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wholly owned subsidiary, SBIC LP, received a license from the SBA to operate as an SBIC under Section 301(c) of the 1958 Act and is regulated by the SBA. We serve as the investment adviser and administrator to SBIC LP. As an SBIC, the SBA regulates, among other matters, SBIC LP’s investing activities. See “Regulation” in the accompanying prospectus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supplement to reduce our then-outstanding obligations under our credit facility, to invest in new or existing portfolio companies or for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general corporate purposes. See “Use of Proceeds” in this prospectus supplement for information regarding our outstanding borrowings as of December 31, 2010, the corresponding interest rate charged on such borrowings as of that date and the length of time that it may take us to invest any proceeds in new or existing portfolio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in the accompanying prospectus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On February 1, 2011, we utilized the accordion feature of our credit facility and expanded the credit facility by $15.0 million, bringing our total credit facility availability to $315.0 million. On February 2, 2011, we announced that we increased our quarterly dividend to $0.27 per share, with a record date of March 15, 2011 and a payable date of April 1, 2011. Individuals who hold shares as of this record date and purchased shares in this offering will be eligible to receive such dividends.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 .</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the accompanying prospectus.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4.75%</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0.33%</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3.67%</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2.53%</w:t>
            </w:r>
            <w:r>
              <w:rPr>
                <w:rFonts w:ascii="Arial" w:cs="Arial" w:eastAsia="Arial" w:hAnsi="Arial"/>
                <w:sz w:val="11"/>
                <w:szCs w:val="11"/>
                <w:color w:val="auto"/>
                <w:w w:val="8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89"/>
              </w:rPr>
              <w:t>1.03%</w:t>
            </w:r>
            <w:r>
              <w:rPr>
                <w:rFonts w:ascii="Arial" w:cs="Arial" w:eastAsia="Arial" w:hAnsi="Arial"/>
                <w:sz w:val="11"/>
                <w:szCs w:val="11"/>
                <w:color w:val="auto"/>
                <w:w w:val="8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1.14%</w:t>
            </w:r>
            <w:r>
              <w:rPr>
                <w:rFonts w:ascii="Arial" w:cs="Arial" w:eastAsia="Arial" w:hAnsi="Arial"/>
                <w:sz w:val="11"/>
                <w:szCs w:val="11"/>
                <w:color w:val="auto"/>
                <w:w w:val="89"/>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74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underwriting discounts and commissions with respect to the shares sold in this offering, which is a one-time fee, is the only sales load paid in connection with this offering.</w:t>
      </w:r>
    </w:p>
    <w:p>
      <w:pPr>
        <w:ind w:left="460" w:right="3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$325,000 and is based on the offering of 8,000,000 shares at the public offering price of $12.40 per share.</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assets attributable to common shares equals average net assets at December 31, 2010 plus the anticipated net proceeds from this offering.</w:t>
      </w:r>
    </w:p>
    <w:p>
      <w:pPr>
        <w:spacing w:after="0" w:line="32" w:lineRule="exact"/>
        <w:rPr>
          <w:rFonts w:ascii="Arial" w:cs="Arial" w:eastAsia="Arial" w:hAnsi="Arial"/>
          <w:sz w:val="16"/>
          <w:szCs w:val="16"/>
          <w:color w:val="auto"/>
        </w:rPr>
      </w:pPr>
    </w:p>
    <w:p>
      <w:pPr>
        <w:ind w:left="460" w:right="6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 in the accompanying prospectus.</w:t>
      </w:r>
    </w:p>
    <w:p>
      <w:pPr>
        <w:ind w:left="460" w:right="2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2010,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2010. For more detailed information about the incentive fee, please see “Certain Relationships and Transactions—Investment Management Agreement” in the accompanying prospectus.</w:t>
      </w:r>
    </w:p>
    <w:p>
      <w:pPr>
        <w:spacing w:after="0" w:line="6" w:lineRule="exact"/>
        <w:rPr>
          <w:rFonts w:ascii="Arial" w:cs="Arial" w:eastAsia="Arial" w:hAnsi="Arial"/>
          <w:sz w:val="16"/>
          <w:szCs w:val="16"/>
          <w:color w:val="auto"/>
        </w:rPr>
      </w:pPr>
    </w:p>
    <w:p>
      <w:pPr>
        <w:ind w:left="460" w:right="4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31, 2010, we had $44.2 million unused borrowing capacity, subject to maintenance of the applicable total assets to debt ratio of 200%, and $255.8 million in borrowings outstanding under our $300.0 million credit facility. We may use proceeds of this offering to repay outstanding obligations under our credit facility. After completing this offering, we intend to continue to borrow under our credit facility to finance portfolio investments and are permitted to do so under the terms of our credit facility. We have estimated the interest payments on borrowed funds to take this into account; however, we caution you that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8"/>
          <w:szCs w:val="18"/>
          <w:color w:val="auto"/>
        </w:rPr>
        <w:t>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 in the accompanying prospectus.</w:t>
      </w:r>
    </w:p>
    <w:p>
      <w:pPr>
        <w:ind w:left="460" w:right="380" w:hanging="452"/>
        <w:spacing w:after="0" w:line="32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2010, annualized for a full year. See our Consolidated Statement of Operations in our consolidated financial statements in this prospectus supplement.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4.75% sales load (underwriting discounts and commissions) and offering expenses totaling 0.33%, (2) total net annual expenses of 5.84% of average net assets attributable to common shares for the three months ended December 31, 2010 as set forth in the table above (other than performance-based incentive fees) and (3) a 5% annual return:</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66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3 Years</w:t>
            </w:r>
          </w:p>
        </w:tc>
        <w:tc>
          <w:tcPr>
            <w:tcW w:w="6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5 Years</w:t>
            </w:r>
          </w:p>
        </w:tc>
        <w:tc>
          <w:tcPr>
            <w:tcW w:w="66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9"/>
              </w:rPr>
              <w:t>10 Years</w:t>
            </w:r>
          </w:p>
        </w:tc>
        <w:tc>
          <w:tcPr>
            <w:tcW w:w="10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540" w:type="dxa"/>
            <w:vAlign w:val="bottom"/>
            <w:gridSpan w:val="3"/>
            <w:shd w:val="clear" w:color="auto" w:fill="CCEEFF"/>
          </w:tcPr>
          <w:p>
            <w:pPr>
              <w:ind w:left="2500"/>
              <w:spacing w:after="0"/>
              <w:rPr>
                <w:sz w:val="20"/>
                <w:szCs w:val="20"/>
                <w:color w:val="auto"/>
              </w:rPr>
            </w:pPr>
            <w:r>
              <w:rPr>
                <w:rFonts w:ascii="Arial" w:cs="Arial" w:eastAsia="Arial" w:hAnsi="Arial"/>
                <w:sz w:val="18"/>
                <w:szCs w:val="18"/>
                <w:color w:val="auto"/>
              </w:rPr>
              <w:t>$ 106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$ 215</w:t>
            </w:r>
          </w:p>
        </w:tc>
        <w:tc>
          <w:tcPr>
            <w:tcW w:w="17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$ 322</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582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including the Management’s Discussion and Analysis of Financial Condition and Results of Operations, contains statements that constitute forward-looking statements, which relate to both us and our consolidated SBIC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supplement and the accompanying prospectus involve risks and uncertainties for both us and our consolidated SBIC subsidiary, including statements as to:</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Investment Adviser to locate suitable investments for us and to monitor and administer our investments.</w:t>
      </w:r>
    </w:p>
    <w:p>
      <w:pPr>
        <w:spacing w:after="0" w:line="171"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this prospectus supplement and the accompanying prospectus.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supplement and accompanying prospectus on information available to us on the date of this prospectus supplement, and we assume no obligation to update any such forward-looking statements. Although we undertake no obligation to revise or update any forward-looking statements in this prospectus supplement and accompanying prospectus,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You should understand that, under Section 27A(b)(2)(B) of the Securities Act and Section 21E(b)(2)(B) of the Exchange Act, the “safe harbor” provisions of the Private Securities Litigation Reform Act of 1995 do not apply to statements made in connection with any offering of securities pursuant to this prospectus supplement or the accompanying prospectus or in the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estimate that net proceeds we will receive from the sale of 8,000,000 shares of our common stock in this offering will be approximately $94.2 million (or approximately $108.3 million if the underwriters fully exercise their overallotment option), in each case based on a public offering price of $12.40 per share, after deducting the underwriting discounts and commissions of $4.7 million (or approximately $5.4 million if the underwriters fully exercise their overallotment option) payable by us and estimated offering expenses of approximately $325,000 payable by us.</w:t>
      </w:r>
    </w:p>
    <w:p>
      <w:pPr>
        <w:spacing w:after="0" w:line="11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2010, we had $44.2 million unused borrowing capacity, subject to maintenance of the applicable total assets to debt ratio of 200%, and $255.8 million in borrowings outstanding under our $300.0 million credit facility. Borrowings under our credit facility bear interest at an annual rate equal to LIBOR plus 100 basis points per annum. At December 31, 2010, the interest rate at that time was 1.28%. The credit facility is a five-year revolving facility with a stated maturity date of June 25, 2012 and is secured by substantially all of the assets in our investment portfolio, excluding assets of SBIC LP. Amounts repaid under our credit facility will remain available for future borrowings. See “Recent Developments” for more information.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2010, SBIC LP had a debenture commitment from the SBA in the amount of $100.0 million, had $30.0 million outstanding (including $29.5 million of temporary draws) with a weighted average interest rate of 0.96%, exclusive of the 3.43% of upfront fees, and had $70 million remaining unused borrowing capacity subject to customary regulatory requirements. SBA debentures offer competitive terms such as being non-recourse to us, having a 10-year maturity, requiring semi-annual interest payments, not requiring principal payments prior to maturity and may be prepaid at any time without penalty. The SBA debentures are secured by all the investment portfolio assets of SBIC LP and have a superior claim over such assets.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following table sets forth our cash and capitalization on December 31, 2010 (1) on an actual basis and (2) on an as-adjusted basis to reflect the effects of the sale of 8,000,000 shares of our common stock based on the public offering price of $12.40 per share, after deducting the underwriting discounts and commissions of $4.7 million payable by us and estimated offering expenses of approximately $325,000, ($11.77 per share net).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notes thereto, in conjunction with “Management’s Discussion and Analysis of Financial Condition and Results of Operations” included in this prospectus supplement and the accompanying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As of December 31, 2010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4"/>
              <w:spacing w:after="0" w:line="115" w:lineRule="exact"/>
              <w:rPr>
                <w:sz w:val="20"/>
                <w:szCs w:val="20"/>
                <w:color w:val="auto"/>
              </w:rPr>
            </w:pPr>
            <w:r>
              <w:rPr>
                <w:rFonts w:ascii="Arial" w:cs="Arial" w:eastAsia="Arial" w:hAnsi="Arial"/>
                <w:sz w:val="12"/>
                <w:szCs w:val="12"/>
                <w:b w:val="1"/>
                <w:bCs w:val="1"/>
                <w:color w:val="auto"/>
              </w:rPr>
              <w:t>As adjusted for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
              <w:spacing w:after="0" w:line="176" w:lineRule="exact"/>
              <w:rPr>
                <w:sz w:val="20"/>
                <w:szCs w:val="20"/>
                <w:color w:val="auto"/>
              </w:rPr>
            </w:pPr>
            <w:r>
              <w:rPr>
                <w:rFonts w:ascii="Arial" w:cs="Arial" w:eastAsia="Arial" w:hAnsi="Arial"/>
                <w:sz w:val="13"/>
                <w:szCs w:val="13"/>
                <w:b w:val="1"/>
                <w:bCs w:val="1"/>
                <w:color w:val="auto"/>
                <w:w w:val="89"/>
              </w:rPr>
              <w:t xml:space="preserve">the offering </w:t>
            </w:r>
            <w:r>
              <w:rPr>
                <w:rFonts w:ascii="Arial" w:cs="Arial" w:eastAsia="Arial" w:hAnsi="Arial"/>
                <w:sz w:val="20"/>
                <w:szCs w:val="20"/>
                <w:b w:val="1"/>
                <w:bCs w:val="1"/>
                <w:color w:val="auto"/>
                <w:w w:val="89"/>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3,022,137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717,319,253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811,482,253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senior secured credit facility (cost—$255,800,000)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248,445,750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248,445,750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Borrowings under SBA debentures (cost—$30,000,000)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30,000,000</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w w:val="88"/>
              </w:rPr>
              <w:t>Common stock, par value $0.001 per share; 100,000,000 shares authorized, 36,223,950 shares issued and outstanding,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ind w:left="200"/>
              <w:spacing w:after="0"/>
              <w:rPr>
                <w:sz w:val="20"/>
                <w:szCs w:val="20"/>
                <w:color w:val="auto"/>
              </w:rPr>
            </w:pPr>
            <w:r>
              <w:rPr>
                <w:rFonts w:ascii="Arial" w:cs="Arial" w:eastAsia="Arial" w:hAnsi="Arial"/>
                <w:sz w:val="18"/>
                <w:szCs w:val="18"/>
                <w:color w:val="auto"/>
              </w:rPr>
              <w:t>44,223,950 shares issued and outstanding, as-adjusted, respectively.</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36,224</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Paid in capital in excess of par</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429,267,895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523,422,895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3,672,171</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3,672,171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(63,618,182)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(63,618,182)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26,678,604</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26,678,604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7,354,250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7,354,250</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403,390,962</w:t>
            </w: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497,553,962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681,836,712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775,999,712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the underwriters’ over-allotment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7, 2011, the last reported closing price of our common stock was $13.05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3"/>
            <w:vMerge w:val="restart"/>
          </w:tcPr>
          <w:p>
            <w:pPr>
              <w:jc w:val="right"/>
              <w:ind w:right="113"/>
              <w:spacing w:after="0"/>
              <w:rPr>
                <w:sz w:val="20"/>
                <w:szCs w:val="20"/>
                <w:color w:val="auto"/>
              </w:rPr>
            </w:pPr>
            <w:r>
              <w:rPr>
                <w:rFonts w:ascii="Arial" w:cs="Arial" w:eastAsia="Arial" w:hAnsi="Arial"/>
                <w:sz w:val="14"/>
                <w:szCs w:val="14"/>
                <w:b w:val="1"/>
                <w:bCs w:val="1"/>
                <w:color w:val="auto"/>
                <w:w w:val="96"/>
              </w:rPr>
              <w:t>Closing Sales Price</w:t>
            </w:r>
          </w:p>
        </w:tc>
        <w:tc>
          <w:tcPr>
            <w:tcW w:w="46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80" w:type="dxa"/>
            <w:vAlign w:val="bottom"/>
            <w:tcBorders>
              <w:bottom w:val="single" w:sz="8" w:color="auto"/>
            </w:tcBorders>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6"/>
                <w:szCs w:val="6"/>
                <w:color w:val="auto"/>
              </w:rPr>
            </w:pPr>
          </w:p>
        </w:tc>
        <w:tc>
          <w:tcPr>
            <w:tcW w:w="760" w:type="dxa"/>
            <w:vAlign w:val="bottom"/>
            <w:gridSpan w:val="2"/>
            <w:vMerge w:val="restart"/>
          </w:tcPr>
          <w:p>
            <w:pPr>
              <w:jc w:val="right"/>
              <w:ind w:right="180"/>
              <w:spacing w:after="0" w:line="135" w:lineRule="exact"/>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gridSpan w:val="2"/>
            <w:vMerge w:val="restart"/>
          </w:tcPr>
          <w:p>
            <w:pPr>
              <w:jc w:val="right"/>
              <w:ind w:right="520"/>
              <w:spacing w:after="0" w:line="209"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15"/>
                <w:szCs w:val="15"/>
                <w:color w:val="auto"/>
              </w:rPr>
            </w:pPr>
          </w:p>
        </w:tc>
        <w:tc>
          <w:tcPr>
            <w:tcW w:w="1200" w:type="dxa"/>
            <w:vAlign w:val="bottom"/>
            <w:gridSpan w:val="2"/>
          </w:tcPr>
          <w:p>
            <w:pPr>
              <w:jc w:val="center"/>
              <w:ind w:right="56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96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NAV</w:t>
            </w:r>
            <w:r>
              <w:rPr>
                <w:rFonts w:ascii="Arial" w:cs="Arial" w:eastAsia="Arial" w:hAnsi="Arial"/>
                <w:sz w:val="20"/>
                <w:szCs w:val="20"/>
                <w:b w:val="1"/>
                <w:bCs w:val="1"/>
                <w:color w:val="auto"/>
                <w:w w:val="91"/>
                <w:vertAlign w:val="superscript"/>
              </w:rPr>
              <w:t>(2)</w:t>
            </w:r>
          </w:p>
        </w:tc>
        <w:tc>
          <w:tcPr>
            <w:tcW w:w="2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Second quarter (through February 7, 2011)</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$13.05</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$12.07</w:t>
            </w:r>
          </w:p>
        </w:tc>
        <w:tc>
          <w:tcPr>
            <w:tcW w:w="4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0.27</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114</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322"/>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10.94</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11.84</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108</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97</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11.86</w:t>
            </w:r>
          </w:p>
        </w:tc>
        <w:tc>
          <w:tcPr>
            <w:tcW w:w="500" w:type="dxa"/>
            <w:vAlign w:val="bottom"/>
          </w:tcPr>
          <w:p>
            <w:pPr>
              <w:jc w:val="right"/>
              <w:spacing w:after="0"/>
              <w:rPr>
                <w:sz w:val="20"/>
                <w:szCs w:val="20"/>
                <w:color w:val="auto"/>
              </w:rPr>
            </w:pPr>
            <w:r>
              <w:rPr>
                <w:rFonts w:ascii="Arial" w:cs="Arial" w:eastAsia="Arial" w:hAnsi="Arial"/>
                <w:sz w:val="18"/>
                <w:szCs w:val="18"/>
                <w:color w:val="auto"/>
              </w:rPr>
              <w:t>9.15</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77</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11.85</w:t>
            </w:r>
          </w:p>
        </w:tc>
        <w:tc>
          <w:tcPr>
            <w:tcW w:w="500" w:type="dxa"/>
            <w:vAlign w:val="bottom"/>
          </w:tcPr>
          <w:p>
            <w:pPr>
              <w:jc w:val="right"/>
              <w:spacing w:after="0"/>
              <w:rPr>
                <w:sz w:val="20"/>
                <w:szCs w:val="20"/>
                <w:color w:val="auto"/>
              </w:rPr>
            </w:pPr>
            <w:r>
              <w:rPr>
                <w:rFonts w:ascii="Arial" w:cs="Arial" w:eastAsia="Arial" w:hAnsi="Arial"/>
                <w:sz w:val="18"/>
                <w:szCs w:val="18"/>
                <w:color w:val="auto"/>
              </w:rPr>
              <w:t>9.06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76</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12.00</w:t>
            </w:r>
          </w:p>
        </w:tc>
        <w:tc>
          <w:tcPr>
            <w:tcW w:w="500" w:type="dxa"/>
            <w:vAlign w:val="bottom"/>
          </w:tcPr>
          <w:p>
            <w:pPr>
              <w:jc w:val="right"/>
              <w:spacing w:after="0"/>
              <w:rPr>
                <w:sz w:val="20"/>
                <w:szCs w:val="20"/>
                <w:color w:val="auto"/>
              </w:rPr>
            </w:pPr>
            <w:r>
              <w:rPr>
                <w:rFonts w:ascii="Arial" w:cs="Arial" w:eastAsia="Arial" w:hAnsi="Arial"/>
                <w:sz w:val="18"/>
                <w:szCs w:val="18"/>
                <w:color w:val="auto"/>
              </w:rPr>
              <w:t>4.05</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34</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22"/>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80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10.26</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12.07</w:t>
            </w:r>
          </w:p>
        </w:tc>
        <w:tc>
          <w:tcPr>
            <w:tcW w:w="500" w:type="dxa"/>
            <w:vAlign w:val="bottom"/>
          </w:tcPr>
          <w:p>
            <w:pPr>
              <w:jc w:val="right"/>
              <w:spacing w:after="0"/>
              <w:rPr>
                <w:sz w:val="20"/>
                <w:szCs w:val="20"/>
                <w:color w:val="auto"/>
              </w:rPr>
            </w:pPr>
            <w:r>
              <w:rPr>
                <w:rFonts w:ascii="Arial" w:cs="Arial" w:eastAsia="Arial" w:hAnsi="Arial"/>
                <w:sz w:val="18"/>
                <w:szCs w:val="18"/>
                <w:color w:val="auto"/>
              </w:rPr>
              <w:t>14.49</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120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140" w:type="dxa"/>
            <w:vAlign w:val="bottom"/>
            <w:gridSpan w:val="3"/>
          </w:tcPr>
          <w:p>
            <w:pPr>
              <w:jc w:val="right"/>
              <w:ind w:right="480"/>
              <w:spacing w:after="0"/>
              <w:rPr>
                <w:sz w:val="20"/>
                <w:szCs w:val="20"/>
                <w:color w:val="auto"/>
              </w:rPr>
            </w:pPr>
            <w:r>
              <w:rPr>
                <w:rFonts w:ascii="Arial" w:cs="Arial" w:eastAsia="Arial" w:hAnsi="Arial"/>
                <w:sz w:val="18"/>
                <w:szCs w:val="18"/>
                <w:color w:val="auto"/>
              </w:rPr>
              <w:t>12.83</w:t>
            </w:r>
          </w:p>
        </w:tc>
        <w:tc>
          <w:tcPr>
            <w:tcW w:w="500" w:type="dxa"/>
            <w:vAlign w:val="bottom"/>
          </w:tcPr>
          <w:p>
            <w:pPr>
              <w:jc w:val="right"/>
              <w:spacing w:after="0"/>
              <w:rPr>
                <w:sz w:val="20"/>
                <w:szCs w:val="20"/>
                <w:color w:val="auto"/>
              </w:rPr>
            </w:pPr>
            <w:r>
              <w:rPr>
                <w:rFonts w:ascii="Arial" w:cs="Arial" w:eastAsia="Arial" w:hAnsi="Arial"/>
                <w:sz w:val="18"/>
                <w:szCs w:val="18"/>
                <w:color w:val="auto"/>
              </w:rPr>
              <w:t>14.76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115</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109</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“Certain Relationships and Transactions” in the accompanying prospectus for more information.</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Payable April 1, 2011.</w:t>
      </w:r>
    </w:p>
    <w:p>
      <w:pPr>
        <w:spacing w:after="0" w:line="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$12.25 and $10.61 as of December 31, 2010 and September 30, 2010, respectively. Our NAV was $11.14 and $10.69, as of December 31, 2010 and September 30,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2010, 2009 and 2008, and for the period from January 11, 2007 (inception) through September 30, 2007 are derived from our financial statements which have been audited by KPMG LLP, our independent registered public accounting firm. This selected financial data for the periods ended September 30, 2010, 2009, 2008 and 2007 should be read in conjunction with our financial statements and related notes thereto and “Management’s Discussion and Analysis of Financial Condition and Results of Operations” and “Regulation—Senior Securities” in the accompanying prospectus. Interim results as of and for the three months ended December 31, 2010, are not necessarily indicative of the results that may be expected for the year ending September 30, 2011. This selected financial data for the three months ended December 31, 2010 should be read in conjunction with our consolidated financial statements and related notes thereto and “Management’s Discussion and Analysis of Financial Condition and Results of Operations” in this prospectus supplement.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Three months</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ended</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5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7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7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7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8"/>
              </w:rPr>
              <w:t>Audited</w:t>
            </w: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7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19,979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60,140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45,119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39,811</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expenses before base management fee waiver</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21,676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w w:val="99"/>
              </w:rPr>
              <w:t>Net expenses after base management fee waiver</w:t>
            </w:r>
            <w:r>
              <w:rPr>
                <w:rFonts w:ascii="Arial" w:cs="Arial" w:eastAsia="Arial" w:hAnsi="Arial"/>
                <w:sz w:val="11"/>
                <w:szCs w:val="11"/>
                <w:color w:val="auto"/>
                <w:w w:val="99"/>
              </w:rPr>
              <w:t>(1)</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8,808</w:t>
            </w:r>
          </w:p>
        </w:tc>
        <w:tc>
          <w:tcPr>
            <w:tcW w:w="820" w:type="dxa"/>
            <w:vAlign w:val="bottom"/>
          </w:tcPr>
          <w:p>
            <w:pPr>
              <w:jc w:val="right"/>
              <w:spacing w:after="0"/>
              <w:rPr>
                <w:sz w:val="20"/>
                <w:szCs w:val="20"/>
                <w:color w:val="auto"/>
              </w:rPr>
            </w:pPr>
            <w:r>
              <w:rPr>
                <w:rFonts w:ascii="Arial" w:cs="Arial" w:eastAsia="Arial" w:hAnsi="Arial"/>
                <w:sz w:val="18"/>
                <w:szCs w:val="18"/>
                <w:color w:val="auto"/>
              </w:rPr>
              <w:t>28,065</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21,255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11,171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14,351</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(15,539)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13,083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w:t>
            </w: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from operations</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25,522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0.31</w:t>
            </w: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0.40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rPr>
              <w:t>Net increase (decrease) in net assets resulting</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from operations</w:t>
            </w:r>
            <w:r>
              <w:rPr>
                <w:rFonts w:ascii="Arial" w:cs="Arial" w:eastAsia="Arial" w:hAnsi="Arial"/>
                <w:sz w:val="11"/>
                <w:szCs w:val="11"/>
                <w:color w:val="auto"/>
              </w:rPr>
              <w:t>(2)</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0.71</w:t>
            </w: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(0.26)</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(0.96)</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717,319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711,494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419,811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704,268</w:t>
            </w:r>
          </w:p>
        </w:tc>
        <w:tc>
          <w:tcPr>
            <w:tcW w:w="820" w:type="dxa"/>
            <w:vAlign w:val="bottom"/>
          </w:tcPr>
          <w:p>
            <w:pPr>
              <w:jc w:val="right"/>
              <w:spacing w:after="0"/>
              <w:rPr>
                <w:sz w:val="20"/>
                <w:szCs w:val="20"/>
                <w:color w:val="auto"/>
              </w:rPr>
            </w:pPr>
            <w:r>
              <w:rPr>
                <w:rFonts w:ascii="Arial" w:cs="Arial" w:eastAsia="Arial" w:hAnsi="Arial"/>
                <w:sz w:val="18"/>
                <w:szCs w:val="18"/>
                <w:color w:val="auto"/>
              </w:rPr>
              <w:t>664,724</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469,760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372,148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278,446</w:t>
            </w:r>
            <w:r>
              <w:rPr>
                <w:rFonts w:ascii="Arial" w:cs="Arial" w:eastAsia="Arial" w:hAnsi="Arial"/>
                <w:sz w:val="11"/>
                <w:szCs w:val="11"/>
                <w:color w:val="auto"/>
              </w:rPr>
              <w:t>(5)</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202,000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rPr>
              <w:t>Payable for investments and unfunded</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18,580</w:t>
            </w:r>
          </w:p>
        </w:tc>
        <w:tc>
          <w:tcPr>
            <w:tcW w:w="820" w:type="dxa"/>
            <w:vAlign w:val="bottom"/>
          </w:tcPr>
          <w:p>
            <w:pPr>
              <w:jc w:val="right"/>
              <w:spacing w:after="0"/>
              <w:rPr>
                <w:sz w:val="20"/>
                <w:szCs w:val="20"/>
                <w:color w:val="auto"/>
              </w:rPr>
            </w:pPr>
            <w:r>
              <w:rPr>
                <w:rFonts w:ascii="Arial" w:cs="Arial" w:eastAsia="Arial" w:hAnsi="Arial"/>
                <w:sz w:val="18"/>
                <w:szCs w:val="18"/>
                <w:color w:val="auto"/>
              </w:rPr>
              <w:t>74,988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25,821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403,391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386,575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210,728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17.91%</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45</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right="220" w:hanging="332"/>
        <w:spacing w:after="0" w:line="25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 See “Certain Relationships and Transaction” in the accompanying prospectus for more information.</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taking into account dividends and distributions, if any, reinvested in accordance with our dividend reinvestment plan. Total return is not annualized for a period less than one year.</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340" w:right="10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2011</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Q1</w:t>
            </w:r>
          </w:p>
        </w:tc>
        <w:tc>
          <w:tcPr>
            <w:tcW w:w="100" w:type="dxa"/>
            <w:vAlign w:val="bottom"/>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$19,979</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$25,522</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51"/>
        </w:trPr>
        <w:tc>
          <w:tcPr>
            <w:tcW w:w="7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5"/>
              </w:rPr>
              <w:t>Q2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5"/>
              </w:rPr>
              <w:t>Q1</w:t>
            </w:r>
          </w:p>
        </w:tc>
        <w:tc>
          <w:tcPr>
            <w:tcW w:w="140" w:type="dxa"/>
            <w:vAlign w:val="bottom"/>
            <w:gridSpan w:val="2"/>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16,681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16,335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13,525</w:t>
            </w: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$ 13,599</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8,957</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8,821</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7,059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7,238</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(10,090)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1,438</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6,630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4,260</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(3,031)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8,676</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10.69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11.07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11.86</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r>
      <w:tr>
        <w:trPr>
          <w:trHeight w:val="365"/>
        </w:trPr>
        <w:tc>
          <w:tcPr>
            <w:tcW w:w="7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5"/>
              </w:rPr>
              <w:t>Q2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5"/>
              </w:rPr>
              <w:t>Q1</w:t>
            </w:r>
          </w:p>
        </w:tc>
        <w:tc>
          <w:tcPr>
            <w:tcW w:w="140" w:type="dxa"/>
            <w:vAlign w:val="bottom"/>
            <w:gridSpan w:val="2"/>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11,847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10,770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10,425</w:t>
            </w:r>
          </w:p>
        </w:tc>
        <w:tc>
          <w:tcPr>
            <w:tcW w:w="2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$ 12,077</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6,018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5,666</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5,267</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5,768</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20,162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36,932</w:t>
            </w:r>
          </w:p>
        </w:tc>
        <w:tc>
          <w:tcPr>
            <w:tcW w:w="24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(37,525)</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26,180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42,199</w:t>
            </w:r>
          </w:p>
        </w:tc>
        <w:tc>
          <w:tcPr>
            <w:tcW w:w="240" w:type="dxa"/>
            <w:vAlign w:val="bottom"/>
          </w:tcPr>
          <w:p>
            <w:pPr>
              <w:spacing w:after="0"/>
              <w:rPr>
                <w:sz w:val="18"/>
                <w:szCs w:val="18"/>
                <w:color w:val="auto"/>
              </w:rPr>
            </w:pPr>
          </w:p>
        </w:tc>
        <w:tc>
          <w:tcPr>
            <w:tcW w:w="980" w:type="dxa"/>
            <w:vAlign w:val="bottom"/>
            <w:gridSpan w:val="6"/>
          </w:tcPr>
          <w:p>
            <w:pPr>
              <w:jc w:val="right"/>
              <w:ind w:right="80"/>
              <w:spacing w:after="0"/>
              <w:rPr>
                <w:sz w:val="20"/>
                <w:szCs w:val="20"/>
                <w:color w:val="auto"/>
              </w:rPr>
            </w:pPr>
            <w:r>
              <w:rPr>
                <w:rFonts w:ascii="Arial" w:cs="Arial" w:eastAsia="Arial" w:hAnsi="Arial"/>
                <w:sz w:val="18"/>
                <w:szCs w:val="18"/>
                <w:color w:val="auto"/>
              </w:rPr>
              <w:t>$ (31,757)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10.24</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r>
      <w:tr>
        <w:trPr>
          <w:trHeight w:val="365"/>
        </w:trPr>
        <w:tc>
          <w:tcPr>
            <w:tcW w:w="7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5"/>
              </w:rPr>
              <w:t>Q2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85"/>
              </w:rPr>
              <w:t>Q1</w:t>
            </w:r>
          </w:p>
        </w:tc>
        <w:tc>
          <w:tcPr>
            <w:tcW w:w="140" w:type="dxa"/>
            <w:vAlign w:val="bottom"/>
            <w:gridSpan w:val="2"/>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11,431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9,004</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5,434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3,941</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4,449</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4,732</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(16,475)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11,263</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(37,778)</w:t>
            </w:r>
          </w:p>
        </w:tc>
        <w:tc>
          <w:tcPr>
            <w:tcW w:w="9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(16,269)</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(11,041)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15,204</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(33,329)</w:t>
            </w:r>
          </w:p>
        </w:tc>
        <w:tc>
          <w:tcPr>
            <w:tcW w:w="980" w:type="dxa"/>
            <w:vAlign w:val="bottom"/>
            <w:gridSpan w:val="6"/>
          </w:tcPr>
          <w:p>
            <w:pPr>
              <w:jc w:val="right"/>
              <w:ind w:right="80"/>
              <w:spacing w:after="0"/>
              <w:rPr>
                <w:sz w:val="20"/>
                <w:szCs w:val="20"/>
                <w:color w:val="auto"/>
              </w:rPr>
            </w:pPr>
            <w:r>
              <w:rPr>
                <w:rFonts w:ascii="Arial" w:cs="Arial" w:eastAsia="Arial" w:hAnsi="Arial"/>
                <w:sz w:val="18"/>
                <w:szCs w:val="18"/>
                <w:color w:val="auto"/>
              </w:rPr>
              <w:t>$ (11,537)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(0.54)</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12.07</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10.02</w:t>
            </w:r>
          </w:p>
        </w:tc>
        <w:tc>
          <w:tcPr>
            <w:tcW w:w="100" w:type="dxa"/>
            <w:vAlign w:val="bottom"/>
            <w:shd w:val="clear" w:color="auto" w:fill="CCEEFF"/>
          </w:tcPr>
          <w:p>
            <w:pPr>
              <w:spacing w:after="0"/>
              <w:rPr>
                <w:sz w:val="18"/>
                <w:szCs w:val="18"/>
                <w:color w:val="auto"/>
              </w:rPr>
            </w:pPr>
          </w:p>
        </w:tc>
      </w:tr>
      <w:tr>
        <w:trPr>
          <w:trHeight w:val="365"/>
        </w:trPr>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5"/>
              </w:rPr>
              <w:t>Q3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99"/>
              </w:rPr>
              <w:t>Q2*</w:t>
            </w:r>
          </w:p>
        </w:tc>
        <w:tc>
          <w:tcPr>
            <w:tcW w:w="140" w:type="dxa"/>
            <w:vAlign w:val="bottom"/>
            <w:gridSpan w:val="2"/>
          </w:tcPr>
          <w:p>
            <w:pPr>
              <w:spacing w:after="0"/>
              <w:rPr>
                <w:sz w:val="12"/>
                <w:szCs w:val="12"/>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4,348</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3,208</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(251)</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(18,870)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(14,522)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(234)</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12.08</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320"/>
        <w:spacing w:after="0" w:line="3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Overview</w:t>
      </w:r>
    </w:p>
    <w:p>
      <w:pPr>
        <w:spacing w:after="0" w:line="2"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proceeds from public and private offerings of securities to finance our investment objectives. In the future, we may also securitize a portion of our investments to raise investment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PennantPark Investment, through the Investment Adviser, provides similar services to SBIC LP under its investment management agreement with us. The SBIC LP investment management agreement does not affect the management and incentive fees that we pay to the Investment Adviser on a consolidated basis. We have also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PennantPark Investment Advisers, supervises our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payments-in-kind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contractual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December 31, 2010, our portfolio totaled $704.3 million and consisted of $277.6 million of senior secured loans, $101.5 million of second lien secured debt, $266.8 million of subordinated debt and $58.4 million of preferred and common equity investments. Our portfolio consisted of 52% fixed rate investments, 34% variable rate investments with a LIBOR or prime floor and 14% variable rate investments. Overall, the portfolio had an unrealized appreciation of $26.7 million. Our overall portfolio consisted of 45 companies with an average investment size of $15.7 million, a weighted average yield on debt investments of 13.4%, and was invested 40% in senior secured loans, 14% in second lien secured debt, 38% in subordinated debt and 8% in preferred and common equity investments.</w:t>
      </w:r>
    </w:p>
    <w:p>
      <w:pPr>
        <w:spacing w:after="0" w:line="14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investments, 26% variable rate investments with a LIBOR or prime floor and 25% variable rate investments. Overall, the portfolio had an unrealized appreciation of $8.0 million.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December 31, 2010, we invested $99.9 million in six new portfolio companies and one existing portfolio company with a weighted average yield on debt investments of 15.0% (yield on debt investments, excluding value of attached equity, was 14.0%). Sales and repayments of long-term investments for the three months ended December 31, 2010 totaled $85.5 million.</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the three months ended December 31, 2009, we invested $50.5 million in six new and two existing portfolio companies with a weighted average yield on debt investments of 12.8%. Sales and repayments of long term investments for the three months ended December 31, 2009 totaled $16.8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generally accepted accounting principles (“GAAP”).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 in this prospectus supplement.</w:t>
      </w:r>
    </w:p>
    <w:p>
      <w:pPr>
        <w:spacing w:after="0" w:line="12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Fair Value Measurements, as defined under Accounting Standards Codification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at the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to using the above inputs in cash and cash equivalents, investments and long-term credit facility valuations, PennantPark Investment employs the valuation policy approved by its board of directors that is consistent with ASC 820 (See Note 2 to our consolidated financial statements in this prospectus supplement). Consistent with our valuation policy, PennantPark Investment evaluates the source of inputs, including any markets in which its investments are trading, in determining fair value.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of an investment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contractual prepayment premiums on loans and debt investments as income. Dividend income, if any, is recognized on an accrual basis on the ex-dividend date to the extent that we expect to collect such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Investment income for the three months ended December 31, 2010 was $20.0 million and was primarily attributable to $7.3 million from senior secured loans, $3.2 million from second lien secured debt investments and $7.4 million from subordinated debt investments. This compares to investment income for the three months ended December 31, 2009, which was $13.6 million, and was primarily attributable to $3.5 million from senior secured loans, $3.2 million from second lien secured debt investments and $5.4 million from subordinated debt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investments. The remaining investment income for the three months ended December 31, 2010 and 2009 was primarily attributed to interest income from net accretion of discount and amortization of premium. The increase in investment income compared with the same period in the prior year is due to the growth of our portfolio and by rotation out of lower yielding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for the three months ended December 31, 2010, totaled $8.8 million. Base management fee for the same period totaled $3.5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performance-based incentive fee totaled $2.8 million, credit facility and SBA debentures related expenses totaled $1.1 million,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totaled $1.3 million, and excise taxes totaled $0.1 million. This compares to expenses for the three months ended December 31, 2009, which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$6.4 million. Base management fee for the same period totaled $2.5 million, performance-based incentive fee totaled $1.8 million, credit facility related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totaled $0.8 million, general and administrative expenses totaled $1.1 million and excise taxes totaled $0.1 million. The increase in expenses is due to the growth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portfolio and net investment income.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investment income totaled $11.2 million, or $0.31 per share, for the three months ended December 31, 2010, and $7.2 million, or $0.28 per share, for the three months ended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and repayments of long-term investments for the three months ended December 31, 2010 totaled $85.5 million and realized gains totaled $2.3 million due to sales and repayments of our debt investments. Sales and repayments of long-term investments totaled $16.8 million and net realized losses totaled $16.6 million for the three months ended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or Depreciation on Investments and Credit Facility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For the three months ended December 31, 2010 and 2009, our investments had a net change in unrealized appreciation of $18.7 million and $23.9 million, respectively. The decrease in the net change in unrealized appreciation compared to the prior year is the result of the changes in the leveraged credit markets over the comparable period. On December 31, 2010 and September 30, 2010, net unrealized appreciation on investments totaled $26.7 million and $8.0 million, respectively.</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the three months ended December 31, 2010 and 2009, our long-term credit facility had a net change in unrealized appreciation of $6.6 million and $5.8 million, respectively. Net change in unrealized appreciation on our credit facility over the prior year is the result of it approaching maturity. On December 31, 2010 and September 30, 2010, net unrealized depreciation on our long-term credit facility totaled $7.4 million and $14.0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$25.5 million, or $0.71 per share, for the three months ended December 31, 2010. This compares to a net increase in net assets resulting from operations which totaled $8.7 million, or $0.34 per share, for the three months ended December 31, 2009. This increase in net assets from operations is due to the continued growth in net investment income as a result of growing our portfolio offset by the appreciation in the value of our credit facility as it approaches maturity.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other operating expenses we incur. We used, and expect to continue to use, these capital resources as well as proceeds from rotation out of our portfolio and from public and private offerings of securities to finance our investment objectives.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2010 and September 30, 2010, we had $44.2 million and $66.9 million, respectively,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PennantPark Investment entered into its credit facility, among us, various lenders and SunTrust Bank, as administrative agent for the lenders. SunTrust Robinson Humphrey Capital Markets acted as the joint lead arranger and JPMorgan Chase (Chase Lincoln First Commercial as successor in interest of Bear Stearns Corporate Lending Inc.) acted as joint lead arranger and syndication agent. As of December 31, 2010 and September 30, 2010, there were $255.8 million and $233.1 million (including a $5.2 million temporary draw) in outstanding borrowings under the credit facility, with a weighted average interest rate at the time of 1.28% and 1.34%, exclusive of the fee on undrawn commitment of 0.20%, respectively.</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0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120" w:firstLine="8"/>
        <w:spacing w:after="0" w:line="252" w:lineRule="auto"/>
        <w:tabs>
          <w:tab w:leader="none" w:pos="2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PennantPark Investment’s portfolio. As of December 31, 2010, we were in compliance with the terms of our credit facility.</w:t>
      </w:r>
    </w:p>
    <w:p>
      <w:pPr>
        <w:spacing w:after="0" w:line="14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raise additional equity or debt capital through both registered offerings off a shelf registration and private offerings of securities, by securitizing a portion of our investments or borrowing from the SBA through our SBIC subsidiary, among other considerations.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as our credit facility matures in June 2012. Furthermore, our availability under the credit facility depends on various covenants and restrictions discussed in the preceding paragraph. The primary uses of existing funds and any funds raised in the future is expected to be for repayment of indebtedness, investments in portfolio companies, cash distributions to our shareholders and other general corporate purposes. See “Recent Developments” for more information.</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months ended December 31, 2010, we did not sell shares of our common stock. This compares to selling 0.4 million shares for $3.3 million for the same period in the prior year. Any sale or other issuance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shares of our common stock at a price below net asset value per share has resulted and will continue to result in an immediate dilution to our stockholder’s interest in our common stock and a reduction of our net asset value per share.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2010, we had committed $50.0 million to SBIC LP, funded SBIC LP with equity capital of $50.0 million, had SBA debentures outstanding of $30.0 million with a weighted average interest rate at the time of 0.96%, exclusive of 3.43% of upfront fees, and had $70 million remaining unused borrowing capacity subject to customary regulatory requirements. As of September 30, 2010, we had committed $50.0 million to SBIC LP, funded SBIC LP with equity capital of $14.5 million, had SBA debentures outstanding of $14.5 million with a weighted average interest rate at the time of 0.84%, exclusive of 3.43% of upfront fees, and had $19 million remaining unused borrowing capacity.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2010, SBIC LP had a debenture commitment from the SBA in the amount of $100.0 million with $30.0 million outstanding. Of the $30.0 million of SBA debentures outstanding, $0.5 million is fixed for 10-years with a rate of 3.50% (inclusive of the SBA annual fee) and $29.5 million is temporary financing currently bearing a weighted average rate of 0.92% that will reset to a market-driven rate in March 2011 and will remain fixed thereafter for 10 years.</w:t>
      </w:r>
    </w:p>
    <w:p>
      <w:pPr>
        <w:spacing w:after="0" w:line="143"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December 31, 2010, SBIC LP was in compliance with its regulatory requirements.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filing of its SBA license application, PennantPark Investment has applied for exemptive relief from the SEC to permit us to exclude the debt of SBIC LP from our consolidated asset coverage ratio. There can be no assurance that we will be able to capitalize SBIC LP with sufficient regulatory capital to borrow the maximum amount available or that we will receive an exemptive relief from the SEC with respect to the SBA-guaranteed debentures.</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2010, we had approximately $60 million of assets bearing a coupon of 9% or lower. We will seek to rotate these assets into new higher yielding investments over time.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operating activities used cash of $27.3 million for the three months ended December 31, 2010, and our financing activities provided cash of $28.5 million for the same period, primarily from net borrowings under the credit facility and SBA debentures.</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operating activities used cash of $45.1 million for the three months ended December 31, 2009, and our financing activities provided cash of $18.9 million for the same period, primarily from proceeds on issuance of common stock and net borrowings on our credit facility.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2010 including, but not limited to, borrowings under our multi-currency $300.0 million, five-year, revolving credit facility maturing in June 2012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0"/>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1000" w:type="dxa"/>
            <w:vAlign w:val="bottom"/>
            <w:gridSpan w:val="2"/>
          </w:tcPr>
          <w:p>
            <w:pPr>
              <w:jc w:val="right"/>
              <w:ind w:right="82"/>
              <w:spacing w:after="0" w:line="129" w:lineRule="exact"/>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years</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2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SBA debentures</w:t>
            </w:r>
            <w:r>
              <w:rPr>
                <w:rFonts w:ascii="Arial" w:cs="Arial" w:eastAsia="Arial" w:hAnsi="Arial"/>
                <w:sz w:val="11"/>
                <w:szCs w:val="11"/>
                <w:color w:val="auto"/>
              </w:rPr>
              <w:t>(2)</w:t>
            </w:r>
          </w:p>
        </w:tc>
        <w:tc>
          <w:tcPr>
            <w:tcW w:w="19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center"/>
              <w:ind w:left="136"/>
              <w:spacing w:after="0"/>
              <w:rPr>
                <w:sz w:val="20"/>
                <w:szCs w:val="20"/>
                <w:color w:val="auto"/>
              </w:rPr>
            </w:pPr>
            <w:r>
              <w:rPr>
                <w:rFonts w:ascii="Arial" w:cs="Arial" w:eastAsia="Arial" w:hAnsi="Arial"/>
                <w:sz w:val="18"/>
                <w:szCs w:val="18"/>
                <w:color w:val="auto"/>
                <w:w w:val="85"/>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11"/>
                <w:szCs w:val="11"/>
                <w:color w:val="auto"/>
              </w:rPr>
              <w:t>(3)</w:t>
            </w:r>
          </w:p>
        </w:tc>
        <w:tc>
          <w:tcPr>
            <w:tcW w:w="1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5"/>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(4)</w:t>
            </w:r>
          </w:p>
        </w:tc>
        <w:tc>
          <w:tcPr>
            <w:tcW w:w="19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5"/>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2010, we had $44.2 million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ind w:left="460" w:right="3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2010, SBIC LP had $70.0 million of unused borrowing capacity under SBIC LP’s commitment from the SBA and $29.5 million of SBA debentures that will have a rate reset in March 2011.</w:t>
      </w:r>
    </w:p>
    <w:p>
      <w:pPr>
        <w:ind w:left="460" w:right="3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December 31, 2010 is 1.25% exclusive of the fee on the undrawn commitment of 0.20% on the credit facility and 3.43% of upfront fees on SBIC LP’s SBA debentures.</w:t>
      </w:r>
    </w:p>
    <w:p>
      <w:pPr>
        <w:ind w:left="460" w:right="6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 and subordinated debt investments.</w:t>
      </w:r>
    </w:p>
    <w:p>
      <w:pPr>
        <w:spacing w:after="0" w:line="13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the consolidated financial statements in this prospectus supplement.</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 in this prospectus supplement.</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 For the three months ended December 31, 2010 and 2009, we have elected to retain a portion of our calendar year income and record an excise tax of $0.1 million and $0.1 million, respectively.</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three months ended December 31, 2010 and 2009, we declared distributions of $0.26 and $0.25 per share, respectively, for total distributions of $9.4 million and $6.5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53"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4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business development company under the 1940 Act and/or due to provisions in future credit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December 31, 2010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intend to offer the shares through the underwriters named in the table below. Morgan Stanley &amp; Co. Incorporated, J.P. Morgan Securities LLC and Stifel, Nicolaus &amp; Company, Incorporated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3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1"/>
        </w:trPr>
        <w:tc>
          <w:tcPr>
            <w:tcW w:w="6740" w:type="dxa"/>
            <w:vAlign w:val="bottom"/>
            <w:gridSpan w:val="3"/>
          </w:tcPr>
          <w:p>
            <w:pPr>
              <w:spacing w:after="0"/>
              <w:rPr>
                <w:sz w:val="20"/>
                <w:szCs w:val="20"/>
                <w:color w:val="auto"/>
              </w:rPr>
            </w:pPr>
            <w:r>
              <w:rPr>
                <w:rFonts w:ascii="Arial" w:cs="Arial" w:eastAsia="Arial" w:hAnsi="Arial"/>
                <w:sz w:val="14"/>
                <w:szCs w:val="14"/>
                <w:b w:val="1"/>
                <w:bCs w:val="1"/>
                <w:color w:val="auto"/>
              </w:rPr>
              <w:t>Underwriter Names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900" w:type="dxa"/>
            <w:vAlign w:val="bottom"/>
          </w:tcPr>
          <w:p>
            <w:pPr>
              <w:jc w:val="right"/>
              <w:spacing w:after="0"/>
              <w:rPr>
                <w:sz w:val="20"/>
                <w:szCs w:val="20"/>
                <w:color w:val="auto"/>
              </w:rPr>
            </w:pPr>
            <w:r>
              <w:rPr>
                <w:rFonts w:ascii="Arial" w:cs="Arial" w:eastAsia="Arial" w:hAnsi="Arial"/>
                <w:sz w:val="18"/>
                <w:szCs w:val="18"/>
                <w:color w:val="auto"/>
              </w:rPr>
              <w:t>1,840,000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FBR Capital Markets &amp; Co.</w:t>
            </w:r>
          </w:p>
        </w:tc>
        <w:tc>
          <w:tcPr>
            <w:tcW w:w="900" w:type="dxa"/>
            <w:vAlign w:val="bottom"/>
          </w:tcPr>
          <w:p>
            <w:pPr>
              <w:jc w:val="right"/>
              <w:spacing w:after="0"/>
              <w:rPr>
                <w:sz w:val="20"/>
                <w:szCs w:val="20"/>
                <w:color w:val="auto"/>
              </w:rPr>
            </w:pPr>
            <w:r>
              <w:rPr>
                <w:rFonts w:ascii="Arial" w:cs="Arial" w:eastAsia="Arial" w:hAnsi="Arial"/>
                <w:sz w:val="18"/>
                <w:szCs w:val="18"/>
                <w:color w:val="auto"/>
              </w:rPr>
              <w:t>480,000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900" w:type="dxa"/>
            <w:vAlign w:val="bottom"/>
          </w:tcPr>
          <w:p>
            <w:pPr>
              <w:jc w:val="right"/>
              <w:spacing w:after="0"/>
              <w:rPr>
                <w:sz w:val="20"/>
                <w:szCs w:val="20"/>
                <w:color w:val="auto"/>
              </w:rPr>
            </w:pPr>
            <w:r>
              <w:rPr>
                <w:rFonts w:ascii="Arial" w:cs="Arial" w:eastAsia="Arial" w:hAnsi="Arial"/>
                <w:sz w:val="18"/>
                <w:szCs w:val="18"/>
                <w:color w:val="auto"/>
              </w:rPr>
              <w:t>480,000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gridSpan w:val="3"/>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over-allotment option described below, if they purchase any of the shares. The underwriters reserve the right to withdraw, cancel or modify offers to the public and to reject orders in whole or in part.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underwriters have advised us that they propose initially to offer the shares to the public at the public offering price on the cover page of this prospectus supplement and to dealers at that price less a concession not in excess of $0.589 per share. The underwriters may allow, and the dealers may reallow, a discount not in excess of $0.10 per share to other dealers. After the public offering, the public offering price, concession and discount may be changed.</w:t>
      </w:r>
    </w:p>
    <w:p>
      <w:pPr>
        <w:spacing w:after="0" w:line="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1,200,000 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Per Share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Without Option</w:t>
            </w:r>
          </w:p>
        </w:tc>
        <w:tc>
          <w:tcPr>
            <w:tcW w:w="50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With Option</w:t>
            </w:r>
          </w:p>
        </w:tc>
        <w:tc>
          <w:tcPr>
            <w:tcW w:w="60" w:type="dxa"/>
            <w:vAlign w:val="bottom"/>
          </w:tcPr>
          <w:p>
            <w:pPr>
              <w:spacing w:after="0"/>
              <w:rPr>
                <w:sz w:val="14"/>
                <w:szCs w:val="14"/>
                <w:color w:val="auto"/>
              </w:rPr>
            </w:pPr>
          </w:p>
        </w:tc>
      </w:tr>
      <w:tr>
        <w:trPr>
          <w:trHeight w:val="142"/>
        </w:trPr>
        <w:tc>
          <w:tcPr>
            <w:tcW w:w="8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12.40</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99,200,000</w:t>
            </w:r>
          </w:p>
        </w:tc>
        <w:tc>
          <w:tcPr>
            <w:tcW w:w="580" w:type="dxa"/>
            <w:vAlign w:val="bottom"/>
            <w:gridSpan w:val="2"/>
            <w:shd w:val="clear" w:color="auto" w:fill="CCEEFF"/>
          </w:tcPr>
          <w:p>
            <w:pPr>
              <w:ind w:left="50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114,080,000</w:t>
            </w:r>
          </w:p>
        </w:tc>
        <w:tc>
          <w:tcPr>
            <w:tcW w:w="60" w:type="dxa"/>
            <w:vAlign w:val="bottom"/>
            <w:shd w:val="clear" w:color="auto" w:fill="CCEEFF"/>
          </w:tcPr>
          <w:p>
            <w:pPr>
              <w:spacing w:after="0"/>
              <w:rPr>
                <w:sz w:val="12"/>
                <w:szCs w:val="12"/>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0.589</w:t>
            </w:r>
          </w:p>
        </w:tc>
        <w:tc>
          <w:tcPr>
            <w:tcW w:w="260" w:type="dxa"/>
            <w:vAlign w:val="bottom"/>
          </w:tcPr>
          <w:p>
            <w:pPr>
              <w:spacing w:after="0"/>
              <w:rPr>
                <w:sz w:val="12"/>
                <w:szCs w:val="12"/>
                <w:color w:val="auto"/>
              </w:rPr>
            </w:pPr>
          </w:p>
        </w:tc>
        <w:tc>
          <w:tcPr>
            <w:tcW w:w="4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4,712,000</w:t>
            </w:r>
          </w:p>
        </w:tc>
        <w:tc>
          <w:tcPr>
            <w:tcW w:w="580" w:type="dxa"/>
            <w:vAlign w:val="bottom"/>
            <w:gridSpan w:val="2"/>
          </w:tcPr>
          <w:p>
            <w:pPr>
              <w:ind w:left="5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5,418,800</w:t>
            </w:r>
          </w:p>
        </w:tc>
        <w:tc>
          <w:tcPr>
            <w:tcW w:w="60" w:type="dxa"/>
            <w:vAlign w:val="bottom"/>
          </w:tcPr>
          <w:p>
            <w:pPr>
              <w:spacing w:after="0"/>
              <w:rPr>
                <w:sz w:val="12"/>
                <w:szCs w:val="12"/>
                <w:color w:val="auto"/>
              </w:rPr>
            </w:pPr>
          </w:p>
        </w:tc>
      </w:tr>
      <w:tr>
        <w:trPr>
          <w:trHeight w:val="149"/>
        </w:trPr>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PennantPark Investment Corporation (before offering expenses of $325,000)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11.811</w:t>
            </w:r>
          </w:p>
        </w:tc>
        <w:tc>
          <w:tcPr>
            <w:tcW w:w="4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94,488,000</w:t>
            </w:r>
          </w:p>
        </w:tc>
        <w:tc>
          <w:tcPr>
            <w:tcW w:w="5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108,661,200</w:t>
            </w:r>
          </w:p>
        </w:tc>
        <w:tc>
          <w:tcPr>
            <w:tcW w:w="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1,200,000 additional shares at the public offering price less the underwriting discount. The underwriters may exercise this option for 30 days from the date of this prospectus supplement solely to cover any overallotments.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agreed, with exceptions, not to sell or transfer any common stock for 90 days after the date of this prospectus without first obtaining the written consent of Morgan Stanley &amp; Co. Incorporated, J.P. Morgan Securities LLC and Stifel, Nicolaus &amp; Company, Incorporated.</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Incorporated, J.P. Morgan Securities LLC and Stifel, Nicolaus &amp; Company, Incorporated. Specifically, we and these other individuals and entities have agreed not to directly or indirectly:</w:t>
      </w:r>
    </w:p>
    <w:p>
      <w:pPr>
        <w:spacing w:after="0" w:line="6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“PNNT”.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In making this determination, the underwriters will consider, among other things, the price of shares available for purchase in the open market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compared to the price at which the underwriters may purchase shares through the overallotment option. Purchases of the common stock to stabilize its price or to reduce a short position may cause the price of the common stock to be higher than it might be in the absence of such purchases.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separate fees.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PennantPark Investment or any of the portfolio companies.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Affiliates of certain of the underwriters serve as lenders under our credit facility. Some of the underwriters and their affiliates were underwriters in connection with our initial public offering and follow-on public offerings for which they received customary fees. Affiliates of the underwriters may receive part of the proceeds of the offering by reason of the repayment of certain amounts outstanding under our credit facility.</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principal business address of the underwriters are: Morgan Stanley &amp; Co. Incorporated is 1585 Broadway, New York, NY 10036; J.P. Morgan Securities LLC is 383 Madison Ave., New York, NY 10179; and Stifel, Nicolaus &amp; Company, Incorporated is One Financial Plaza, 501 N. Broadway, St. Louis, MO 63102.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four of whom are not “interested persons” of PennantPark Investment as defined in Section 2(a) (19) of the 1940 Act. We refer to these individuals as our independent directors. Our board of directors elects our officers, who serve at the discretion of the board of directors. Below is a summary of our board Composition and Leadership Structure. See “Management” in the accompanying prospectus 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The 1940 Act requires that at least a majority of the Company’s directors not be “interested persons” (as defined in the 1940 Act) of the Company. Currently, four of the Company’s five directors are Independent Directors; however the Chairman of the Board of Directors is an interested person of the Company. The Independent Directors believe that the combined position of Chief Executive Officer of the Company and Chairman of the Board of Directors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Adviser or PennantPark Investment Administration, LLC (the “Administrator”), is appropriate in light of the services that the Adviser and the Administrator provides to the Company and the potential conflicts of interest that could arise from these relationships.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Biographical Information.</w:t>
      </w:r>
    </w:p>
    <w:p>
      <w:pPr>
        <w:spacing w:after="0" w:line="9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Our Investment Adviser has experienced investment professionals who are partners of the firm.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See “Management,” “Certain Relationships and Transactions—Investment Management Agreement,” and “Risk Factors-Risks Relating to our Business and Structure” in the accompanying prospectus for more information.</w:t>
      </w:r>
    </w:p>
    <w:p>
      <w:pPr>
        <w:spacing w:after="0" w:line="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Arthur H. Penn,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Salvatore Giannetti III became Partner of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Securities and BT Alex Brown Inc.). From 1986 to 1997, Mr. Giannetti worked in the Investment Banking, Syndicated Loan &amp; Private Equity groups at Chase Securities Inc. and its predecessor firms, Chemical Securities and Manufacturers Hanover.</w:t>
      </w:r>
    </w:p>
    <w:p>
      <w:pPr>
        <w:spacing w:after="0" w:line="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 Whitridge Williams, Jr. became Partner of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2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Jose A. Briones became Partner of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Sutherland Asbill &amp; Brennan LLP, Washington, D.C.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ind w:left="12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0"/>
        </w:trPr>
        <w:tc>
          <w:tcPr>
            <w:tcW w:w="6580" w:type="dxa"/>
            <w:vAlign w:val="bottom"/>
            <w:gridSpan w:val="3"/>
          </w:tcPr>
          <w:p>
            <w:pPr>
              <w:spacing w:after="0" w:line="190" w:lineRule="exact"/>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ind w:left="1260"/>
              <w:spacing w:after="0" w:line="190" w:lineRule="exact"/>
              <w:rPr>
                <w:sz w:val="20"/>
                <w:szCs w:val="20"/>
                <w:color w:val="auto"/>
              </w:rPr>
            </w:pPr>
            <w:r>
              <w:rPr>
                <w:rFonts w:ascii="Arial" w:cs="Arial" w:eastAsia="Arial" w:hAnsi="Arial"/>
                <w:sz w:val="18"/>
                <w:szCs w:val="18"/>
                <w:b w:val="1"/>
                <w:bCs w:val="1"/>
                <w:color w:val="auto"/>
                <w:w w:val="78"/>
              </w:rPr>
              <w:t>S-33</w:t>
            </w:r>
          </w:p>
        </w:tc>
        <w:tc>
          <w:tcPr>
            <w:tcW w:w="0" w:type="dxa"/>
            <w:vAlign w:val="bottom"/>
          </w:tcPr>
          <w:p>
            <w:pPr>
              <w:spacing w:after="0"/>
              <w:rPr>
                <w:sz w:val="1"/>
                <w:szCs w:val="1"/>
                <w:color w:val="auto"/>
              </w:rPr>
            </w:pPr>
          </w:p>
        </w:tc>
      </w:tr>
      <w:tr>
        <w:trPr>
          <w:trHeight w:val="20"/>
        </w:trPr>
        <w:tc>
          <w:tcPr>
            <w:tcW w:w="3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vMerge w:val="restart"/>
          </w:tcPr>
          <w:p>
            <w:pPr>
              <w:ind w:left="1260"/>
              <w:spacing w:after="0"/>
              <w:rPr>
                <w:sz w:val="20"/>
                <w:szCs w:val="20"/>
                <w:color w:val="auto"/>
              </w:rPr>
            </w:pPr>
            <w:r>
              <w:rPr>
                <w:rFonts w:ascii="Arial" w:cs="Arial" w:eastAsia="Arial" w:hAnsi="Arial"/>
                <w:sz w:val="18"/>
                <w:szCs w:val="18"/>
                <w:b w:val="1"/>
                <w:bCs w:val="1"/>
                <w:color w:val="auto"/>
                <w:w w:val="78"/>
              </w:rPr>
              <w:t>S-34</w:t>
            </w:r>
          </w:p>
        </w:tc>
        <w:tc>
          <w:tcPr>
            <w:tcW w:w="0" w:type="dxa"/>
            <w:vAlign w:val="bottom"/>
          </w:tcPr>
          <w:p>
            <w:pPr>
              <w:spacing w:after="0" w:line="20" w:lineRule="exact"/>
              <w:rPr>
                <w:sz w:val="1"/>
                <w:szCs w:val="1"/>
                <w:color w:val="auto"/>
              </w:rPr>
            </w:pPr>
          </w:p>
        </w:tc>
      </w:tr>
      <w:tr>
        <w:trPr>
          <w:trHeight w:val="304"/>
        </w:trPr>
        <w:tc>
          <w:tcPr>
            <w:tcW w:w="974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Assets and Liabilities as of December 31, 2010 (unaudited) and September 30, 2010</w:t>
              </w:r>
            </w:hyperlink>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7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Operations for the three months ended December 31, 2010 and 2009 (unaudited)</w:t>
              </w:r>
            </w:hyperlink>
          </w:p>
        </w:tc>
        <w:tc>
          <w:tcPr>
            <w:tcW w:w="240" w:type="dxa"/>
            <w:vAlign w:val="bottom"/>
            <w:tcBorders>
              <w:top w:val="single" w:sz="8" w:color="0000EE"/>
            </w:tcBorders>
            <w:gridSpan w:val="2"/>
          </w:tcPr>
          <w:p>
            <w:pPr>
              <w:spacing w:after="0"/>
              <w:rPr>
                <w:sz w:val="24"/>
                <w:szCs w:val="24"/>
                <w:color w:val="auto"/>
              </w:rPr>
            </w:pPr>
          </w:p>
        </w:tc>
        <w:tc>
          <w:tcPr>
            <w:tcW w:w="1800" w:type="dxa"/>
            <w:vAlign w:val="bottom"/>
            <w:gridSpan w:val="2"/>
          </w:tcPr>
          <w:p>
            <w:pPr>
              <w:spacing w:after="0"/>
              <w:rPr>
                <w:sz w:val="24"/>
                <w:szCs w:val="24"/>
                <w:color w:val="auto"/>
              </w:rPr>
            </w:pPr>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S-35</w:t>
            </w:r>
          </w:p>
        </w:tc>
        <w:tc>
          <w:tcPr>
            <w:tcW w:w="0" w:type="dxa"/>
            <w:vAlign w:val="bottom"/>
          </w:tcPr>
          <w:p>
            <w:pPr>
              <w:spacing w:after="0"/>
              <w:rPr>
                <w:sz w:val="1"/>
                <w:szCs w:val="1"/>
                <w:color w:val="auto"/>
              </w:rPr>
            </w:pPr>
          </w:p>
        </w:tc>
      </w:tr>
      <w:tr>
        <w:trPr>
          <w:trHeight w:val="304"/>
        </w:trPr>
        <w:tc>
          <w:tcPr>
            <w:tcW w:w="6580" w:type="dxa"/>
            <w:vAlign w:val="bottom"/>
            <w:gridSpan w:val="3"/>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Statements of Changes in Net Assets for the three months ended December 31,</w:t>
              </w:r>
            </w:hyperlink>
          </w:p>
        </w:tc>
        <w:tc>
          <w:tcPr>
            <w:tcW w:w="3160" w:type="dxa"/>
            <w:vAlign w:val="bottom"/>
            <w:gridSpan w:val="6"/>
          </w:tcPr>
          <w:p>
            <w:pPr>
              <w:ind w:left="40"/>
              <w:spacing w:after="0"/>
              <w:rPr>
                <w:rFonts w:ascii="Arial" w:cs="Arial" w:eastAsia="Arial" w:hAnsi="Arial"/>
                <w:sz w:val="18"/>
                <w:szCs w:val="18"/>
                <w:color w:val="0000EE"/>
              </w:rPr>
            </w:pPr>
            <w:hyperlink w:anchor="page39">
              <w:r>
                <w:rPr>
                  <w:rFonts w:ascii="Arial" w:cs="Arial" w:eastAsia="Arial" w:hAnsi="Arial"/>
                  <w:sz w:val="18"/>
                  <w:szCs w:val="18"/>
                  <w:color w:val="0000EE"/>
                </w:rPr>
                <w:t>2010 and 2009 (unaudited)</w:t>
              </w:r>
            </w:hyperlink>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S-36</w:t>
            </w:r>
          </w:p>
        </w:tc>
        <w:tc>
          <w:tcPr>
            <w:tcW w:w="0" w:type="dxa"/>
            <w:vAlign w:val="bottom"/>
          </w:tcPr>
          <w:p>
            <w:pPr>
              <w:spacing w:after="0"/>
              <w:rPr>
                <w:sz w:val="1"/>
                <w:szCs w:val="1"/>
                <w:color w:val="auto"/>
              </w:rPr>
            </w:pPr>
          </w:p>
        </w:tc>
      </w:tr>
      <w:tr>
        <w:trPr>
          <w:trHeight w:val="304"/>
        </w:trPr>
        <w:tc>
          <w:tcPr>
            <w:tcW w:w="8500" w:type="dxa"/>
            <w:vAlign w:val="bottom"/>
            <w:tcBorders>
              <w:top w:val="single" w:sz="8" w:color="0000EE"/>
            </w:tcBorders>
            <w:gridSpan w:val="8"/>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Consolidated Statements of Cash Flows for the three months ended December 31, 2010 and 2009 (unaudited)</w:t>
              </w:r>
            </w:hyperlink>
          </w:p>
        </w:tc>
        <w:tc>
          <w:tcPr>
            <w:tcW w:w="1240" w:type="dxa"/>
            <w:vAlign w:val="bottom"/>
          </w:tcPr>
          <w:p>
            <w:pPr>
              <w:spacing w:after="0"/>
              <w:rPr>
                <w:sz w:val="24"/>
                <w:szCs w:val="24"/>
                <w:color w:val="auto"/>
              </w:rPr>
            </w:pPr>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S-37</w:t>
            </w:r>
          </w:p>
        </w:tc>
        <w:tc>
          <w:tcPr>
            <w:tcW w:w="0" w:type="dxa"/>
            <w:vAlign w:val="bottom"/>
          </w:tcPr>
          <w:p>
            <w:pPr>
              <w:spacing w:after="0"/>
              <w:rPr>
                <w:sz w:val="1"/>
                <w:szCs w:val="1"/>
                <w:color w:val="auto"/>
              </w:rPr>
            </w:pPr>
          </w:p>
        </w:tc>
      </w:tr>
      <w:tr>
        <w:trPr>
          <w:trHeight w:val="304"/>
        </w:trPr>
        <w:tc>
          <w:tcPr>
            <w:tcW w:w="6580" w:type="dxa"/>
            <w:vAlign w:val="bottom"/>
            <w:tcBorders>
              <w:top w:val="single" w:sz="8" w:color="0000EE"/>
            </w:tcBorders>
            <w:gridSpan w:val="3"/>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Consolidated Schedules of Investments as of December 31, 2010 (unaudited) and September</w:t>
              </w:r>
            </w:hyperlink>
          </w:p>
        </w:tc>
        <w:tc>
          <w:tcPr>
            <w:tcW w:w="1120" w:type="dxa"/>
            <w:vAlign w:val="bottom"/>
            <w:tcBorders>
              <w:top w:val="single" w:sz="8" w:color="0000EE"/>
            </w:tcBorders>
            <w:gridSpan w:val="2"/>
          </w:tcPr>
          <w:p>
            <w:pPr>
              <w:ind w:left="40"/>
              <w:spacing w:after="0"/>
              <w:rPr>
                <w:rFonts w:ascii="Arial" w:cs="Arial" w:eastAsia="Arial" w:hAnsi="Arial"/>
                <w:sz w:val="18"/>
                <w:szCs w:val="18"/>
                <w:color w:val="0000EE"/>
              </w:rPr>
            </w:pPr>
            <w:hyperlink w:anchor="page41">
              <w:r>
                <w:rPr>
                  <w:rFonts w:ascii="Arial" w:cs="Arial" w:eastAsia="Arial" w:hAnsi="Arial"/>
                  <w:sz w:val="18"/>
                  <w:szCs w:val="18"/>
                  <w:color w:val="0000EE"/>
                </w:rPr>
                <w:t>30, 2010</w:t>
              </w:r>
            </w:hyperlink>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S-38</w:t>
            </w:r>
          </w:p>
        </w:tc>
        <w:tc>
          <w:tcPr>
            <w:tcW w:w="0" w:type="dxa"/>
            <w:vAlign w:val="bottom"/>
          </w:tcPr>
          <w:p>
            <w:pPr>
              <w:spacing w:after="0"/>
              <w:rPr>
                <w:sz w:val="1"/>
                <w:szCs w:val="1"/>
                <w:color w:val="auto"/>
              </w:rPr>
            </w:pPr>
          </w:p>
        </w:tc>
      </w:tr>
      <w:tr>
        <w:trPr>
          <w:trHeight w:val="304"/>
        </w:trPr>
        <w:tc>
          <w:tcPr>
            <w:tcW w:w="6580" w:type="dxa"/>
            <w:vAlign w:val="bottom"/>
            <w:tcBorders>
              <w:top w:val="single" w:sz="8" w:color="0000EE"/>
            </w:tcBorders>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 (unaudited)</w:t>
              </w:r>
            </w:hyperlink>
          </w:p>
        </w:tc>
        <w:tc>
          <w:tcPr>
            <w:tcW w:w="6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ind w:left="1260"/>
              <w:spacing w:after="0"/>
              <w:rPr>
                <w:sz w:val="20"/>
                <w:szCs w:val="20"/>
                <w:color w:val="auto"/>
              </w:rPr>
            </w:pPr>
            <w:r>
              <w:rPr>
                <w:rFonts w:ascii="Arial" w:cs="Arial" w:eastAsia="Arial" w:hAnsi="Arial"/>
                <w:sz w:val="18"/>
                <w:szCs w:val="18"/>
                <w:b w:val="1"/>
                <w:bCs w:val="1"/>
                <w:color w:val="auto"/>
                <w:w w:val="78"/>
              </w:rPr>
              <w:t>S-47</w:t>
            </w:r>
          </w:p>
        </w:tc>
        <w:tc>
          <w:tcPr>
            <w:tcW w:w="0" w:type="dxa"/>
            <w:vAlign w:val="bottom"/>
          </w:tcPr>
          <w:p>
            <w:pPr>
              <w:spacing w:after="0"/>
              <w:rPr>
                <w:sz w:val="1"/>
                <w:szCs w:val="1"/>
                <w:color w:val="auto"/>
              </w:rPr>
            </w:pPr>
          </w:p>
        </w:tc>
      </w:tr>
      <w:tr>
        <w:trPr>
          <w:trHeight w:val="383"/>
        </w:trPr>
        <w:tc>
          <w:tcPr>
            <w:tcW w:w="39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ind w:left="1420"/>
              <w:spacing w:after="0"/>
              <w:rPr>
                <w:sz w:val="20"/>
                <w:szCs w:val="20"/>
                <w:color w:val="auto"/>
              </w:rPr>
            </w:pPr>
            <w:r>
              <w:rPr>
                <w:rFonts w:ascii="Arial" w:cs="Arial" w:eastAsia="Arial" w:hAnsi="Arial"/>
                <w:sz w:val="18"/>
                <w:szCs w:val="18"/>
                <w:color w:val="auto"/>
              </w:rPr>
              <w:t>S-32</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Investment Corporation and subsidiaries (the “Company”), including the consolidated schedules of investments, as of December 31, 2010, and the consolidated statements of operations, changes in net assets, and cash flows for the three month periods ended December 31, 2010 and 2009. These interim consolidated financial statements are the responsibility of the Company’s management.</w:t>
      </w:r>
    </w:p>
    <w:p>
      <w:pPr>
        <w:spacing w:after="0" w:line="143"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PennantPark Investment Corporation and subsidiaries, including the consolidated schedule of investments, as of September 30, 2010; and in our report dated November 17, 2010,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123315" cy="231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3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4"/>
              </w:rPr>
              <w:t>(unaudited)</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2010</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 (cost—$651,948,035 and $631,280,755,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680,710,779</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641,290,626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320" w:type="dxa"/>
            <w:vAlign w:val="bottom"/>
          </w:tcPr>
          <w:p>
            <w:pPr>
              <w:ind w:left="440"/>
              <w:spacing w:after="0"/>
              <w:rPr>
                <w:sz w:val="20"/>
                <w:szCs w:val="20"/>
                <w:color w:val="auto"/>
              </w:rPr>
            </w:pPr>
            <w:r>
              <w:rPr>
                <w:rFonts w:ascii="Arial" w:cs="Arial" w:eastAsia="Arial" w:hAnsi="Arial"/>
                <w:sz w:val="18"/>
                <w:szCs w:val="18"/>
                <w:color w:val="auto"/>
              </w:rPr>
              <w:t>Non-controlled, affiliated investments, at fair value (cost—$17,641,671 and $17,427,648,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15,557,531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15,433,680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Controlled, affiliated investments, at fair value (cost—$8,000,100 and $8,000,100,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20" w:type="dxa"/>
            <w:vAlign w:val="bottom"/>
          </w:tcPr>
          <w:p>
            <w:pPr>
              <w:ind w:left="440"/>
              <w:spacing w:after="0"/>
              <w:rPr>
                <w:sz w:val="20"/>
                <w:szCs w:val="20"/>
                <w:color w:val="auto"/>
              </w:rPr>
            </w:pPr>
            <w:r>
              <w:rPr>
                <w:rFonts w:ascii="Arial" w:cs="Arial" w:eastAsia="Arial" w:hAnsi="Arial"/>
                <w:sz w:val="18"/>
                <w:szCs w:val="18"/>
                <w:color w:val="auto"/>
              </w:rPr>
              <w:t>Total Investments, at fair value (cost—$677,589,806 and $656,708,503,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704,268,410</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664,724,406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7,357,002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12,814,096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investments sold</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30,254,774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2,671,704</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717,319,253</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711,493,846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9,418,227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18,580,431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22,203,434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Credit facility payable (cost—$255,800,000 and $233,100,000, respectively) (See Notes 5 and 10)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248,445,750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219,141,125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(cost—$30,000,000 and $14,500,000, respectively) (See Note 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267,310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3,498,594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2,792,994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2,239,011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924,985</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313,928,291</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324,918,623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20" w:type="dxa"/>
            <w:vAlign w:val="bottom"/>
          </w:tcPr>
          <w:p>
            <w:pPr>
              <w:spacing w:after="0"/>
              <w:rPr>
                <w:sz w:val="20"/>
                <w:szCs w:val="20"/>
                <w:color w:val="auto"/>
              </w:rPr>
            </w:pPr>
            <w:r>
              <w:rPr>
                <w:rFonts w:ascii="Arial" w:cs="Arial" w:eastAsia="Arial" w:hAnsi="Arial"/>
                <w:sz w:val="18"/>
                <w:szCs w:val="18"/>
                <w:color w:val="auto"/>
                <w:w w:val="99"/>
              </w:rPr>
              <w:t>Common stock, par value $0.001 per share, 100,000,000 shares authorized, 36,223,950 and 36,158,772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22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36,224</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429,267,895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428,675,184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3,672,171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1,800,646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5"/>
              </w:rPr>
              <w:t>(63,618,182)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(65,911,544)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26,678,604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8,015,903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7,354,250</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2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403,390,962</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386,575,223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717,319,253</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711,493,846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Three Months Ended December 31,</w:t>
            </w:r>
          </w:p>
        </w:tc>
      </w:tr>
      <w:tr>
        <w:trPr>
          <w:trHeight w:val="168"/>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18,559,165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12,951,233</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846,584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319,603</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363,432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327,649</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19,979,181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13,598,485</w:t>
            </w: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3,498,594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2,524,653</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2,792,994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1,809,380</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1,135,427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818,683</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579,055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557,504</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8,689,429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8,808,396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11,170,785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7,237,888</w:t>
            </w:r>
          </w:p>
        </w:tc>
      </w:tr>
      <w:tr>
        <w:trPr>
          <w:trHeight w:val="221"/>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2,293,362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(16,603,865)</w:t>
            </w: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18,752,873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24,093,662</w:t>
            </w: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(90,172)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(212,524)</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(See Note 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(6,604,625)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(5,838,914)</w:t>
            </w:r>
          </w:p>
        </w:tc>
      </w:tr>
      <w:tr>
        <w:trPr>
          <w:trHeight w:val="230"/>
        </w:trPr>
        <w:tc>
          <w:tcPr>
            <w:tcW w:w="20" w:type="dxa"/>
            <w:vAlign w:val="bottom"/>
          </w:tcPr>
          <w:p>
            <w:pPr>
              <w:spacing w:after="0"/>
              <w:rPr>
                <w:sz w:val="20"/>
                <w:szCs w:val="20"/>
                <w:color w:val="auto"/>
              </w:rPr>
            </w:pPr>
          </w:p>
        </w:tc>
        <w:tc>
          <w:tcPr>
            <w:tcW w:w="8840" w:type="dxa"/>
            <w:vAlign w:val="bottom"/>
          </w:tcPr>
          <w:p>
            <w:pPr>
              <w:ind w:left="420"/>
              <w:spacing w:after="0"/>
              <w:rPr>
                <w:sz w:val="20"/>
                <w:szCs w:val="20"/>
                <w:color w:val="auto"/>
              </w:rPr>
            </w:pPr>
            <w:r>
              <w:rPr>
                <w:rFonts w:ascii="Arial" w:cs="Arial" w:eastAsia="Arial" w:hAnsi="Arial"/>
                <w:sz w:val="18"/>
                <w:szCs w:val="18"/>
                <w:b w:val="1"/>
                <w:bCs w:val="1"/>
                <w:color w:val="auto"/>
              </w:rPr>
              <w:t>Net change in unrealized appreciation</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12,058,076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18,042,224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14,351,438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25,522,223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8,676,247</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increase in net assets resulting from operations per common share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 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22"/>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from operations: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11,170,785</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7,237,888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(loss) on investments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2,293,362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18,662,701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23,881,138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(6,604,625)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(5,838,914)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25,522,223</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8,676,247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(9,418,227)</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(6,452,193)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711,743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net assets</w:t>
            </w:r>
          </w:p>
        </w:tc>
        <w:tc>
          <w:tcPr>
            <w:tcW w:w="2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16,815,739</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Beginning of period</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386,575,223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300,580,268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403,390,962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306,148,322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Undistributed net investment income, at period end</w:t>
            </w: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4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3,672,171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2,675,930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Reinvestment of dividends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25,522,223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8,676,247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reconcile net increase in net assets resulting from operations to net cash used for operating</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(18,662,701)</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(23,881,138)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6,604,625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(2,293,362)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(1,214,474)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(1,271,930)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(99,940,829)</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(50,481,259)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(2,968,067)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(1,159,733)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85,535,428</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5,457,094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30,254,774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2,680,116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255,290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(52,785,000)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(3,623,003)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Increase (Decrease) in interest payable on credit facility and/or SBA debentures</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52,175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211,778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553,983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(221,836)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(27,261,902)</w:t>
            </w: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(45,083,996)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10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 net of dividends reinvested</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(8,689,537)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Borrowings under SBA debentures (See Note 10)</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15,500,000</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Capitalized borrowing costs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(1,040,875)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136,000,000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51,300,000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(113,300,000)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(30,700,000)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28,469,588</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18,887,495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1,207,686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(26,196,501)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1,814,451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33,247,666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3,022,137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7,051,165</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931,687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Dividends reinvested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711,743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Spread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00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Maturity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6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92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Par/Shares</w:t>
            </w:r>
          </w:p>
        </w:tc>
        <w:tc>
          <w:tcPr>
            <w:tcW w:w="120" w:type="dxa"/>
            <w:vAlign w:val="bottom"/>
          </w:tcPr>
          <w:p>
            <w:pPr>
              <w:spacing w:after="0"/>
              <w:rPr>
                <w:sz w:val="15"/>
                <w:szCs w:val="15"/>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Investments in Non-Controlled, Non-Affiliated Portfolio Companies—168.7%</w:t>
            </w:r>
            <w:r>
              <w:rPr>
                <w:rFonts w:ascii="Arial" w:cs="Arial" w:eastAsia="Arial" w:hAnsi="Arial"/>
                <w:sz w:val="11"/>
                <w:szCs w:val="11"/>
                <w:b w:val="1"/>
                <w:bCs w:val="1"/>
                <w:color w:val="auto"/>
              </w:rPr>
              <w:t>(1),(2)</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First Lien Secured Debt—67.4%</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Affinity Group Holdings, Inc.</w:t>
            </w:r>
            <w:r>
              <w:rPr>
                <w:rFonts w:ascii="Arial" w:cs="Arial" w:eastAsia="Arial" w:hAnsi="Arial"/>
                <w:sz w:val="11"/>
                <w:szCs w:val="11"/>
                <w:color w:val="auto"/>
              </w:rPr>
              <w:t>(5)</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12/01/2016</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Consumer Products</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$12,000,000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$ 11,751,046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$ 11,790,000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gridSpan w:val="3"/>
          </w:tcPr>
          <w:p>
            <w:pPr>
              <w:spacing w:after="0" w:line="49" w:lineRule="exact"/>
              <w:rPr>
                <w:sz w:val="20"/>
                <w:szCs w:val="20"/>
                <w:color w:val="auto"/>
              </w:rPr>
            </w:pPr>
            <w:r>
              <w:rPr>
                <w:rFonts w:ascii="Arial" w:cs="Arial" w:eastAsia="Arial" w:hAnsi="Arial"/>
                <w:sz w:val="5"/>
                <w:szCs w:val="5"/>
                <w:color w:val="auto"/>
              </w:rPr>
              <w:t>Airvana Networks Solution, Inc.</w:t>
            </w:r>
          </w:p>
        </w:tc>
        <w:tc>
          <w:tcPr>
            <w:tcW w:w="1220" w:type="dxa"/>
            <w:vAlign w:val="bottom"/>
            <w:gridSpan w:val="2"/>
          </w:tcPr>
          <w:p>
            <w:pPr>
              <w:jc w:val="right"/>
              <w:ind w:right="360"/>
              <w:spacing w:after="0" w:line="49" w:lineRule="exact"/>
              <w:rPr>
                <w:sz w:val="20"/>
                <w:szCs w:val="20"/>
                <w:color w:val="auto"/>
              </w:rPr>
            </w:pPr>
            <w:r>
              <w:rPr>
                <w:rFonts w:ascii="Arial" w:cs="Arial" w:eastAsia="Arial" w:hAnsi="Arial"/>
                <w:sz w:val="5"/>
                <w:szCs w:val="5"/>
                <w:color w:val="auto"/>
              </w:rPr>
              <w:t>08/27/2014</w:t>
            </w:r>
          </w:p>
        </w:tc>
        <w:tc>
          <w:tcPr>
            <w:tcW w:w="1620" w:type="dxa"/>
            <w:vAlign w:val="bottom"/>
          </w:tcPr>
          <w:p>
            <w:pPr>
              <w:jc w:val="center"/>
              <w:spacing w:after="0" w:line="49" w:lineRule="exact"/>
              <w:rPr>
                <w:sz w:val="20"/>
                <w:szCs w:val="20"/>
                <w:color w:val="auto"/>
              </w:rPr>
            </w:pPr>
            <w:r>
              <w:rPr>
                <w:rFonts w:ascii="Arial" w:cs="Arial" w:eastAsia="Arial" w:hAnsi="Arial"/>
                <w:sz w:val="5"/>
                <w:szCs w:val="5"/>
                <w:color w:val="auto"/>
              </w:rPr>
              <w:t>Communications</w:t>
            </w:r>
          </w:p>
        </w:tc>
        <w:tc>
          <w:tcPr>
            <w:tcW w:w="1100" w:type="dxa"/>
            <w:vAlign w:val="bottom"/>
            <w:gridSpan w:val="3"/>
          </w:tcPr>
          <w:p>
            <w:pPr>
              <w:jc w:val="right"/>
              <w:ind w:right="320"/>
              <w:spacing w:after="0" w:line="49" w:lineRule="exact"/>
              <w:rPr>
                <w:sz w:val="20"/>
                <w:szCs w:val="20"/>
                <w:color w:val="auto"/>
              </w:rPr>
            </w:pPr>
            <w:r>
              <w:rPr>
                <w:rFonts w:ascii="Arial" w:cs="Arial" w:eastAsia="Arial" w:hAnsi="Arial"/>
                <w:sz w:val="5"/>
                <w:szCs w:val="5"/>
                <w:color w:val="auto"/>
              </w:rPr>
              <w:t>11.00%</w:t>
            </w:r>
          </w:p>
        </w:tc>
        <w:tc>
          <w:tcPr>
            <w:tcW w:w="920" w:type="dxa"/>
            <w:vAlign w:val="bottom"/>
            <w:gridSpan w:val="2"/>
          </w:tcPr>
          <w:p>
            <w:pPr>
              <w:jc w:val="right"/>
              <w:ind w:right="260"/>
              <w:spacing w:after="0" w:line="49" w:lineRule="exact"/>
              <w:rPr>
                <w:sz w:val="20"/>
                <w:szCs w:val="20"/>
                <w:color w:val="auto"/>
              </w:rPr>
            </w:pPr>
            <w:r>
              <w:rPr>
                <w:rFonts w:ascii="Arial" w:cs="Arial" w:eastAsia="Arial" w:hAnsi="Arial"/>
                <w:sz w:val="5"/>
                <w:szCs w:val="5"/>
                <w:color w:val="auto"/>
              </w:rPr>
              <w:t>L+900</w:t>
            </w:r>
          </w:p>
        </w:tc>
        <w:tc>
          <w:tcPr>
            <w:tcW w:w="1120" w:type="dxa"/>
            <w:vAlign w:val="bottom"/>
            <w:gridSpan w:val="3"/>
          </w:tcPr>
          <w:p>
            <w:pPr>
              <w:jc w:val="right"/>
              <w:ind w:right="120"/>
              <w:spacing w:after="0" w:line="49" w:lineRule="exact"/>
              <w:rPr>
                <w:sz w:val="20"/>
                <w:szCs w:val="20"/>
                <w:color w:val="auto"/>
              </w:rPr>
            </w:pPr>
            <w:r>
              <w:rPr>
                <w:rFonts w:ascii="Arial" w:cs="Arial" w:eastAsia="Arial" w:hAnsi="Arial"/>
                <w:sz w:val="5"/>
                <w:szCs w:val="5"/>
                <w:color w:val="auto"/>
              </w:rPr>
              <w:t>11,833,333</w:t>
            </w:r>
          </w:p>
        </w:tc>
        <w:tc>
          <w:tcPr>
            <w:tcW w:w="1100" w:type="dxa"/>
            <w:vAlign w:val="bottom"/>
            <w:gridSpan w:val="2"/>
          </w:tcPr>
          <w:p>
            <w:pPr>
              <w:jc w:val="right"/>
              <w:spacing w:after="0" w:line="49" w:lineRule="exact"/>
              <w:rPr>
                <w:sz w:val="20"/>
                <w:szCs w:val="20"/>
                <w:color w:val="auto"/>
              </w:rPr>
            </w:pPr>
            <w:r>
              <w:rPr>
                <w:rFonts w:ascii="Arial" w:cs="Arial" w:eastAsia="Arial" w:hAnsi="Arial"/>
                <w:sz w:val="5"/>
                <w:szCs w:val="5"/>
                <w:color w:val="auto"/>
              </w:rPr>
              <w:t>11,614,917</w:t>
            </w:r>
          </w:p>
        </w:tc>
        <w:tc>
          <w:tcPr>
            <w:tcW w:w="1220" w:type="dxa"/>
            <w:vAlign w:val="bottom"/>
            <w:gridSpan w:val="2"/>
          </w:tcPr>
          <w:p>
            <w:pPr>
              <w:jc w:val="right"/>
              <w:spacing w:after="0" w:line="49" w:lineRule="exact"/>
              <w:rPr>
                <w:sz w:val="20"/>
                <w:szCs w:val="20"/>
                <w:color w:val="auto"/>
              </w:rPr>
            </w:pPr>
            <w:r>
              <w:rPr>
                <w:rFonts w:ascii="Arial" w:cs="Arial" w:eastAsia="Arial" w:hAnsi="Arial"/>
                <w:sz w:val="5"/>
                <w:szCs w:val="5"/>
                <w:color w:val="auto"/>
              </w:rPr>
              <w:t>11,853,060</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vMerge w:val="continue"/>
          </w:tcPr>
          <w:p>
            <w:pPr>
              <w:spacing w:after="0"/>
              <w:rPr>
                <w:sz w:val="4"/>
                <w:szCs w:val="4"/>
                <w:color w:val="auto"/>
              </w:rPr>
            </w:pPr>
          </w:p>
        </w:tc>
        <w:tc>
          <w:tcPr>
            <w:tcW w:w="3000" w:type="dxa"/>
            <w:vAlign w:val="bottom"/>
            <w:gridSpan w:val="3"/>
            <w:shd w:val="clear" w:color="auto" w:fill="CCEEFF"/>
          </w:tcPr>
          <w:p>
            <w:pPr>
              <w:spacing w:after="0" w:line="49" w:lineRule="exact"/>
              <w:rPr>
                <w:sz w:val="20"/>
                <w:szCs w:val="20"/>
                <w:color w:val="auto"/>
              </w:rPr>
            </w:pPr>
            <w:r>
              <w:rPr>
                <w:rFonts w:ascii="Arial" w:cs="Arial" w:eastAsia="Arial" w:hAnsi="Arial"/>
                <w:sz w:val="5"/>
                <w:szCs w:val="5"/>
                <w:color w:val="auto"/>
              </w:rPr>
              <w:t>Birch Communications, Inc.</w:t>
            </w:r>
          </w:p>
        </w:tc>
        <w:tc>
          <w:tcPr>
            <w:tcW w:w="1220" w:type="dxa"/>
            <w:vAlign w:val="bottom"/>
            <w:gridSpan w:val="2"/>
            <w:shd w:val="clear" w:color="auto" w:fill="CCEEFF"/>
          </w:tcPr>
          <w:p>
            <w:pPr>
              <w:jc w:val="right"/>
              <w:ind w:right="360"/>
              <w:spacing w:after="0" w:line="49" w:lineRule="exact"/>
              <w:rPr>
                <w:sz w:val="20"/>
                <w:szCs w:val="20"/>
                <w:color w:val="auto"/>
              </w:rPr>
            </w:pPr>
            <w:r>
              <w:rPr>
                <w:rFonts w:ascii="Arial" w:cs="Arial" w:eastAsia="Arial" w:hAnsi="Arial"/>
                <w:sz w:val="5"/>
                <w:szCs w:val="5"/>
                <w:color w:val="auto"/>
              </w:rPr>
              <w:t>06/21/2015</w:t>
            </w:r>
          </w:p>
        </w:tc>
        <w:tc>
          <w:tcPr>
            <w:tcW w:w="1620" w:type="dxa"/>
            <w:vAlign w:val="bottom"/>
            <w:shd w:val="clear" w:color="auto" w:fill="CCEEFF"/>
          </w:tcPr>
          <w:p>
            <w:pPr>
              <w:jc w:val="center"/>
              <w:spacing w:after="0" w:line="49" w:lineRule="exact"/>
              <w:rPr>
                <w:sz w:val="20"/>
                <w:szCs w:val="20"/>
                <w:color w:val="auto"/>
              </w:rPr>
            </w:pPr>
            <w:r>
              <w:rPr>
                <w:rFonts w:ascii="Arial" w:cs="Arial" w:eastAsia="Arial" w:hAnsi="Arial"/>
                <w:sz w:val="5"/>
                <w:szCs w:val="5"/>
                <w:color w:val="auto"/>
              </w:rPr>
              <w:t>Telecommunications</w:t>
            </w:r>
          </w:p>
        </w:tc>
        <w:tc>
          <w:tcPr>
            <w:tcW w:w="1100" w:type="dxa"/>
            <w:vAlign w:val="bottom"/>
            <w:gridSpan w:val="3"/>
            <w:shd w:val="clear" w:color="auto" w:fill="CCEEFF"/>
          </w:tcPr>
          <w:p>
            <w:pPr>
              <w:jc w:val="right"/>
              <w:ind w:right="320"/>
              <w:spacing w:after="0" w:line="49" w:lineRule="exact"/>
              <w:rPr>
                <w:sz w:val="20"/>
                <w:szCs w:val="20"/>
                <w:color w:val="auto"/>
              </w:rPr>
            </w:pPr>
            <w:r>
              <w:rPr>
                <w:rFonts w:ascii="Arial" w:cs="Arial" w:eastAsia="Arial" w:hAnsi="Arial"/>
                <w:sz w:val="5"/>
                <w:szCs w:val="5"/>
                <w:color w:val="auto"/>
              </w:rPr>
              <w:t>15.00%</w:t>
            </w:r>
          </w:p>
        </w:tc>
        <w:tc>
          <w:tcPr>
            <w:tcW w:w="920" w:type="dxa"/>
            <w:vAlign w:val="bottom"/>
            <w:gridSpan w:val="2"/>
            <w:shd w:val="clear" w:color="auto" w:fill="CCEEFF"/>
          </w:tcPr>
          <w:p>
            <w:pPr>
              <w:jc w:val="right"/>
              <w:ind w:right="260"/>
              <w:spacing w:after="0" w:line="49" w:lineRule="exact"/>
              <w:rPr>
                <w:sz w:val="20"/>
                <w:szCs w:val="20"/>
                <w:color w:val="auto"/>
              </w:rPr>
            </w:pPr>
            <w:r>
              <w:rPr>
                <w:rFonts w:ascii="Arial" w:cs="Arial" w:eastAsia="Arial" w:hAnsi="Arial"/>
                <w:sz w:val="5"/>
                <w:szCs w:val="5"/>
                <w:color w:val="auto"/>
              </w:rPr>
              <w:t>L+1,300</w:t>
            </w:r>
          </w:p>
        </w:tc>
        <w:tc>
          <w:tcPr>
            <w:tcW w:w="1120" w:type="dxa"/>
            <w:vAlign w:val="bottom"/>
            <w:gridSpan w:val="3"/>
            <w:shd w:val="clear" w:color="auto" w:fill="CCEEFF"/>
          </w:tcPr>
          <w:p>
            <w:pPr>
              <w:jc w:val="right"/>
              <w:ind w:right="120"/>
              <w:spacing w:after="0" w:line="49" w:lineRule="exact"/>
              <w:rPr>
                <w:sz w:val="20"/>
                <w:szCs w:val="20"/>
                <w:color w:val="auto"/>
              </w:rPr>
            </w:pPr>
            <w:r>
              <w:rPr>
                <w:rFonts w:ascii="Arial" w:cs="Arial" w:eastAsia="Arial" w:hAnsi="Arial"/>
                <w:sz w:val="5"/>
                <w:szCs w:val="5"/>
                <w:color w:val="auto"/>
              </w:rPr>
              <w:t>20,000,000</w:t>
            </w:r>
          </w:p>
        </w:tc>
        <w:tc>
          <w:tcPr>
            <w:tcW w:w="110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19,444,282</w:t>
            </w:r>
          </w:p>
        </w:tc>
        <w:tc>
          <w:tcPr>
            <w:tcW w:w="122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20,220,000</w:t>
            </w: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0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CEVA Group PLC</w:t>
            </w:r>
            <w:r>
              <w:rPr>
                <w:rFonts w:ascii="Arial" w:cs="Arial" w:eastAsia="Arial" w:hAnsi="Arial"/>
                <w:sz w:val="11"/>
                <w:szCs w:val="11"/>
                <w:color w:val="auto"/>
              </w:rPr>
              <w:t>(5),(10)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10/01/2016</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Logistics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11.63%</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7,500,000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7,310,855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8,231,250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gridSpan w:val="3"/>
          </w:tcPr>
          <w:p>
            <w:pPr>
              <w:spacing w:after="0" w:line="162" w:lineRule="exact"/>
              <w:rPr>
                <w:sz w:val="20"/>
                <w:szCs w:val="20"/>
                <w:color w:val="auto"/>
              </w:rPr>
            </w:pPr>
            <w:r>
              <w:rPr>
                <w:rFonts w:ascii="Arial" w:cs="Arial" w:eastAsia="Arial" w:hAnsi="Arial"/>
                <w:sz w:val="18"/>
                <w:szCs w:val="18"/>
                <w:color w:val="auto"/>
              </w:rPr>
              <w:t>CEVA Group PLC</w:t>
            </w:r>
            <w:r>
              <w:rPr>
                <w:rFonts w:ascii="Arial" w:cs="Arial" w:eastAsia="Arial" w:hAnsi="Arial"/>
                <w:sz w:val="11"/>
                <w:szCs w:val="11"/>
                <w:color w:val="auto"/>
              </w:rPr>
              <w:t>(5),(10)</w:t>
            </w:r>
          </w:p>
        </w:tc>
        <w:tc>
          <w:tcPr>
            <w:tcW w:w="1220" w:type="dxa"/>
            <w:vAlign w:val="bottom"/>
            <w:gridSpan w:val="2"/>
          </w:tcPr>
          <w:p>
            <w:pPr>
              <w:jc w:val="right"/>
              <w:ind w:right="360"/>
              <w:spacing w:after="0" w:line="162" w:lineRule="exact"/>
              <w:rPr>
                <w:sz w:val="20"/>
                <w:szCs w:val="20"/>
                <w:color w:val="auto"/>
              </w:rPr>
            </w:pPr>
            <w:r>
              <w:rPr>
                <w:rFonts w:ascii="Arial" w:cs="Arial" w:eastAsia="Arial" w:hAnsi="Arial"/>
                <w:sz w:val="18"/>
                <w:szCs w:val="18"/>
                <w:color w:val="auto"/>
                <w:w w:val="93"/>
              </w:rPr>
              <w:t>04/01/2018</w:t>
            </w:r>
          </w:p>
        </w:tc>
        <w:tc>
          <w:tcPr>
            <w:tcW w:w="1620" w:type="dxa"/>
            <w:vAlign w:val="bottom"/>
          </w:tcPr>
          <w:p>
            <w:pPr>
              <w:jc w:val="center"/>
              <w:spacing w:after="0" w:line="162" w:lineRule="exact"/>
              <w:rPr>
                <w:sz w:val="20"/>
                <w:szCs w:val="20"/>
                <w:color w:val="auto"/>
              </w:rPr>
            </w:pPr>
            <w:r>
              <w:rPr>
                <w:rFonts w:ascii="Arial" w:cs="Arial" w:eastAsia="Arial" w:hAnsi="Arial"/>
                <w:sz w:val="18"/>
                <w:szCs w:val="18"/>
                <w:color w:val="auto"/>
                <w:w w:val="91"/>
              </w:rPr>
              <w:t>Logistics</w:t>
            </w:r>
          </w:p>
        </w:tc>
        <w:tc>
          <w:tcPr>
            <w:tcW w:w="1100" w:type="dxa"/>
            <w:vAlign w:val="bottom"/>
            <w:gridSpan w:val="3"/>
          </w:tcPr>
          <w:p>
            <w:pPr>
              <w:jc w:val="right"/>
              <w:ind w:right="320"/>
              <w:spacing w:after="0" w:line="162" w:lineRule="exact"/>
              <w:rPr>
                <w:sz w:val="20"/>
                <w:szCs w:val="20"/>
                <w:color w:val="auto"/>
              </w:rPr>
            </w:pPr>
            <w:r>
              <w:rPr>
                <w:rFonts w:ascii="Arial" w:cs="Arial" w:eastAsia="Arial" w:hAnsi="Arial"/>
                <w:sz w:val="18"/>
                <w:szCs w:val="18"/>
                <w:color w:val="auto"/>
              </w:rPr>
              <w:t>11.50%</w:t>
            </w:r>
          </w:p>
        </w:tc>
        <w:tc>
          <w:tcPr>
            <w:tcW w:w="920" w:type="dxa"/>
            <w:vAlign w:val="bottom"/>
            <w:gridSpan w:val="2"/>
          </w:tcPr>
          <w:p>
            <w:pPr>
              <w:jc w:val="right"/>
              <w:ind w:right="340"/>
              <w:spacing w:after="0" w:line="162" w:lineRule="exact"/>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line="162" w:lineRule="exact"/>
              <w:rPr>
                <w:sz w:val="20"/>
                <w:szCs w:val="20"/>
                <w:color w:val="auto"/>
              </w:rPr>
            </w:pPr>
            <w:r>
              <w:rPr>
                <w:rFonts w:ascii="Arial" w:cs="Arial" w:eastAsia="Arial" w:hAnsi="Arial"/>
                <w:sz w:val="18"/>
                <w:szCs w:val="18"/>
                <w:color w:val="auto"/>
              </w:rPr>
              <w:t>1,000,000</w:t>
            </w:r>
          </w:p>
        </w:tc>
        <w:tc>
          <w:tcPr>
            <w:tcW w:w="110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988,048</w:t>
            </w:r>
          </w:p>
        </w:tc>
        <w:tc>
          <w:tcPr>
            <w:tcW w:w="12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1,080,000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Chester Downs and Marina, LLC</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07/31/2016</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Hotels, Motels, Inns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12.38%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L+988</w:t>
            </w:r>
            <w:r>
              <w:rPr>
                <w:rFonts w:ascii="Arial" w:cs="Arial" w:eastAsia="Arial" w:hAnsi="Arial"/>
                <w:sz w:val="22"/>
                <w:szCs w:val="22"/>
                <w:color w:val="auto"/>
                <w:vertAlign w:val="superscript"/>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9,062,500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8,603,111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9,141,797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and Gaming</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Columbus International, Inc.</w:t>
            </w:r>
            <w:r>
              <w:rPr>
                <w:rFonts w:ascii="Arial" w:cs="Arial" w:eastAsia="Arial" w:hAnsi="Arial"/>
                <w:sz w:val="11"/>
                <w:szCs w:val="11"/>
                <w:color w:val="auto"/>
              </w:rPr>
              <w:t>(5),(10)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11/20/2014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Communications</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Covad Communications</w:t>
            </w: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3"/>
              </w:rPr>
              <w:t>11/03/2015</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8"/>
              </w:rPr>
              <w:t>Telecommunications</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12.00%</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7"/>
              </w:rPr>
              <w:t>L+1,000</w:t>
            </w:r>
          </w:p>
        </w:tc>
        <w:tc>
          <w:tcPr>
            <w:tcW w:w="11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7,000,000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6,862,322</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7,017,500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0" w:type="dxa"/>
            <w:vAlign w:val="bottom"/>
            <w:gridSpan w:val="2"/>
          </w:tcPr>
          <w:p>
            <w:pPr>
              <w:ind w:left="200"/>
              <w:spacing w:after="0" w:line="47" w:lineRule="exact"/>
              <w:rPr>
                <w:sz w:val="20"/>
                <w:szCs w:val="20"/>
                <w:color w:val="auto"/>
              </w:rPr>
            </w:pPr>
            <w:r>
              <w:rPr>
                <w:rFonts w:ascii="Arial" w:cs="Arial" w:eastAsia="Arial" w:hAnsi="Arial"/>
                <w:sz w:val="5"/>
                <w:szCs w:val="5"/>
                <w:color w:val="auto"/>
              </w:rPr>
              <w:t>Group, Inc.</w:t>
            </w:r>
          </w:p>
        </w:tc>
        <w:tc>
          <w:tcPr>
            <w:tcW w:w="2000" w:type="dxa"/>
            <w:vAlign w:val="bottom"/>
            <w:vMerge w:val="restart"/>
          </w:tcPr>
          <w:p>
            <w:pPr>
              <w:jc w:val="right"/>
              <w:ind w:right="1804"/>
              <w:spacing w:after="0"/>
              <w:rPr>
                <w:sz w:val="20"/>
                <w:szCs w:val="20"/>
                <w:color w:val="auto"/>
              </w:rPr>
            </w:pPr>
            <w:r>
              <w:rPr>
                <w:rFonts w:ascii="Arial" w:cs="Arial" w:eastAsia="Arial" w:hAnsi="Arial"/>
                <w:sz w:val="11"/>
                <w:szCs w:val="11"/>
                <w:color w:val="auto"/>
                <w:w w:val="88"/>
              </w:rPr>
              <w:t>(5)</w:t>
            </w:r>
          </w:p>
        </w:tc>
        <w:tc>
          <w:tcPr>
            <w:tcW w:w="1220" w:type="dxa"/>
            <w:vAlign w:val="bottom"/>
            <w:gridSpan w:val="2"/>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EnviroSolutions, Inc.</w:t>
            </w:r>
            <w:r>
              <w:rPr>
                <w:rFonts w:ascii="Arial" w:cs="Arial" w:eastAsia="Arial" w:hAnsi="Arial"/>
                <w:sz w:val="11"/>
                <w:szCs w:val="11"/>
                <w:color w:val="auto"/>
              </w:rPr>
              <w:t>(9)</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07/29/2013</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Environmental</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6,666,666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6,666,666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Services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Fairway Group Acquisition Company</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10/01/2014</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Grocery</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12.00%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L+950</w:t>
            </w:r>
            <w:r>
              <w:rPr>
                <w:rFonts w:ascii="Arial" w:cs="Arial" w:eastAsia="Arial" w:hAnsi="Arial"/>
                <w:sz w:val="11"/>
                <w:szCs w:val="1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11,875,057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11,633,164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11,875,057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Hanley-Wood, L.L.C.</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03/08/2014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Media</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L+225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8,730,000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08/07/2014</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Printing and</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14.50%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L+950</w:t>
            </w:r>
            <w:r>
              <w:rPr>
                <w:rFonts w:ascii="Arial" w:cs="Arial" w:eastAsia="Arial" w:hAnsi="Arial"/>
                <w:sz w:val="11"/>
                <w:szCs w:val="1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24,812,500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24,355,557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25,110,250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Publishing</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Jacuzzi Brands Corp.</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02/07/2014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Home and Office</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L+225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9,726,351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9,726,351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Furnishings,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Housewares and</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Durable Consumer</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Products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K2 Pure Solutions NoCal, L.P.</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09/10/2015</w:t>
            </w: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Chemicals, Plastics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10.00%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P+675</w:t>
            </w:r>
            <w:r>
              <w:rPr>
                <w:rFonts w:ascii="Arial" w:cs="Arial" w:eastAsia="Arial" w:hAnsi="Arial"/>
                <w:sz w:val="11"/>
                <w:szCs w:val="1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18,952,500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17,866,534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18,573,450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5"/>
              </w:rPr>
              <w:t>and Rubber</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04/27/2016</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Education</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26,052,632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25,498,156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26,313,158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Penton Media, Inc.</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08/01/2014</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Other Media</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5.00%</w:t>
            </w:r>
            <w:r>
              <w:rPr>
                <w:rFonts w:ascii="Arial" w:cs="Arial" w:eastAsia="Arial" w:hAnsi="Arial"/>
                <w:sz w:val="11"/>
                <w:szCs w:val="11"/>
                <w:color w:val="auto"/>
              </w:rPr>
              <w:t>(6)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L+400</w:t>
            </w:r>
            <w:r>
              <w:rPr>
                <w:rFonts w:ascii="Arial" w:cs="Arial" w:eastAsia="Arial" w:hAnsi="Arial"/>
                <w:sz w:val="11"/>
                <w:szCs w:val="11"/>
                <w:color w:val="auto"/>
              </w:rPr>
              <w:t>(8)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9,827,611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8,505,772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7,763,812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Questex Media Group LLC</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12/16/2012</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Other Media</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10.50%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L+650</w:t>
            </w:r>
            <w:r>
              <w:rPr>
                <w:rFonts w:ascii="Arial" w:cs="Arial" w:eastAsia="Arial" w:hAnsi="Arial"/>
                <w:sz w:val="11"/>
                <w:szCs w:val="11"/>
                <w:color w:val="auto"/>
              </w:rPr>
              <w:t>(8)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53,441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Questex Media Group LLC</w:t>
            </w:r>
            <w:r>
              <w:rPr>
                <w:rFonts w:ascii="Arial" w:cs="Arial" w:eastAsia="Arial" w:hAnsi="Arial"/>
                <w:sz w:val="11"/>
                <w:szCs w:val="11"/>
                <w:color w:val="auto"/>
              </w:rPr>
              <w:t>(9)</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12/16/2012</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Other Media</w:t>
            </w:r>
          </w:p>
        </w:tc>
        <w:tc>
          <w:tcPr>
            <w:tcW w:w="16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213,764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213,764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208,206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Sugarhouse HSP Gaming Prop.</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09/23/2014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Hotels, Motels, Inns</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L+825</w:t>
            </w:r>
            <w:r>
              <w:rPr>
                <w:rFonts w:ascii="Arial" w:cs="Arial" w:eastAsia="Arial" w:hAnsi="Arial"/>
                <w:sz w:val="11"/>
                <w:szCs w:val="11"/>
                <w:color w:val="auto"/>
              </w:rPr>
              <w:t>(8)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29,500,000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28,776,580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29,930,199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and Gaming</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Three Rivers Pharmaceutical, L.L.C.</w:t>
            </w: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3"/>
              </w:rPr>
              <w:t>10/22/2011</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Healthcare, Education</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15.00%</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8"/>
              </w:rPr>
              <w:t>L+1,300</w:t>
            </w:r>
            <w:r>
              <w:rPr>
                <w:rFonts w:ascii="Arial" w:cs="Arial" w:eastAsia="Arial" w:hAnsi="Arial"/>
                <w:sz w:val="11"/>
                <w:szCs w:val="11"/>
                <w:color w:val="auto"/>
                <w:w w:val="98"/>
              </w:rPr>
              <w:t>(8)</w:t>
            </w:r>
          </w:p>
        </w:tc>
        <w:tc>
          <w:tcPr>
            <w:tcW w:w="11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30,000,000</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27,648,145</w:t>
            </w:r>
          </w:p>
        </w:tc>
        <w:tc>
          <w:tcPr>
            <w:tcW w:w="1220" w:type="dxa"/>
            <w:vAlign w:val="bottom"/>
            <w:gridSpan w:val="2"/>
            <w:vMerge w:val="restart"/>
          </w:tcPr>
          <w:p>
            <w:pPr>
              <w:jc w:val="right"/>
              <w:spacing w:after="0"/>
              <w:rPr>
                <w:sz w:val="20"/>
                <w:szCs w:val="20"/>
                <w:color w:val="auto"/>
              </w:rPr>
            </w:pPr>
            <w:r>
              <w:rPr>
                <w:rFonts w:ascii="Arial" w:cs="Arial" w:eastAsia="Arial" w:hAnsi="Arial"/>
                <w:sz w:val="18"/>
                <w:szCs w:val="18"/>
                <w:color w:val="auto"/>
              </w:rPr>
              <w:t>30,900,000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8"/>
              </w:rPr>
              <w:t>and Childcare</w:t>
            </w:r>
          </w:p>
        </w:tc>
        <w:tc>
          <w:tcPr>
            <w:tcW w:w="1100" w:type="dxa"/>
            <w:vAlign w:val="bottom"/>
            <w:gridSpan w:val="3"/>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VPSI, Inc.</w:t>
            </w:r>
          </w:p>
        </w:tc>
        <w:tc>
          <w:tcPr>
            <w:tcW w:w="2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12/22/2015</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Personal</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L+1,000</w:t>
            </w:r>
            <w:r>
              <w:rPr>
                <w:rFonts w:ascii="Arial" w:cs="Arial" w:eastAsia="Arial" w:hAnsi="Arial"/>
                <w:sz w:val="11"/>
                <w:szCs w:val="11"/>
                <w:color w:val="auto"/>
                <w:w w:val="98"/>
              </w:rPr>
              <w:t>(8)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18,333,333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18,029,449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18,027,166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Transportation</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Yonkers Racing Corp.</w:t>
            </w:r>
            <w:r>
              <w:rPr>
                <w:rFonts w:ascii="Arial" w:cs="Arial" w:eastAsia="Arial" w:hAnsi="Arial"/>
                <w:sz w:val="11"/>
                <w:szCs w:val="11"/>
                <w:color w:val="auto"/>
              </w:rPr>
              <w:t>(5)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07/15/2016</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Hotels, Motels, Inns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11.38%</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4,500,000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4,384,196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4,955,625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and Gaming</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First Lien Secured Debt</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268,662,356</w:t>
            </w: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272,266,893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-4415790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Basis Point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2"/>
                <w:szCs w:val="22"/>
                <w:b w:val="1"/>
                <w:bCs w:val="1"/>
                <w:color w:val="auto"/>
                <w:w w:val="91"/>
                <w:vertAlign w:val="superscript"/>
              </w:rPr>
              <w:t>(3)</w:t>
            </w:r>
          </w:p>
        </w:tc>
        <w:tc>
          <w:tcPr>
            <w:tcW w:w="0" w:type="dxa"/>
            <w:vAlign w:val="bottom"/>
          </w:tcPr>
          <w:p>
            <w:pPr>
              <w:spacing w:after="0"/>
              <w:rPr>
                <w:sz w:val="1"/>
                <w:szCs w:val="1"/>
                <w:color w:val="auto"/>
              </w:rPr>
            </w:pPr>
          </w:p>
        </w:tc>
      </w:tr>
      <w:tr>
        <w:trPr>
          <w:trHeight w:val="176"/>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1040" w:type="dxa"/>
            <w:vAlign w:val="bottom"/>
            <w:gridSpan w:val="2"/>
          </w:tcPr>
          <w:p>
            <w:pPr>
              <w:jc w:val="center"/>
              <w:ind w:right="3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Par/Shares</w:t>
            </w: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Debt—23.3%</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02/07/2015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6.31%</w:t>
            </w:r>
          </w:p>
        </w:tc>
        <w:tc>
          <w:tcPr>
            <w:tcW w:w="10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L+600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2"/>
              </w:rPr>
              <w:t>$13,600,000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88"/>
              </w:rPr>
              <w:t>$ 13,234,699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$ 12,206,000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02/07/2015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7.31%</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11,787,606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10,659,996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07/29/2014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6,237,317</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6,237,317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6,087,621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Greatwide Logistics Services, L.L.C.</w:t>
            </w:r>
          </w:p>
        </w:tc>
        <w:tc>
          <w:tcPr>
            <w:tcW w:w="10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1"/>
              </w:rPr>
              <w:t>03/01/2014</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Cargo Transport</w:t>
            </w: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10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L+700</w:t>
            </w:r>
            <w:r>
              <w:rPr>
                <w:rFonts w:ascii="Arial" w:cs="Arial" w:eastAsia="Arial" w:hAnsi="Arial"/>
                <w:sz w:val="22"/>
                <w:szCs w:val="22"/>
                <w:color w:val="auto"/>
                <w:vertAlign w:val="superscript"/>
              </w:rPr>
              <w:t>(8)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2,570,357</w:t>
            </w: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2,570,357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2,594,775</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3,211,210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3,211,210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2,719,894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1,827,075</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1,827,075</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1,458,006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10/15/2017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10,893,750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6.04%</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L+575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18,500,000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16,414,348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10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22,500,000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22,490,659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6.31%</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L+600</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7,811,488</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7,362,858</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7,245,155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95,136,129</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93,847,697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Notes—64.4%</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11/15/2015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9,861,938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11.13%</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18,885,000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18,395,462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19,121,063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04/17/2015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7,976,881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03/22/2014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20,824,496</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20,484,443</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21,522,117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04/01/2015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25,000,000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24,407,004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Escort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06/01/2016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14.75%</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24,055,000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23,398,381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24,055,000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06/06/2014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23,444,680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23,147,686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23,608,793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06/30/2016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4,248,355</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3,513,586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3,908,487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MailSouth,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05/15/2018</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14.50%</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14,550,234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10/15/2016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19,000,000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18,442,542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PAS Technologies,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05/12/2017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14.02%</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16,785,000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16,368,574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04/15/2015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9,093,958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12/29/2015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11,795,903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11,444,373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11,913,862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UP Support Services, Inc. (formerly UP Acquisition Sub</w:t>
            </w: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16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17.00%</w:t>
            </w:r>
            <w:r>
              <w:rPr>
                <w:rFonts w:ascii="Arial" w:cs="Arial" w:eastAsia="Arial" w:hAnsi="Arial"/>
                <w:sz w:val="22"/>
                <w:szCs w:val="22"/>
                <w:color w:val="auto"/>
                <w:vertAlign w:val="superscript"/>
              </w:rPr>
              <w:t>(6)</w:t>
            </w: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Inc.)</w:t>
            </w:r>
          </w:p>
        </w:tc>
        <w:tc>
          <w:tcPr>
            <w:tcW w:w="108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w w:val="91"/>
              </w:rPr>
              <w:t>02/08/2015</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160" w:type="dxa"/>
            <w:vAlign w:val="bottom"/>
            <w:gridSpan w:val="3"/>
            <w:vMerge w:val="continue"/>
            <w:shd w:val="clear" w:color="auto" w:fill="CCEEFF"/>
          </w:tcPr>
          <w:p>
            <w:pPr>
              <w:spacing w:after="0"/>
              <w:rPr>
                <w:sz w:val="13"/>
                <w:szCs w:val="13"/>
                <w:color w:val="auto"/>
              </w:rPr>
            </w:pPr>
          </w:p>
        </w:tc>
        <w:tc>
          <w:tcPr>
            <w:tcW w:w="104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22,918,640</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22,488,701</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22,918,640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12/31/2015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14,648,375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12/31/2012</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2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249,922,138</w:t>
            </w:r>
          </w:p>
        </w:tc>
        <w:tc>
          <w:tcPr>
            <w:tcW w:w="2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259,698,251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90"/>
              </w:rPr>
              <w:t>Current</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Coupon</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Fair Value(3)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Preferred Equity/Partnership Interests—3.2%</w:t>
            </w:r>
            <w:r>
              <w:rPr>
                <w:rFonts w:ascii="Arial" w:cs="Arial" w:eastAsia="Arial" w:hAnsi="Arial"/>
                <w:sz w:val="16"/>
                <w:szCs w:val="16"/>
                <w:b w:val="1"/>
                <w:bCs w:val="1"/>
                <w:color w:val="auto"/>
                <w:vertAlign w:val="superscript"/>
              </w:rPr>
              <w:t>(7)</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 (Advanstar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319</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318,896</w:t>
            </w:r>
          </w:p>
        </w:tc>
        <w:tc>
          <w:tcPr>
            <w:tcW w:w="14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833,997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1,140,554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 (CT Technologies Intermediate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64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04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9.00%</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144,376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144,376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152,344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4,137,240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4,886,133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PAS Tech Holdings, Inc. Series A-1</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1,980,000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1,517,380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Inc. (formerly UP Holdings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101,175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2,738,050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578,136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Personal Transportation</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1,824,167</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1,824,167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1,824,167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13,974,552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12,784,534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Interests—10.4%</w:t>
            </w:r>
            <w:r>
              <w:rPr>
                <w:rFonts w:ascii="Arial" w:cs="Arial" w:eastAsia="Arial" w:hAnsi="Arial"/>
                <w:sz w:val="18"/>
                <w:szCs w:val="18"/>
                <w:b w:val="1"/>
                <w:bCs w:val="1"/>
                <w:color w:val="auto"/>
                <w:vertAlign w:val="superscript"/>
              </w:rPr>
              <w:t>(7)</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6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Broadcasting and</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1,333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456,745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5,556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8,859,057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24,375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1,506,075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1,941,369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3,027,906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3,902,557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457,322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A (Three Rivers Pharmaceutical,</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10,799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1,236,832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1,492,826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D (Three Rivers Pharmaceutical,</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64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tcPr>
          <w:p>
            <w:pPr>
              <w:spacing w:after="0"/>
              <w:rPr>
                <w:sz w:val="13"/>
                <w:szCs w:val="13"/>
                <w:color w:val="auto"/>
              </w:rPr>
            </w:pPr>
          </w:p>
        </w:tc>
        <w:tc>
          <w:tcPr>
            <w:tcW w:w="84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10,799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1,028,807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04/27/2020</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613,467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1,055,932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2,464,999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7,644,948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4,325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1,306,167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1,487,339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auto"/>
                <w:w w:val="85"/>
              </w:rPr>
              <w:t>12/29/2019</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3,500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29,400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957,408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3"/>
              </w:rPr>
              <w:t>Transportation 100 Holdco, L.L.C. (Greatwide Logistics Services, L.L.C)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137,923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2,111,588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4,363,330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9,843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1,421,292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Inc. (formerly UP Holdings Inc.)</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110,742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6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Personal Transportation</w:t>
            </w:r>
          </w:p>
        </w:tc>
        <w:tc>
          <w:tcPr>
            <w:tcW w:w="200" w:type="dxa"/>
            <w:vAlign w:val="bottom"/>
          </w:tcPr>
          <w:p>
            <w:pPr>
              <w:spacing w:after="0"/>
              <w:rPr>
                <w:sz w:val="12"/>
                <w:szCs w:val="12"/>
                <w:color w:val="auto"/>
              </w:rPr>
            </w:pPr>
          </w:p>
        </w:tc>
        <w:tc>
          <w:tcPr>
            <w:tcW w:w="8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9,166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9,166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6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35,526</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4,752,486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24,252,860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42,113,404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Investments in Non-Controlled, Non-Affiliated Portfolio Companies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651,948,035</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680,710,779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Basis Point</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Spread</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10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4"/>
              </w:rPr>
              <w:t>Above</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020" w:type="dxa"/>
            <w:vAlign w:val="bottom"/>
            <w:gridSpan w:val="4"/>
          </w:tcPr>
          <w:p>
            <w:pPr>
              <w:spacing w:after="0"/>
              <w:rPr>
                <w:sz w:val="20"/>
                <w:szCs w:val="20"/>
                <w:color w:val="auto"/>
              </w:rPr>
            </w:pPr>
            <w:r>
              <w:rPr>
                <w:rFonts w:ascii="Arial" w:cs="Arial" w:eastAsia="Arial" w:hAnsi="Arial"/>
                <w:sz w:val="14"/>
                <w:szCs w:val="14"/>
                <w:b w:val="1"/>
                <w:bCs w:val="1"/>
                <w:color w:val="auto"/>
              </w:rPr>
              <w:t>Issuer Name</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Maturity</w:t>
            </w:r>
          </w:p>
        </w:tc>
        <w:tc>
          <w:tcPr>
            <w:tcW w:w="420" w:type="dxa"/>
            <w:vAlign w:val="bottom"/>
          </w:tcPr>
          <w:p>
            <w:pPr>
              <w:spacing w:after="0"/>
              <w:rPr>
                <w:sz w:val="15"/>
                <w:szCs w:val="15"/>
                <w:color w:val="auto"/>
              </w:rPr>
            </w:pP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Industry</w:t>
            </w:r>
          </w:p>
        </w:tc>
        <w:tc>
          <w:tcPr>
            <w:tcW w:w="4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Coupon</w:t>
            </w:r>
          </w:p>
        </w:tc>
        <w:tc>
          <w:tcPr>
            <w:tcW w:w="1080" w:type="dxa"/>
            <w:vAlign w:val="bottom"/>
            <w:gridSpan w:val="2"/>
          </w:tcPr>
          <w:p>
            <w:pPr>
              <w:jc w:val="center"/>
              <w:ind w:right="4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4"/>
              </w:rPr>
              <w:t>Par/Shares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Companies—3.9%</w:t>
            </w:r>
            <w:r>
              <w:rPr>
                <w:rFonts w:ascii="Arial" w:cs="Arial" w:eastAsia="Arial" w:hAnsi="Arial"/>
                <w:sz w:val="16"/>
                <w:szCs w:val="16"/>
                <w:b w:val="1"/>
                <w:bCs w:val="1"/>
                <w:color w:val="auto"/>
                <w:vertAlign w:val="superscript"/>
              </w:rPr>
              <w:t>(1),(2)</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Second Lien Secured Debt—1.9%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1"/>
              </w:rPr>
              <w:t>01/16/2015</w:t>
            </w:r>
          </w:p>
        </w:tc>
        <w:tc>
          <w:tcPr>
            <w:tcW w:w="4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Leisure,</w:t>
            </w:r>
          </w:p>
        </w:tc>
        <w:tc>
          <w:tcPr>
            <w:tcW w:w="140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7.50%</w:t>
            </w: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color w:val="auto"/>
              </w:rPr>
              <w:t>L+650</w:t>
            </w:r>
            <w:r>
              <w:rPr>
                <w:rFonts w:ascii="Arial" w:cs="Arial" w:eastAsia="Arial" w:hAnsi="Arial"/>
                <w:sz w:val="22"/>
                <w:szCs w:val="22"/>
                <w:color w:val="auto"/>
                <w:vertAlign w:val="superscript"/>
              </w:rPr>
              <w:t>(8)</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83"/>
              </w:rPr>
              <w:t>$ 8,000,000</w:t>
            </w:r>
          </w:p>
        </w:tc>
        <w:tc>
          <w:tcPr>
            <w:tcW w:w="3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8,000,000</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7,604,000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Inc.</w:t>
            </w: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6"/>
              </w:rPr>
              <w:t>Amusement,</w:t>
            </w:r>
          </w:p>
        </w:tc>
        <w:tc>
          <w:tcPr>
            <w:tcW w:w="4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right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07/16/2015</w:t>
            </w:r>
          </w:p>
        </w:tc>
        <w:tc>
          <w:tcPr>
            <w:tcW w:w="4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Leisure,</w:t>
            </w:r>
          </w:p>
        </w:tc>
        <w:tc>
          <w:tcPr>
            <w:tcW w:w="1400" w:type="dxa"/>
            <w:vAlign w:val="bottom"/>
            <w:tcBorders>
              <w:bottom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6,067,482</w:t>
            </w: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5,891,671</w:t>
            </w:r>
          </w:p>
        </w:tc>
        <w:tc>
          <w:tcPr>
            <w:tcW w:w="34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5,976,470</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6"/>
              </w:rPr>
              <w:t>Amusement,</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Equity/Partnership Interest—0.5%</w:t>
            </w:r>
            <w:r>
              <w:rPr>
                <w:rFonts w:ascii="Arial" w:cs="Arial" w:eastAsia="Arial" w:hAnsi="Arial"/>
                <w:sz w:val="17"/>
                <w:szCs w:val="17"/>
                <w:b w:val="1"/>
                <w:bCs w:val="1"/>
                <w:color w:val="auto"/>
                <w:vertAlign w:val="superscript"/>
              </w:rPr>
              <w:t>(7)</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NCP-Performance (Performance Holdings, Inc.)</w:t>
            </w: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Leisure,</w:t>
            </w:r>
          </w:p>
        </w:tc>
        <w:tc>
          <w:tcPr>
            <w:tcW w:w="4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340" w:type="dxa"/>
            <w:vAlign w:val="bottom"/>
            <w:tcBorders>
              <w:bottom w:val="single" w:sz="8" w:color="CCEEFF"/>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1,977,061</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6"/>
              </w:rPr>
              <w:t>Amusement,</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Investments in Non-Controlled, Affiliated Portfolio Companies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17,641,671</w:t>
            </w:r>
          </w:p>
        </w:tc>
        <w:tc>
          <w:tcPr>
            <w:tcW w:w="3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15,557,531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Companies—2.0%</w:t>
            </w:r>
            <w:r>
              <w:rPr>
                <w:rFonts w:ascii="Arial" w:cs="Arial" w:eastAsia="Arial" w:hAnsi="Arial"/>
                <w:sz w:val="17"/>
                <w:szCs w:val="17"/>
                <w:b w:val="1"/>
                <w:bCs w:val="1"/>
                <w:color w:val="auto"/>
                <w:vertAlign w:val="superscript"/>
              </w:rPr>
              <w:t>(1),(2)</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First Lien Secured Debt—1.3%</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06/30/2020</w:t>
            </w:r>
          </w:p>
        </w:tc>
        <w:tc>
          <w:tcPr>
            <w:tcW w:w="4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400" w:type="dxa"/>
            <w:vAlign w:val="bottom"/>
            <w:tcBorders>
              <w:bottom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4,800,000</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34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06/30/2020</w:t>
            </w:r>
          </w:p>
        </w:tc>
        <w:tc>
          <w:tcPr>
            <w:tcW w:w="4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400" w:type="dxa"/>
            <w:vAlign w:val="bottom"/>
            <w:tcBorders>
              <w:bottom w:val="single" w:sz="8" w:color="CCEEFF"/>
            </w:tcBorders>
            <w:gridSpan w:val="3"/>
            <w:shd w:val="clear" w:color="auto" w:fill="CCEEFF"/>
          </w:tcPr>
          <w:p>
            <w:pPr>
              <w:jc w:val="right"/>
              <w:ind w:right="2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1,200,000</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34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1,142,398</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400" w:type="dxa"/>
            <w:vAlign w:val="bottom"/>
            <w:tcBorders>
              <w:bottom w:val="single" w:sz="8" w:color="CCEEFF"/>
            </w:tcBorders>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14.00%</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34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1,505,602</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4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340" w:type="dxa"/>
            <w:vAlign w:val="bottom"/>
            <w:tcBorders>
              <w:bottom w:val="single" w:sz="8" w:color="CCEEFF"/>
              <w:right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Investments in Controlled, Affiliated Portfolio Companies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8,000,100</w:t>
            </w:r>
          </w:p>
        </w:tc>
        <w:tc>
          <w:tcPr>
            <w:tcW w:w="3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8,000,100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Investments—174.6%</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677,589,806</w:t>
            </w:r>
          </w:p>
        </w:tc>
        <w:tc>
          <w:tcPr>
            <w:tcW w:w="3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704,268,410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2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Cash and Cash Equivalents—0.7%</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3,022,137</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3,022,137</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3,022,137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and Cash Equivalents—175.3%</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680,611,943</w:t>
            </w: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707,290,547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Liabilities in Excess of Other Assets—(75.3%)</w:t>
            </w: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2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w w:val="87"/>
              </w:rPr>
              <w:t>(303,899,585)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403,390,962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-3361055</wp:posOffset>
            </wp:positionV>
            <wp:extent cx="724662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p>
      <w:pPr>
        <w:ind w:left="340" w:hanging="332"/>
        <w:spacing w:after="0" w:line="23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usually to qualified institutional buyers.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payable in cash and/or payable in-kind (“PIK”).</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040"/>
          </w:cols>
          <w:pgMar w:left="240" w:top="459" w:right="6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Spread</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10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8"/>
              </w:rPr>
              <w:t>Above</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2"/>
                <w:szCs w:val="22"/>
                <w:b w:val="1"/>
                <w:bCs w:val="1"/>
                <w:color w:val="auto"/>
                <w:w w:val="91"/>
                <w:vertAlign w:val="superscript"/>
              </w:rPr>
              <w:t>(3)</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Maturity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1080" w:type="dxa"/>
            <w:vAlign w:val="bottom"/>
            <w:gridSpan w:val="2"/>
          </w:tcPr>
          <w:p>
            <w:pPr>
              <w:jc w:val="center"/>
              <w:ind w:right="4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Par/Shares</w:t>
            </w: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Companies—165.9%</w:t>
            </w:r>
            <w:r>
              <w:rPr>
                <w:rFonts w:ascii="Arial" w:cs="Arial" w:eastAsia="Arial" w:hAnsi="Arial"/>
                <w:sz w:val="16"/>
                <w:szCs w:val="16"/>
                <w:b w:val="1"/>
                <w:bCs w:val="1"/>
                <w:color w:val="auto"/>
                <w:vertAlign w:val="superscript"/>
              </w:rPr>
              <w:t>(1),(2)</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Debt—59.3%</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Networks Solution,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08/27/2014</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Communications</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11.00%</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$13,583,333</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$ 13,316,337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$ 13,447,500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06/21/2015</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15.00%</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16,363,636</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15,786,257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01/31/2011</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tcPr>
          <w:p>
            <w:pPr>
              <w:spacing w:after="0" w:line="122" w:lineRule="exact"/>
              <w:rPr>
                <w:sz w:val="20"/>
                <w:szCs w:val="20"/>
                <w:color w:val="auto"/>
              </w:rPr>
            </w:pPr>
            <w:r>
              <w:rPr>
                <w:rFonts w:ascii="Arial" w:cs="Arial" w:eastAsia="Arial" w:hAnsi="Arial"/>
                <w:sz w:val="10"/>
                <w:szCs w:val="10"/>
                <w:color w:val="auto"/>
              </w:rPr>
              <w:t xml:space="preserve">CEVA Group PLC </w:t>
            </w:r>
            <w:r>
              <w:rPr>
                <w:rFonts w:ascii="Arial" w:cs="Arial" w:eastAsia="Arial" w:hAnsi="Arial"/>
                <w:sz w:val="14"/>
                <w:szCs w:val="14"/>
                <w:color w:val="auto"/>
                <w:vertAlign w:val="superscript"/>
              </w:rPr>
              <w:t>(5),(10)</w:t>
            </w:r>
          </w:p>
        </w:tc>
        <w:tc>
          <w:tcPr>
            <w:tcW w:w="10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w w:val="91"/>
              </w:rPr>
              <w:t>10/01/2016</w:t>
            </w:r>
          </w:p>
        </w:tc>
        <w:tc>
          <w:tcPr>
            <w:tcW w:w="1640" w:type="dxa"/>
            <w:vAlign w:val="bottom"/>
          </w:tcPr>
          <w:p>
            <w:pPr>
              <w:jc w:val="center"/>
              <w:spacing w:after="0" w:line="122" w:lineRule="exact"/>
              <w:rPr>
                <w:sz w:val="20"/>
                <w:szCs w:val="20"/>
                <w:color w:val="auto"/>
              </w:rPr>
            </w:pPr>
            <w:r>
              <w:rPr>
                <w:rFonts w:ascii="Arial" w:cs="Arial" w:eastAsia="Arial" w:hAnsi="Arial"/>
                <w:sz w:val="14"/>
                <w:szCs w:val="14"/>
                <w:color w:val="auto"/>
                <w:w w:val="88"/>
              </w:rPr>
              <w:t>Logistics</w:t>
            </w:r>
          </w:p>
        </w:tc>
        <w:tc>
          <w:tcPr>
            <w:tcW w:w="1160" w:type="dxa"/>
            <w:vAlign w:val="bottom"/>
            <w:gridSpan w:val="3"/>
          </w:tcPr>
          <w:p>
            <w:pPr>
              <w:jc w:val="right"/>
              <w:ind w:right="360"/>
              <w:spacing w:after="0" w:line="122" w:lineRule="exact"/>
              <w:rPr>
                <w:sz w:val="20"/>
                <w:szCs w:val="20"/>
                <w:color w:val="auto"/>
              </w:rPr>
            </w:pPr>
            <w:r>
              <w:rPr>
                <w:rFonts w:ascii="Arial" w:cs="Arial" w:eastAsia="Arial" w:hAnsi="Arial"/>
                <w:sz w:val="14"/>
                <w:szCs w:val="14"/>
                <w:color w:val="auto"/>
              </w:rPr>
              <w:t>11.63%</w:t>
            </w:r>
          </w:p>
        </w:tc>
        <w:tc>
          <w:tcPr>
            <w:tcW w:w="1080" w:type="dxa"/>
            <w:vAlign w:val="bottom"/>
            <w:gridSpan w:val="2"/>
          </w:tcPr>
          <w:p>
            <w:pPr>
              <w:ind w:left="460"/>
              <w:spacing w:after="0" w:line="12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7,500,000</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rPr>
              <w:t>7,305,603</w:t>
            </w:r>
          </w:p>
        </w:tc>
        <w:tc>
          <w:tcPr>
            <w:tcW w:w="10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(5),(10)</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04/01/2018</w:t>
            </w: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Logistics</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color w:val="auto"/>
              </w:rPr>
              <w:t>11.50%</w:t>
            </w:r>
          </w:p>
        </w:tc>
        <w:tc>
          <w:tcPr>
            <w:tcW w:w="1080" w:type="dxa"/>
            <w:vAlign w:val="bottom"/>
            <w:gridSpan w:val="2"/>
          </w:tcPr>
          <w:p>
            <w:pPr>
              <w:ind w:left="46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660" w:type="dxa"/>
            <w:vAlign w:val="bottom"/>
          </w:tcPr>
          <w:p>
            <w:pPr>
              <w:jc w:val="right"/>
              <w:spacing w:after="0"/>
              <w:rPr>
                <w:sz w:val="20"/>
                <w:szCs w:val="20"/>
                <w:color w:val="auto"/>
              </w:rPr>
            </w:pPr>
            <w:r>
              <w:rPr>
                <w:rFonts w:ascii="Arial" w:cs="Arial" w:eastAsia="Arial" w:hAnsi="Arial"/>
                <w:sz w:val="14"/>
                <w:szCs w:val="14"/>
                <w:color w:val="auto"/>
              </w:rPr>
              <w:t>1,000,000</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987,774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1,045,000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700" w:type="dxa"/>
            <w:vAlign w:val="bottom"/>
            <w:gridSpan w:val="3"/>
          </w:tcPr>
          <w:p>
            <w:pPr>
              <w:spacing w:after="0" w:line="137" w:lineRule="exact"/>
              <w:rPr>
                <w:sz w:val="20"/>
                <w:szCs w:val="20"/>
                <w:color w:val="auto"/>
              </w:rPr>
            </w:pPr>
            <w:r>
              <w:rPr>
                <w:rFonts w:ascii="Arial" w:cs="Arial" w:eastAsia="Arial" w:hAnsi="Arial"/>
                <w:sz w:val="14"/>
                <w:szCs w:val="14"/>
                <w:color w:val="auto"/>
              </w:rPr>
              <w:t>Chester Downs and Marina, LLC</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w w:val="91"/>
              </w:rPr>
              <w:t>07/31/2016</w:t>
            </w:r>
          </w:p>
        </w:tc>
        <w:tc>
          <w:tcPr>
            <w:tcW w:w="1640" w:type="dxa"/>
            <w:vAlign w:val="bottom"/>
          </w:tcPr>
          <w:p>
            <w:pPr>
              <w:jc w:val="center"/>
              <w:spacing w:after="0" w:line="137" w:lineRule="exact"/>
              <w:rPr>
                <w:sz w:val="20"/>
                <w:szCs w:val="20"/>
                <w:color w:val="auto"/>
              </w:rPr>
            </w:pPr>
            <w:r>
              <w:rPr>
                <w:rFonts w:ascii="Arial" w:cs="Arial" w:eastAsia="Arial" w:hAnsi="Arial"/>
                <w:sz w:val="14"/>
                <w:szCs w:val="14"/>
                <w:color w:val="auto"/>
                <w:w w:val="87"/>
              </w:rPr>
              <w:t>Hotels, Motels, Inns and</w:t>
            </w:r>
          </w:p>
        </w:tc>
        <w:tc>
          <w:tcPr>
            <w:tcW w:w="1160" w:type="dxa"/>
            <w:vAlign w:val="bottom"/>
            <w:gridSpan w:val="3"/>
          </w:tcPr>
          <w:p>
            <w:pPr>
              <w:jc w:val="right"/>
              <w:ind w:right="360"/>
              <w:spacing w:after="0" w:line="137" w:lineRule="exact"/>
              <w:rPr>
                <w:sz w:val="20"/>
                <w:szCs w:val="20"/>
                <w:color w:val="auto"/>
              </w:rPr>
            </w:pPr>
            <w:r>
              <w:rPr>
                <w:rFonts w:ascii="Arial" w:cs="Arial" w:eastAsia="Arial" w:hAnsi="Arial"/>
                <w:sz w:val="14"/>
                <w:szCs w:val="14"/>
                <w:color w:val="auto"/>
              </w:rPr>
              <w:t>12.38%</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rPr>
              <w:t>L+988</w:t>
            </w:r>
          </w:p>
        </w:tc>
        <w:tc>
          <w:tcPr>
            <w:tcW w:w="660" w:type="dxa"/>
            <w:vAlign w:val="bottom"/>
          </w:tcPr>
          <w:p>
            <w:pPr>
              <w:jc w:val="right"/>
              <w:spacing w:after="0" w:line="137" w:lineRule="exact"/>
              <w:rPr>
                <w:sz w:val="20"/>
                <w:szCs w:val="20"/>
                <w:color w:val="auto"/>
              </w:rPr>
            </w:pPr>
            <w:r>
              <w:rPr>
                <w:rFonts w:ascii="Arial" w:cs="Arial" w:eastAsia="Arial" w:hAnsi="Arial"/>
                <w:sz w:val="14"/>
                <w:szCs w:val="14"/>
                <w:color w:val="auto"/>
              </w:rPr>
              <w:t>9,250,000</w:t>
            </w:r>
          </w:p>
        </w:tc>
        <w:tc>
          <w:tcPr>
            <w:tcW w:w="28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4"/>
                <w:szCs w:val="14"/>
                <w:color w:val="auto"/>
              </w:rPr>
              <w:t>8,765,468</w:t>
            </w:r>
          </w:p>
        </w:tc>
        <w:tc>
          <w:tcPr>
            <w:tcW w:w="102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Columbus International,</w:t>
            </w: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9"/>
                <w:szCs w:val="9"/>
                <w:color w:val="auto"/>
              </w:rPr>
              <w:t>(5),(10)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1"/>
              </w:rPr>
              <w:t>11/20/2014</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Communications</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11.50%</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10,000,000</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07/29/2013</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20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6,666,666</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6,666,666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6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420"/>
              <w:spacing w:after="0" w:line="122" w:lineRule="exact"/>
              <w:rPr>
                <w:sz w:val="20"/>
                <w:szCs w:val="20"/>
                <w:color w:val="auto"/>
              </w:rPr>
            </w:pPr>
            <w:r>
              <w:rPr>
                <w:rFonts w:ascii="Arial" w:cs="Arial" w:eastAsia="Arial" w:hAnsi="Arial"/>
                <w:sz w:val="14"/>
                <w:szCs w:val="14"/>
                <w:color w:val="auto"/>
              </w:rPr>
              <w:t>L+950</w:t>
            </w: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1"/>
              </w:rPr>
              <w:t>10/01/2014</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Grocery</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12.00%</w:t>
            </w:r>
          </w:p>
        </w:tc>
        <w:tc>
          <w:tcPr>
            <w:tcW w:w="1080" w:type="dxa"/>
            <w:vAlign w:val="bottom"/>
            <w:gridSpan w:val="2"/>
            <w:shd w:val="clear" w:color="auto" w:fill="CCEEFF"/>
          </w:tcPr>
          <w:p>
            <w:pPr>
              <w:jc w:val="right"/>
              <w:ind w:right="300"/>
              <w:spacing w:after="0" w:line="176" w:lineRule="exact"/>
              <w:rPr>
                <w:sz w:val="20"/>
                <w:szCs w:val="20"/>
                <w:color w:val="auto"/>
              </w:rPr>
            </w:pPr>
            <w:r>
              <w:rPr>
                <w:rFonts w:ascii="Arial" w:cs="Arial" w:eastAsia="Arial" w:hAnsi="Arial"/>
                <w:sz w:val="13"/>
                <w:szCs w:val="13"/>
                <w:color w:val="auto"/>
              </w:rPr>
              <w:t>P+850</w:t>
            </w:r>
            <w:r>
              <w:rPr>
                <w:rFonts w:ascii="Arial" w:cs="Arial" w:eastAsia="Arial" w:hAnsi="Arial"/>
                <w:sz w:val="20"/>
                <w:szCs w:val="20"/>
                <w:color w:val="auto"/>
                <w:vertAlign w:val="superscript"/>
              </w:rPr>
              <w:t>(8)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1"/>
              </w:rPr>
              <w:t>11,905,025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11,650,744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tcPr>
          <w:p>
            <w:pPr>
              <w:spacing w:after="0" w:line="122" w:lineRule="exact"/>
              <w:rPr>
                <w:sz w:val="20"/>
                <w:szCs w:val="20"/>
                <w:color w:val="auto"/>
              </w:rPr>
            </w:pPr>
            <w:r>
              <w:rPr>
                <w:rFonts w:ascii="Arial" w:cs="Arial" w:eastAsia="Arial" w:hAnsi="Arial"/>
                <w:sz w:val="14"/>
                <w:szCs w:val="14"/>
                <w:color w:val="auto"/>
              </w:rPr>
              <w:t>Hanley-Wood, L.L.C.</w:t>
            </w:r>
          </w:p>
        </w:tc>
        <w:tc>
          <w:tcPr>
            <w:tcW w:w="10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w w:val="91"/>
              </w:rPr>
              <w:t>03/08/2014</w:t>
            </w:r>
          </w:p>
        </w:tc>
        <w:tc>
          <w:tcPr>
            <w:tcW w:w="1640" w:type="dxa"/>
            <w:vAlign w:val="bottom"/>
          </w:tcPr>
          <w:p>
            <w:pPr>
              <w:jc w:val="center"/>
              <w:spacing w:after="0" w:line="122"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tcPr>
          <w:p>
            <w:pPr>
              <w:jc w:val="right"/>
              <w:ind w:right="360"/>
              <w:spacing w:after="0" w:line="122" w:lineRule="exact"/>
              <w:rPr>
                <w:sz w:val="20"/>
                <w:szCs w:val="20"/>
                <w:color w:val="auto"/>
              </w:rPr>
            </w:pPr>
            <w:r>
              <w:rPr>
                <w:rFonts w:ascii="Arial" w:cs="Arial" w:eastAsia="Arial" w:hAnsi="Arial"/>
                <w:sz w:val="14"/>
                <w:szCs w:val="14"/>
                <w:color w:val="auto"/>
              </w:rPr>
              <w:t>2.62%</w:t>
            </w:r>
          </w:p>
        </w:tc>
        <w:tc>
          <w:tcPr>
            <w:tcW w:w="10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rPr>
              <w:t>L+225</w:t>
            </w: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8,752,500</w:t>
            </w:r>
          </w:p>
        </w:tc>
        <w:tc>
          <w:tcPr>
            <w:tcW w:w="2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4"/>
                <w:szCs w:val="14"/>
                <w:color w:val="auto"/>
              </w:rPr>
              <w:t>8,752,500</w:t>
            </w:r>
          </w:p>
        </w:tc>
        <w:tc>
          <w:tcPr>
            <w:tcW w:w="10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08/07/2014</w:t>
            </w:r>
          </w:p>
        </w:tc>
        <w:tc>
          <w:tcPr>
            <w:tcW w:w="1640" w:type="dxa"/>
            <w:vAlign w:val="bottom"/>
          </w:tcPr>
          <w:p>
            <w:pPr>
              <w:jc w:val="center"/>
              <w:spacing w:after="0"/>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color w:val="auto"/>
              </w:rPr>
              <w:t>14.50%</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24,875,000</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24,402,321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24,875,000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4"/>
                <w:szCs w:val="14"/>
                <w:color w:val="auto"/>
              </w:rPr>
              <w:t>Jacuzzi Brands Corp.</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w w:val="91"/>
              </w:rPr>
              <w:t>02/07/2014</w:t>
            </w:r>
          </w:p>
        </w:tc>
        <w:tc>
          <w:tcPr>
            <w:tcW w:w="1640" w:type="dxa"/>
            <w:vAlign w:val="bottom"/>
          </w:tcPr>
          <w:p>
            <w:pPr>
              <w:jc w:val="center"/>
              <w:spacing w:after="0"/>
              <w:rPr>
                <w:sz w:val="20"/>
                <w:szCs w:val="20"/>
                <w:color w:val="auto"/>
              </w:rPr>
            </w:pPr>
            <w:r>
              <w:rPr>
                <w:rFonts w:ascii="Arial" w:cs="Arial" w:eastAsia="Arial" w:hAnsi="Arial"/>
                <w:sz w:val="14"/>
                <w:szCs w:val="14"/>
                <w:color w:val="auto"/>
                <w:w w:val="88"/>
              </w:rPr>
              <w:t>Home and Office Furnishings,</w:t>
            </w:r>
          </w:p>
        </w:tc>
        <w:tc>
          <w:tcPr>
            <w:tcW w:w="1160" w:type="dxa"/>
            <w:vAlign w:val="bottom"/>
            <w:gridSpan w:val="3"/>
          </w:tcPr>
          <w:p>
            <w:pPr>
              <w:jc w:val="right"/>
              <w:ind w:right="360"/>
              <w:spacing w:after="0"/>
              <w:rPr>
                <w:sz w:val="20"/>
                <w:szCs w:val="20"/>
                <w:color w:val="auto"/>
              </w:rPr>
            </w:pPr>
            <w:r>
              <w:rPr>
                <w:rFonts w:ascii="Arial" w:cs="Arial" w:eastAsia="Arial" w:hAnsi="Arial"/>
                <w:sz w:val="14"/>
                <w:szCs w:val="14"/>
                <w:color w:val="auto"/>
              </w:rPr>
              <w:t>2.71%</w:t>
            </w: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L+225</w:t>
            </w:r>
          </w:p>
        </w:tc>
        <w:tc>
          <w:tcPr>
            <w:tcW w:w="660" w:type="dxa"/>
            <w:vAlign w:val="bottom"/>
          </w:tcPr>
          <w:p>
            <w:pPr>
              <w:jc w:val="right"/>
              <w:spacing w:after="0"/>
              <w:rPr>
                <w:sz w:val="20"/>
                <w:szCs w:val="20"/>
                <w:color w:val="auto"/>
              </w:rPr>
            </w:pPr>
            <w:r>
              <w:rPr>
                <w:rFonts w:ascii="Arial" w:cs="Arial" w:eastAsia="Arial" w:hAnsi="Arial"/>
                <w:sz w:val="14"/>
                <w:szCs w:val="14"/>
                <w:color w:val="auto"/>
              </w:rPr>
              <w:t>9,744,595</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9,744,595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color w:val="auto"/>
                <w:w w:val="87"/>
              </w:rPr>
              <w:t>Consumer Products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L+675</w:t>
            </w:r>
            <w:r>
              <w:rPr>
                <w:rFonts w:ascii="Arial" w:cs="Arial" w:eastAsia="Arial" w:hAnsi="Arial"/>
                <w:sz w:val="22"/>
                <w:szCs w:val="22"/>
                <w:color w:val="auto"/>
                <w:vertAlign w:val="superscript"/>
              </w:rPr>
              <w:t>(8)</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10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w w:val="91"/>
              </w:rPr>
              <w:t>09/10/2015</w:t>
            </w:r>
          </w:p>
        </w:tc>
        <w:tc>
          <w:tcPr>
            <w:tcW w:w="164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16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10.00%</w:t>
            </w:r>
          </w:p>
        </w:tc>
        <w:tc>
          <w:tcPr>
            <w:tcW w:w="1080" w:type="dxa"/>
            <w:vAlign w:val="bottom"/>
            <w:gridSpan w:val="2"/>
            <w:vMerge w:val="continue"/>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1"/>
              </w:rPr>
              <w:t>19,000,000</w:t>
            </w:r>
          </w:p>
        </w:tc>
        <w:tc>
          <w:tcPr>
            <w:tcW w:w="28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17,866,826</w:t>
            </w:r>
          </w:p>
        </w:tc>
        <w:tc>
          <w:tcPr>
            <w:tcW w:w="10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18,240,000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04/27/2016</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26,052,631</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25,481,512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w w:val="91"/>
              </w:rPr>
              <w:t>01/18/2014</w:t>
            </w: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6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2.54%</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L+225</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Consumer Products</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08/01/2014</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9,829,738</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8,432,037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12/16/2012</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12/16/2012</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46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9"/>
                <w:szCs w:val="9"/>
                <w:color w:val="auto"/>
              </w:rPr>
              <w:t xml:space="preserve"> (8)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200,404</w:t>
            </w:r>
          </w:p>
        </w:tc>
        <w:tc>
          <w:tcPr>
            <w:tcW w:w="2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200,404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80" w:type="dxa"/>
            <w:vAlign w:val="bottom"/>
            <w:gridSpan w:val="2"/>
          </w:tcPr>
          <w:p>
            <w:pPr>
              <w:spacing w:after="0" w:line="137" w:lineRule="exact"/>
              <w:rPr>
                <w:sz w:val="20"/>
                <w:szCs w:val="20"/>
                <w:color w:val="auto"/>
              </w:rPr>
            </w:pPr>
            <w:r>
              <w:rPr>
                <w:rFonts w:ascii="Arial" w:cs="Arial" w:eastAsia="Arial" w:hAnsi="Arial"/>
                <w:sz w:val="14"/>
                <w:szCs w:val="14"/>
                <w:color w:val="auto"/>
              </w:rPr>
              <w:t>Sugarhouse HSP Gaming Prop.</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w w:val="91"/>
              </w:rPr>
              <w:t>09/23/2014</w:t>
            </w:r>
          </w:p>
        </w:tc>
        <w:tc>
          <w:tcPr>
            <w:tcW w:w="1640" w:type="dxa"/>
            <w:vAlign w:val="bottom"/>
          </w:tcPr>
          <w:p>
            <w:pPr>
              <w:jc w:val="center"/>
              <w:spacing w:after="0" w:line="137" w:lineRule="exact"/>
              <w:rPr>
                <w:sz w:val="20"/>
                <w:szCs w:val="20"/>
                <w:color w:val="auto"/>
              </w:rPr>
            </w:pPr>
            <w:r>
              <w:rPr>
                <w:rFonts w:ascii="Arial" w:cs="Arial" w:eastAsia="Arial" w:hAnsi="Arial"/>
                <w:sz w:val="14"/>
                <w:szCs w:val="14"/>
                <w:color w:val="auto"/>
                <w:w w:val="87"/>
              </w:rPr>
              <w:t>Hotels, Motels, Inns and</w:t>
            </w:r>
          </w:p>
        </w:tc>
        <w:tc>
          <w:tcPr>
            <w:tcW w:w="1160" w:type="dxa"/>
            <w:vAlign w:val="bottom"/>
            <w:gridSpan w:val="3"/>
          </w:tcPr>
          <w:p>
            <w:pPr>
              <w:jc w:val="right"/>
              <w:ind w:right="360"/>
              <w:spacing w:after="0" w:line="137" w:lineRule="exact"/>
              <w:rPr>
                <w:sz w:val="20"/>
                <w:szCs w:val="20"/>
                <w:color w:val="auto"/>
              </w:rPr>
            </w:pPr>
            <w:r>
              <w:rPr>
                <w:rFonts w:ascii="Arial" w:cs="Arial" w:eastAsia="Arial" w:hAnsi="Arial"/>
                <w:sz w:val="14"/>
                <w:szCs w:val="14"/>
                <w:color w:val="auto"/>
              </w:rPr>
              <w:t>11.25%</w:t>
            </w:r>
          </w:p>
        </w:tc>
        <w:tc>
          <w:tcPr>
            <w:tcW w:w="108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rPr>
              <w:t>L+825</w:t>
            </w:r>
          </w:p>
        </w:tc>
        <w:tc>
          <w:tcPr>
            <w:tcW w:w="660" w:type="dxa"/>
            <w:vAlign w:val="bottom"/>
          </w:tcPr>
          <w:p>
            <w:pPr>
              <w:jc w:val="right"/>
              <w:spacing w:after="0" w:line="137" w:lineRule="exact"/>
              <w:rPr>
                <w:sz w:val="20"/>
                <w:szCs w:val="20"/>
                <w:color w:val="auto"/>
              </w:rPr>
            </w:pPr>
            <w:r>
              <w:rPr>
                <w:rFonts w:ascii="Arial" w:cs="Arial" w:eastAsia="Arial" w:hAnsi="Arial"/>
                <w:sz w:val="14"/>
                <w:szCs w:val="14"/>
                <w:color w:val="auto"/>
                <w:w w:val="91"/>
              </w:rPr>
              <w:t>29,500,000</w:t>
            </w:r>
          </w:p>
        </w:tc>
        <w:tc>
          <w:tcPr>
            <w:tcW w:w="280" w:type="dxa"/>
            <w:vAlign w:val="bottom"/>
          </w:tcPr>
          <w:p>
            <w:pPr>
              <w:spacing w:after="0"/>
              <w:rPr>
                <w:sz w:val="11"/>
                <w:szCs w:val="11"/>
                <w:color w:val="auto"/>
              </w:rPr>
            </w:pPr>
          </w:p>
        </w:tc>
        <w:tc>
          <w:tcPr>
            <w:tcW w:w="740" w:type="dxa"/>
            <w:vAlign w:val="bottom"/>
          </w:tcPr>
          <w:p>
            <w:pPr>
              <w:jc w:val="right"/>
              <w:spacing w:after="0" w:line="137" w:lineRule="exact"/>
              <w:rPr>
                <w:sz w:val="20"/>
                <w:szCs w:val="20"/>
                <w:color w:val="auto"/>
              </w:rPr>
            </w:pPr>
            <w:r>
              <w:rPr>
                <w:rFonts w:ascii="Arial" w:cs="Arial" w:eastAsia="Arial" w:hAnsi="Arial"/>
                <w:sz w:val="14"/>
                <w:szCs w:val="14"/>
                <w:color w:val="auto"/>
              </w:rPr>
              <w:t>28,756,343</w:t>
            </w:r>
          </w:p>
        </w:tc>
        <w:tc>
          <w:tcPr>
            <w:tcW w:w="102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29,702,813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8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w w:val="91"/>
              </w:rPr>
              <w:t>10/22/2011</w:t>
            </w:r>
          </w:p>
        </w:tc>
        <w:tc>
          <w:tcPr>
            <w:tcW w:w="1640" w:type="dxa"/>
            <w:vAlign w:val="bottom"/>
          </w:tcPr>
          <w:p>
            <w:pPr>
              <w:jc w:val="center"/>
              <w:spacing w:after="0" w:line="122" w:lineRule="exact"/>
              <w:rPr>
                <w:sz w:val="20"/>
                <w:szCs w:val="20"/>
                <w:color w:val="auto"/>
              </w:rPr>
            </w:pPr>
            <w:r>
              <w:rPr>
                <w:rFonts w:ascii="Arial" w:cs="Arial" w:eastAsia="Arial" w:hAnsi="Arial"/>
                <w:sz w:val="14"/>
                <w:szCs w:val="14"/>
                <w:color w:val="auto"/>
                <w:w w:val="87"/>
              </w:rPr>
              <w:t>Healthcare, Education and</w:t>
            </w:r>
          </w:p>
        </w:tc>
        <w:tc>
          <w:tcPr>
            <w:tcW w:w="116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15.25%</w:t>
            </w:r>
          </w:p>
        </w:tc>
        <w:tc>
          <w:tcPr>
            <w:tcW w:w="1080" w:type="dxa"/>
            <w:vAlign w:val="bottom"/>
            <w:gridSpan w:val="2"/>
          </w:tcPr>
          <w:p>
            <w:pPr>
              <w:jc w:val="right"/>
              <w:ind w:right="420"/>
              <w:spacing w:after="0" w:line="122" w:lineRule="exact"/>
              <w:rPr>
                <w:sz w:val="20"/>
                <w:szCs w:val="20"/>
                <w:color w:val="auto"/>
              </w:rPr>
            </w:pPr>
            <w:r>
              <w:rPr>
                <w:rFonts w:ascii="Arial" w:cs="Arial" w:eastAsia="Arial" w:hAnsi="Arial"/>
                <w:sz w:val="14"/>
                <w:szCs w:val="14"/>
                <w:color w:val="auto"/>
              </w:rPr>
              <w:t>L+1,300</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1"/>
              </w:rPr>
              <w:t>25,000,000</w:t>
            </w:r>
          </w:p>
        </w:tc>
        <w:tc>
          <w:tcPr>
            <w:tcW w:w="2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21,861,968</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color w:val="auto"/>
                <w:w w:val="87"/>
              </w:rPr>
              <w:t>Childcare</w:t>
            </w:r>
          </w:p>
        </w:tc>
        <w:tc>
          <w:tcPr>
            <w:tcW w:w="1160" w:type="dxa"/>
            <w:vAlign w:val="bottom"/>
            <w:gridSpan w:val="3"/>
            <w:vMerge w:val="continue"/>
          </w:tcPr>
          <w:p>
            <w:pPr>
              <w:spacing w:after="0"/>
              <w:rPr>
                <w:sz w:val="9"/>
                <w:szCs w:val="9"/>
                <w:color w:val="auto"/>
              </w:rPr>
            </w:pPr>
          </w:p>
        </w:tc>
        <w:tc>
          <w:tcPr>
            <w:tcW w:w="1080" w:type="dxa"/>
            <w:vAlign w:val="bottom"/>
            <w:gridSpan w:val="2"/>
            <w:vMerge w:val="restart"/>
          </w:tcPr>
          <w:p>
            <w:pPr>
              <w:jc w:val="right"/>
              <w:ind w:right="300"/>
              <w:spacing w:after="0" w:line="176" w:lineRule="exact"/>
              <w:rPr>
                <w:sz w:val="20"/>
                <w:szCs w:val="20"/>
                <w:color w:val="auto"/>
              </w:rPr>
            </w:pPr>
            <w:r>
              <w:rPr>
                <w:rFonts w:ascii="Arial" w:cs="Arial" w:eastAsia="Arial" w:hAnsi="Arial"/>
                <w:sz w:val="13"/>
                <w:szCs w:val="13"/>
                <w:color w:val="auto"/>
              </w:rPr>
              <w:t>P+1,200</w:t>
            </w:r>
            <w:r>
              <w:rPr>
                <w:rFonts w:ascii="Arial" w:cs="Arial" w:eastAsia="Arial" w:hAnsi="Arial"/>
                <w:sz w:val="20"/>
                <w:szCs w:val="20"/>
                <w:color w:val="auto"/>
                <w:vertAlign w:val="superscript"/>
              </w:rPr>
              <w:t>(8)</w:t>
            </w: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w w:val="91"/>
              </w:rPr>
              <w:t>07/15/2016</w:t>
            </w:r>
          </w:p>
        </w:tc>
        <w:tc>
          <w:tcPr>
            <w:tcW w:w="1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6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11.38%</w:t>
            </w:r>
          </w:p>
        </w:tc>
        <w:tc>
          <w:tcPr>
            <w:tcW w:w="10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4,500,000</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4,381,967</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231,907,418</w:t>
            </w:r>
          </w:p>
        </w:tc>
        <w:tc>
          <w:tcPr>
            <w:tcW w:w="2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229,243,683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-2854960</wp:posOffset>
            </wp:positionV>
            <wp:extent cx="724662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-2005965</wp:posOffset>
            </wp:positionV>
            <wp:extent cx="72466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24662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Basis Point</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Spread</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10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4"/>
              </w:rPr>
              <w:t>Above</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(3)</w:t>
            </w:r>
          </w:p>
        </w:tc>
        <w:tc>
          <w:tcPr>
            <w:tcW w:w="0" w:type="dxa"/>
            <w:vAlign w:val="bottom"/>
          </w:tcPr>
          <w:p>
            <w:pPr>
              <w:spacing w:after="0"/>
              <w:rPr>
                <w:sz w:val="1"/>
                <w:szCs w:val="1"/>
                <w:color w:val="auto"/>
              </w:rPr>
            </w:pPr>
          </w:p>
        </w:tc>
      </w:tr>
      <w:tr>
        <w:trPr>
          <w:trHeight w:val="176"/>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Maturity</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2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Par/Shares</w:t>
            </w:r>
          </w:p>
        </w:tc>
        <w:tc>
          <w:tcPr>
            <w:tcW w:w="260" w:type="dxa"/>
            <w:vAlign w:val="bottom"/>
          </w:tcPr>
          <w:p>
            <w:pPr>
              <w:spacing w:after="0"/>
              <w:rPr>
                <w:sz w:val="15"/>
                <w:szCs w:val="15"/>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Second Lien Secured Debt—38.6%</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02/07/2015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6.43%</w:t>
            </w:r>
          </w:p>
        </w:tc>
        <w:tc>
          <w:tcPr>
            <w:tcW w:w="1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L+600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4"/>
              </w:rPr>
              <w:t>$13,600,000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$ 13,216,845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02/07/2015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7.39%</w:t>
            </w:r>
          </w:p>
        </w:tc>
        <w:tc>
          <w:tcPr>
            <w:tcW w:w="1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11,776,589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10,410,000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07/29/2014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8.00%</w:t>
            </w:r>
          </w:p>
        </w:tc>
        <w:tc>
          <w:tcPr>
            <w:tcW w:w="102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6,237,317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6,237,317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w:t>
            </w: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(U.S.), Inc.</w:t>
            </w:r>
          </w:p>
        </w:tc>
        <w:tc>
          <w:tcPr>
            <w:tcW w:w="108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w w:val="91"/>
              </w:rPr>
              <w:t>04/30/2015</w:t>
            </w:r>
          </w:p>
        </w:tc>
        <w:tc>
          <w:tcPr>
            <w:tcW w:w="20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114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7.79%</w:t>
            </w:r>
          </w:p>
        </w:tc>
        <w:tc>
          <w:tcPr>
            <w:tcW w:w="10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11,958,469</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03/01/2014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2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2,570,357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2,570,357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11/01/2017</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11.50%</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12/15/2014</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9.50%</w:t>
            </w:r>
          </w:p>
        </w:tc>
        <w:tc>
          <w:tcPr>
            <w:tcW w:w="1020" w:type="dxa"/>
            <w:vAlign w:val="bottom"/>
            <w:gridSpan w:val="2"/>
          </w:tcPr>
          <w:p>
            <w:pPr>
              <w:ind w:left="2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3,219,319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3,219,319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10/15/2017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05/15/2015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8.13%</w:t>
            </w:r>
          </w:p>
        </w:tc>
        <w:tc>
          <w:tcPr>
            <w:tcW w:w="1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L+775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05/15/2017</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17,039,991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Sheridan Holdings, Inc.</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1"/>
              </w:rPr>
              <w:t>06/15/2015</w:t>
            </w: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Healthcare, Education and Childcare</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6.05%</w:t>
            </w:r>
            <w:r>
              <w:rPr>
                <w:rFonts w:ascii="Arial" w:cs="Arial" w:eastAsia="Arial" w:hAnsi="Arial"/>
                <w:sz w:val="22"/>
                <w:szCs w:val="22"/>
                <w:color w:val="auto"/>
                <w:vertAlign w:val="superscript"/>
              </w:rPr>
              <w:t>(6)</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L+575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21,500,000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19,211,412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19,887,500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tcPr>
          <w:p>
            <w:pPr>
              <w:spacing w:after="0" w:line="138" w:lineRule="exact"/>
              <w:rPr>
                <w:sz w:val="20"/>
                <w:szCs w:val="20"/>
                <w:color w:val="auto"/>
              </w:rPr>
            </w:pPr>
            <w:r>
              <w:rPr>
                <w:rFonts w:ascii="Arial" w:cs="Arial" w:eastAsia="Arial" w:hAnsi="Arial"/>
                <w:sz w:val="14"/>
                <w:szCs w:val="14"/>
                <w:color w:val="auto"/>
              </w:rPr>
              <w:t>Specialized Technology</w:t>
            </w: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7.26%</w:t>
            </w:r>
            <w:r>
              <w:rPr>
                <w:rFonts w:ascii="Arial" w:cs="Arial" w:eastAsia="Arial" w:hAnsi="Arial"/>
                <w:sz w:val="22"/>
                <w:szCs w:val="22"/>
                <w:color w:val="auto"/>
                <w:vertAlign w:val="superscript"/>
              </w:rPr>
              <w:t>(6)</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Resources, Inc.</w:t>
            </w:r>
          </w:p>
        </w:tc>
        <w:tc>
          <w:tcPr>
            <w:tcW w:w="108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91"/>
              </w:rPr>
              <w:t>12/15/2014</w:t>
            </w: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Chemical, Plastics and Rubber</w:t>
            </w:r>
          </w:p>
        </w:tc>
        <w:tc>
          <w:tcPr>
            <w:tcW w:w="1140" w:type="dxa"/>
            <w:vAlign w:val="bottom"/>
            <w:gridSpan w:val="3"/>
            <w:vMerge w:val="continue"/>
          </w:tcPr>
          <w:p>
            <w:pPr>
              <w:spacing w:after="0"/>
              <w:rPr>
                <w:sz w:val="13"/>
                <w:szCs w:val="13"/>
                <w:color w:val="auto"/>
              </w:rPr>
            </w:pPr>
          </w:p>
        </w:tc>
        <w:tc>
          <w:tcPr>
            <w:tcW w:w="10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22,500,000</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22,490,129</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06/15/2015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L+600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17,811,488</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151,611,934</w:t>
            </w: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11/15/2015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9,855,000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114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11.13%</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18,885,000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04/17/2015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7,973,429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03/22/2014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20,720,892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2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0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w w:val="91"/>
              </w:rPr>
              <w:t>04/01/2015</w:t>
            </w:r>
          </w:p>
        </w:tc>
        <w:tc>
          <w:tcPr>
            <w:tcW w:w="20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114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25,000,000</w:t>
            </w:r>
          </w:p>
        </w:tc>
        <w:tc>
          <w:tcPr>
            <w:tcW w:w="10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24,379,843</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6"/>
              </w:rPr>
              <w:t>Housewares 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06/06/2014</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23,283,292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06/30/2016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3,947,368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3,194,611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10/15/2016</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04/15/2015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4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9,055,731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12/29/2015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11,721,019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11,361,858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10/01/2016</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20,501,960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20,331,704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02/08/2015</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21,098,000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12/31/2015</w:t>
            </w: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10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14,636,487</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1"/>
              </w:rPr>
              <w:t>12/31/2012</w:t>
            </w: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213,271,563</w:t>
            </w:r>
          </w:p>
        </w:tc>
        <w:tc>
          <w:tcPr>
            <w:tcW w:w="26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217,081,074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90"/>
              </w:rPr>
              <w:t>Current</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Maturity</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2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Coupon</w:t>
            </w:r>
          </w:p>
        </w:tc>
        <w:tc>
          <w:tcPr>
            <w:tcW w:w="6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Par/Shares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Preferred Equity/Partnership Interests —2.0%</w:t>
            </w:r>
            <w:r>
              <w:rPr>
                <w:rFonts w:ascii="Arial" w:cs="Arial" w:eastAsia="Arial" w:hAnsi="Arial"/>
                <w:sz w:val="16"/>
                <w:szCs w:val="16"/>
                <w:b w:val="1"/>
                <w:bCs w:val="1"/>
                <w:color w:val="auto"/>
                <w:vertAlign w:val="superscript"/>
              </w:rPr>
              <w:t>(7)</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 (Advanstar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318,896</w:t>
            </w: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797,288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1,070,352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96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9.00%</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144,375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144,376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148,909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12.00%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3,869,263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A (Trizetto Group,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685,820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6.50%</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1,495,885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Class A-1 (UP Acquisitions Sub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8.00%</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91,608</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2,499,066</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495,851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7,766,080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Interests—9.9%</w:t>
            </w:r>
            <w:r>
              <w:rPr>
                <w:rFonts w:ascii="Arial" w:cs="Arial" w:eastAsia="Arial" w:hAnsi="Arial"/>
                <w:sz w:val="18"/>
                <w:szCs w:val="18"/>
                <w:b w:val="1"/>
                <w:bCs w:val="1"/>
                <w:color w:val="auto"/>
                <w:vertAlign w:val="superscript"/>
              </w:rPr>
              <w:t>(7)</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96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Broadcasting and</w:t>
            </w: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50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1,333</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3,000,000</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16,271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96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5,556</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24,375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1,506,076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49,005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3,027,906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457,322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7"/>
              </w:rPr>
              <w:t>Kadmon Holdings, L.L.C., Class A (Three Rivers Pharmaceutical,</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L.L.C.)</w:t>
            </w:r>
          </w:p>
        </w:tc>
        <w:tc>
          <w:tcPr>
            <w:tcW w:w="96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8,999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1,780,693</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w w:val="97"/>
              </w:rPr>
              <w:t>Kadmon Holdings, L.L.C., Class D (Three Rivers Pharmaceutical,</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L.L.C.)</w:t>
            </w:r>
          </w:p>
        </w:tc>
        <w:tc>
          <w:tcPr>
            <w:tcW w:w="96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20" w:type="dxa"/>
            <w:vAlign w:val="bottom"/>
          </w:tcPr>
          <w:p>
            <w:pPr>
              <w:spacing w:after="0"/>
              <w:rPr>
                <w:sz w:val="13"/>
                <w:szCs w:val="13"/>
                <w:color w:val="auto"/>
              </w:rPr>
            </w:pPr>
          </w:p>
        </w:tc>
        <w:tc>
          <w:tcPr>
            <w:tcW w:w="9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8,999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857,339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04/27/2020</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1,055,932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2,464,999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A (Questex Media Group,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1,306,167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 (Questex Media Group,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12/29/2019</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 (Greatwide Logistics</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L.L.C)</w:t>
            </w:r>
          </w:p>
        </w:tc>
        <w:tc>
          <w:tcPr>
            <w:tcW w:w="96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220" w:type="dxa"/>
            <w:vAlign w:val="bottom"/>
          </w:tcPr>
          <w:p>
            <w:pPr>
              <w:spacing w:after="0"/>
              <w:rPr>
                <w:sz w:val="13"/>
                <w:szCs w:val="13"/>
                <w:color w:val="auto"/>
              </w:rPr>
            </w:pPr>
          </w:p>
        </w:tc>
        <w:tc>
          <w:tcPr>
            <w:tcW w:w="92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137,923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2,111,588</w:t>
            </w: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220" w:type="dxa"/>
            <w:vAlign w:val="bottom"/>
          </w:tcPr>
          <w:p>
            <w:pPr>
              <w:spacing w:after="0"/>
              <w:rPr>
                <w:sz w:val="12"/>
                <w:szCs w:val="12"/>
                <w:color w:val="auto"/>
              </w:rPr>
            </w:pPr>
          </w:p>
        </w:tc>
        <w:tc>
          <w:tcPr>
            <w:tcW w:w="9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916</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35,526</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4,634,758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24,595,148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38,112,638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8"/>
              </w:rPr>
              <w:t>Investments in Non-Controlled, Non-Affiliated Portfolio Companies</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631,280,755</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641,290,626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Above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4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4"/>
              </w:rPr>
              <w:t>Par/Shares</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Companies—4.0%</w:t>
            </w:r>
            <w:r>
              <w:rPr>
                <w:rFonts w:ascii="Arial" w:cs="Arial" w:eastAsia="Arial" w:hAnsi="Arial"/>
                <w:sz w:val="16"/>
                <w:szCs w:val="16"/>
                <w:b w:val="1"/>
                <w:bCs w:val="1"/>
                <w:color w:val="auto"/>
                <w:vertAlign w:val="superscript"/>
              </w:rPr>
              <w:t>(1),(2)</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Debt—2.0%</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Inc.</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1"/>
              </w:rPr>
              <w:t>01/16/2015</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$ 8,000,000</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88"/>
              </w:rPr>
              <w:t>Motion Pictures and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Performance Holdings, Inc.</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07/16/2015</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5,848,176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5,677,648</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5,745,832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Motion Pictures and</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Equity/Partnership Interest—0.5%</w:t>
            </w:r>
            <w:r>
              <w:rPr>
                <w:rFonts w:ascii="Arial" w:cs="Arial" w:eastAsia="Arial" w:hAnsi="Arial"/>
                <w:sz w:val="17"/>
                <w:szCs w:val="17"/>
                <w:b w:val="1"/>
                <w:bCs w:val="1"/>
                <w:color w:val="auto"/>
                <w:vertAlign w:val="superscript"/>
              </w:rPr>
              <w:t>(7)</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NCP-Performance (Performance Holdings, Inc.)</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Leisure, Amusement,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2,103,848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color w:val="auto"/>
                <w:w w:val="88"/>
              </w:rPr>
              <w:t>Motion Pictures and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Company</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17,427,648</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15,433,680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Controlled, Affiliated Portfolio Companies—2.1%</w:t>
            </w:r>
            <w:r>
              <w:rPr>
                <w:rFonts w:ascii="Arial" w:cs="Arial" w:eastAsia="Arial" w:hAnsi="Arial"/>
                <w:sz w:val="18"/>
                <w:szCs w:val="18"/>
                <w:b w:val="1"/>
                <w:bCs w:val="1"/>
                <w:color w:val="auto"/>
                <w:vertAlign w:val="superscript"/>
              </w:rPr>
              <w:t>(1),(2)</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Lien Secured Debt—1.4%</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06/30/2020</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4,800,000</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06/30/2020</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1,200,000</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1,142,398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1,505,602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20" w:type="dxa"/>
            <w:vAlign w:val="bottom"/>
          </w:tcPr>
          <w:p>
            <w:pPr>
              <w:spacing w:after="0"/>
              <w:rPr>
                <w:sz w:val="13"/>
                <w:szCs w:val="13"/>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Company</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Investments—172.0%</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656,708,503</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664,724,406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Equivalents—0.5%</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and Cash Equivalents—172.5%</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658,522,954</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666,538,857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7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Assets—(72.5%)</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7"/>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386,575,223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600" w:hanging="452"/>
        <w:spacing w:after="0" w:line="268"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460" w:right="20" w:hanging="452"/>
        <w:spacing w:after="0" w:line="258" w:lineRule="auto"/>
        <w:tabs>
          <w:tab w:leader="none" w:pos="4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46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46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Prime Rate.</w:t>
      </w:r>
    </w:p>
    <w:p>
      <w:pPr>
        <w:ind w:left="460" w:right="28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usually to qualified institutional buyers.</w:t>
      </w:r>
    </w:p>
    <w:p>
      <w:pPr>
        <w:ind w:left="46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46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46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460" w:hanging="452"/>
        <w:spacing w:after="0" w:line="22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Except where the context suggests otherwise, the terms “we,” “us,” “our” or “PennantPark Investment” refer to PennantPark Investment Corporation.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References to our portfolio and investments include investments made through our consolidated SBIC subsidiary.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under the Investment Company Act of 1940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24, 2007, PennantPark Investment closed its initial public offering and its common stock trades on the NASDAQ Global Select Market under the symbol “PNNT”. We entered into an investment management agreement (the “Investment Management Agreement”) with PennantPark Investment Advisers, LLC (the “Investment Adviser” or “PennantPark Investment Advisers”), an external adviser that manages our day-to-day operations. We also entered into an administration agreement (the “Administration Agreement”) with PennantPark Investment Administration, LLC (the “Administrator” or “PennantPark Investment Administration”) that provides the administrative services necessary for us to operate.</w:t>
      </w:r>
    </w:p>
    <w:p>
      <w:pPr>
        <w:spacing w:after="0" w:line="11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PennantPark SBIC LP (“SBIC LP”) under a separate investment management agreement with us. PennantPark Investment, through the Administrator, also provides similar services to SBIC LP and our controlled affiliate SuttonPark Holdings, Inc. and its subsidiaries (“SPH”) under separate administration agreements with us. See Note 3 for more information.</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SBIC LP and its general partner, SBIC GP, LLC (collectively “our SBIC”), were organized in Delaware as a limited partnership and a limited liability company, respectively, on May 7, 2010 and began operations on June 11, 2010. SBIC LP received a license from the Small Business Administration (“SBA”) to operate as a Small Business Investment Company (“SBIC”) effective July 30, 2010 under Section 301(c) of the Small Business Investment Act of 1958 (the “1958 Act”). Our SBIC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PennantPark Investment completed its initial public offering of common stock in 2007 and issued 21.0 million shares raising $294.1 million in net proceeds. Since our initial public offering, we have sold 15.1 million shares of common stock through follow-on public offerings, resulting in net proceeds of $134.2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 of our consolidated assets and liabilities at the date of the consolidated financial statements and the reported amounts of income and expenses during the reported period. Actual results could differ from these estimates. We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have reclassified certain prior period amounts to conform to the current period presentation. We have eliminated all intercompany balances and transactions. References to the Accounting Standards Codification (“ASC”) serve as a single source of accounting literature and are not intended to change accounting literature. Subsequent events are evaluated and disclosed as appropriate for events occurring through the date the consolidated financial statements are issued.</w:t>
      </w:r>
    </w:p>
    <w:p>
      <w:pPr>
        <w:spacing w:after="0" w:line="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and our SBIC 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1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accreted or amortized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Since May 1, 2007, PennantPark Investment has complied with the requirements of Subchapter M of the Internal Revenue Code of 1986, as amended, (the “Code”), and expects to be subject to tax as a regulated investment company (“RIC”). As a RIC, PennantPark Investment accounts for income taxes using the asset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subject to tax as a RIC, we elected to retain a portion of our calendar year income and incurred an excise tax of $0.1 million and $0.1 million for the three months ended December 31, 2010 and 2009, respectively. 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inception-to-date federal tax years remain subject to examination by the Internal Revenue Service.</w:t>
      </w:r>
    </w:p>
    <w:p>
      <w:pPr>
        <w:spacing w:after="0" w:line="12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character of income and gain distributions are determined in accordance with income tax regulations that may differ from U.S. generally accepted accounting principles.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Consolidation</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Investment will generally not consolidate its investment in a company other than an investment company subsidiary or a controlled operating company whose business consists of providing services to us. Accordingly, we have consolidated the results of our SBIC in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New Accounting Pronouncements and Accounting Standards Updates (“ASU”)</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(“ASU 2010-06”), to clarify and amend ASC 820-10. In particular, it requires that entities disclose on a gross basis purchases, sales, issuances, and settlements within the Level 3 fair value roll-forward. ASU 2010-06 clarifies existing fair value disclosures about the level of disaggregation as well as inputs and valuation techniques for both recurring and nonrecurring fair value measurements that fall into Level 2 or 3. The new disclosures are effective for fiscal years beginning after December 15, 2010, and for interim periods within those fiscal years. We have adopted the disclosures regarding the disaggregation of purchases, sales and settlements in the roll-forward of activity in Level 3 fair value measurements and it did not have a material impact on our consolidated financial statements.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300"/>
          </w:cols>
          <w:pgMar w:left="240" w:top="459" w:right="3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PennantPark Investment’s Investment Management Agreement with the Investment Adviser was re-approved by our board of directors, including a majority of our independent directors of PennantPark Investment, in February 2011. Under this agreement the Investment Adviser, subject to the overall supervision of PennantPark Investment’s board of directors, manages the day-to-day operations of and provides investment advisory services to PennantPark Investment. The SBIC LP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base management fee is calculated at an annual rate of 2.00% on PennantPark Investment’s gross assets (net of U.S. Treasury Bills and/or temporary draws on the credit facility or “average adjusted gross assets”, if any, see Note 10). The base management fee has been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three months ended December 31, 2010 and 2009, the Investment Adviser earned a net base management fee of $3.5 million and $2.5 million, respectively, from us.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2010 and 2009, the Investment Adviser earned an incentive fee of $2.8 million and $1.8 million, respectively, from us.</w:t>
      </w:r>
    </w:p>
    <w:p>
      <w:pPr>
        <w:spacing w:after="0" w:line="10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2011. Under this agreement PennantPark Investment Administration provides administrative services for PennantPark Investment. PennantPark Investment, through the Administrator, provides similar services to SBIC LP under its administration agreement with us.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Statement of Operations. For the three months ended December 31, 2010 and 2009, the Investment Adviser and Administrator, collectively, were reimbursed $0.6 million and $0.3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three months ended December 31, 2010, the PennantPark Investment was reimbursed $0.1 million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2010 and 2009 totaled $102.9 million and $51.6 million, respectively. Sales and repayments of long-term investments for the three months ended December 31, 2010 and 2009 totaled $85.5 million and $16.8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December 31, 2010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2010</w:t>
            </w: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273,462,356</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$ 277,618,893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236,707,418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234,595,683</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Second lien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103,136,129</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101,451,697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159,611,934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156,671,151</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257,013,809</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266,817,119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220,149,211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223,969,304</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Preferred equity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15,974,552</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14,290,136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11,894,692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9,271,682</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28,002,960</w:t>
            </w:r>
          </w:p>
        </w:tc>
        <w:tc>
          <w:tcPr>
            <w:tcW w:w="4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44,090,565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28,345,248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100" w:type="dxa"/>
            <w:vAlign w:val="bottom"/>
            <w:shd w:val="clear" w:color="auto" w:fill="CCEEFF"/>
          </w:tcPr>
          <w:p>
            <w:pPr>
              <w:spacing w:after="0"/>
              <w:rPr>
                <w:sz w:val="18"/>
                <w:szCs w:val="18"/>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677,589,806</w:t>
            </w:r>
          </w:p>
        </w:tc>
        <w:tc>
          <w:tcPr>
            <w:tcW w:w="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704,268,410</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656,708,503</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664,724,406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4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3,022,137</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Total Investments and 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680,611,943</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$ 707,290,547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658,522,954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666,538,857</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and cash equivalents) in such industries as of December 31, 2010 and September 30,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40" w:type="dxa"/>
            <w:vAlign w:val="bottom"/>
          </w:tcPr>
          <w:p>
            <w:pPr>
              <w:spacing w:after="0"/>
              <w:rPr>
                <w:sz w:val="14"/>
                <w:szCs w:val="14"/>
                <w:color w:val="auto"/>
              </w:rPr>
            </w:pPr>
          </w:p>
        </w:tc>
        <w:tc>
          <w:tcPr>
            <w:tcW w:w="25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84"/>
              </w:rPr>
              <w:t>December 31, 2010</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0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Diversified/Conglomerate Services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00" w:type="dxa"/>
            <w:vAlign w:val="bottom"/>
            <w:gridSpan w:val="3"/>
          </w:tcPr>
          <w:p>
            <w:pPr>
              <w:jc w:val="right"/>
              <w:ind w:right="4200"/>
              <w:spacing w:after="0"/>
              <w:rPr>
                <w:sz w:val="20"/>
                <w:szCs w:val="20"/>
                <w:color w:val="auto"/>
              </w:rPr>
            </w:pPr>
            <w:r>
              <w:rPr>
                <w:rFonts w:ascii="Arial" w:cs="Arial" w:eastAsia="Arial" w:hAnsi="Arial"/>
                <w:sz w:val="18"/>
                <w:szCs w:val="18"/>
                <w:color w:val="auto"/>
                <w:w w:val="99"/>
              </w:rPr>
              <w:t>S-53</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Fair Value Measurements,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at the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As of December 31, 2010, the observability of the valuation inputs has resulted in a reclassification from Level 3 to Level 2 during the period.</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to our consolidated financial statements). Consistent with our valuation policy, PennantPark Investment evaluates the source of inputs, including any markets in which its investments are trading, in determining fair value.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2010 and September 30, 2010, our cash and cash equivalents, investments and our long-term credit facility were categorized as follows in the fair value hierarchy for ASC 820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4"/>
                <w:szCs w:val="1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2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$ 645,887,709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$ 606,341,646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58,380,701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7,644,948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50,735,753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704,268,410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7,644,948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657,077,399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3,022,137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3,022,137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707,290,547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10,667,085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39,546,063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657,077,399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gridSpan w:val="3"/>
            <w:vMerge w:val="continue"/>
          </w:tcPr>
          <w:p>
            <w:pPr>
              <w:spacing w:after="0"/>
              <w:rPr>
                <w:sz w:val="18"/>
                <w:szCs w:val="18"/>
                <w:color w:val="auto"/>
              </w:rPr>
            </w:pPr>
          </w:p>
        </w:tc>
        <w:tc>
          <w:tcPr>
            <w:tcW w:w="28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(248,445,750)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(248,445,750)</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September 30, 2010</w:t>
            </w:r>
          </w:p>
        </w:tc>
        <w:tc>
          <w:tcPr>
            <w:tcW w:w="1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360" w:type="dxa"/>
            <w:vAlign w:val="bottom"/>
            <w:gridSpan w:val="3"/>
            <w:vMerge w:val="continue"/>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2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$ 615,236,138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$ 615,236,138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49,488,268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4,350,440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664,724,406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4,350,440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1,814,451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1,814,451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666,538,857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6,164,891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15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(213,941,125)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(213,941,125)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60" w:type="dxa"/>
            <w:vAlign w:val="bottom"/>
            <w:gridSpan w:val="3"/>
          </w:tcPr>
          <w:p>
            <w:pPr>
              <w:jc w:val="right"/>
              <w:ind w:right="1340"/>
              <w:spacing w:after="0"/>
              <w:rPr>
                <w:sz w:val="20"/>
                <w:szCs w:val="20"/>
                <w:color w:val="auto"/>
              </w:rPr>
            </w:pPr>
            <w:r>
              <w:rPr>
                <w:rFonts w:ascii="Arial" w:cs="Arial" w:eastAsia="Arial" w:hAnsi="Arial"/>
                <w:sz w:val="18"/>
                <w:szCs w:val="18"/>
                <w:color w:val="auto"/>
              </w:rPr>
              <w:t>S-55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three months ended December 31, 2010 and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investments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615,236,138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45,137,828</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660,373,966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2,293,343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13,507,841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1,860,352</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15,368,193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100,385,797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3,737,573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104,123,370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(85,535,410)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(85,535,410)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(39,546,063)</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(39,546,063)</w:t>
            </w: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606,341,646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50,735,753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657,077,399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Net change in unrealized appreciation for the year reported within the net change in unrealized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appreciation on investments in our Statement of Operations attributable to our Level 3 assets still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13,028,376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1,860,352</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14,888,728</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Period Ended December 31, 2009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Equity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investments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442,128,049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27,632,024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(13,598,702)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(3,005,163)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21,998,720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1,882,418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23,881,138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52,229,864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683,058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52,912,922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(16,808,942)</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(1,306,167)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1,306,167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in 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484,642,822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28,498,504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513,141,326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Net change in unrealized appreciation (depreciation) for the year reported within the net change in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unrealized depreciation on investments in our Statement of Operations attributable to our Level 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5,856,098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(1,122,745)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S-56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three months ended December 31, 2010 and 2009, respectively. There were no temporary draws outstanding at December 31, 2010 and 2009,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1"/>
        </w:trPr>
        <w:tc>
          <w:tcPr>
            <w:tcW w:w="8900" w:type="dxa"/>
            <w:vAlign w:val="bottom"/>
            <w:gridSpan w:val="2"/>
          </w:tcPr>
          <w:p>
            <w:pPr>
              <w:ind w:left="1380"/>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2010 (Cost—$227,900,000)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$ 213,941,125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6,604,625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(67,500,000)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in/out of Level 3</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900" w:type="dxa"/>
            <w:vAlign w:val="bottom"/>
            <w:gridSpan w:val="2"/>
          </w:tcPr>
          <w:p>
            <w:pPr>
              <w:ind w:left="1380"/>
              <w:spacing w:after="0"/>
              <w:rPr>
                <w:sz w:val="20"/>
                <w:szCs w:val="20"/>
                <w:color w:val="auto"/>
              </w:rPr>
            </w:pPr>
            <w:r>
              <w:rPr>
                <w:rFonts w:ascii="Arial" w:cs="Arial" w:eastAsia="Arial" w:hAnsi="Arial"/>
                <w:sz w:val="18"/>
                <w:szCs w:val="18"/>
                <w:color w:val="auto"/>
              </w:rPr>
              <w:t>Ending Balance, December 31, 2010 (Cost—$255,800,000)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248,445,750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 Ended December 31,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9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1"/>
        </w:trPr>
        <w:tc>
          <w:tcPr>
            <w:tcW w:w="8900" w:type="dxa"/>
            <w:vAlign w:val="bottom"/>
            <w:gridSpan w:val="2"/>
          </w:tcPr>
          <w:p>
            <w:pPr>
              <w:ind w:left="1380"/>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(Cost—$218,100,000)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5,838,914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(19,700,000)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in/out of Level 3</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900" w:type="dxa"/>
            <w:vAlign w:val="bottom"/>
            <w:gridSpan w:val="2"/>
          </w:tcPr>
          <w:p>
            <w:pPr>
              <w:ind w:left="1380"/>
              <w:spacing w:after="0"/>
              <w:rPr>
                <w:sz w:val="20"/>
                <w:szCs w:val="20"/>
                <w:color w:val="auto"/>
              </w:rPr>
            </w:pPr>
            <w:r>
              <w:rPr>
                <w:rFonts w:ascii="Arial" w:cs="Arial" w:eastAsia="Arial" w:hAnsi="Arial"/>
                <w:sz w:val="18"/>
                <w:szCs w:val="18"/>
                <w:color w:val="auto"/>
              </w:rPr>
              <w:t>Ending Balance, December 31, 2009 (Cost—$245,700,000)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$ 201,914,294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PennantPark Investment’s financial liabilities approximates fair value. We adopted ASC 825-10, which provides companies with an option to report selected financial assets and liabilities at fair value, and made an irrevocable election to apply ASC 825-10 to its long-term credit facility. PennantPark Investment elected to use the fair value option for its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For the three months ended December 31, 2010 and 2009, our credit facility had a net change in unrealized appreciation of $6.6 million and $5.8 million, respectively. On December 31, 2010 and September 30, 2010, net unrealized depreciation on our long-term credit facility totaled $7.4 million and $14.0 million, respectively. PennantPark Investment uses a nationally recognized independent valuation services to measure the fair value of its credit facility in a manner consistent with the valuation process that the board of directors uses to value investments.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 affiliated company is a company in which the PennantPark Investment has ownership of 5% or more of the portfolio company’s voting securities. Advances to and distributions from affiliates are included in the consolidated statements of cash flow purchases and sales. Transactions with affiliates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at</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1"/>
              </w:rPr>
              <w:t>Advances to</w:t>
            </w:r>
          </w:p>
        </w:tc>
        <w:tc>
          <w:tcPr>
            <w:tcW w:w="6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Distributions</w:t>
            </w:r>
          </w:p>
        </w:tc>
        <w:tc>
          <w:tcPr>
            <w:tcW w:w="64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rPr>
              <w:t>Income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6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Name of Investment</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1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affiliates</w:t>
            </w:r>
          </w:p>
        </w:tc>
        <w:tc>
          <w:tcPr>
            <w:tcW w:w="6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from affiliates</w:t>
            </w:r>
          </w:p>
        </w:tc>
        <w:tc>
          <w:tcPr>
            <w:tcW w:w="64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4"/>
                <w:szCs w:val="14"/>
                <w:b w:val="1"/>
                <w:bCs w:val="1"/>
                <w:color w:val="auto"/>
                <w:w w:val="94"/>
              </w:rPr>
              <w:t>Received</w:t>
            </w:r>
          </w:p>
        </w:tc>
        <w:tc>
          <w:tcPr>
            <w:tcW w:w="6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8,000,100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8,000,100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15,433,680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394,306</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15,557,531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23,433,780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604,306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782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60" w:type="dxa"/>
            <w:vAlign w:val="bottom"/>
          </w:tcPr>
          <w:p>
            <w:pPr>
              <w:spacing w:after="0"/>
              <w:rPr>
                <w:sz w:val="14"/>
                <w:szCs w:val="14"/>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0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25,522,223</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6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color w:val="auto"/>
              </w:rPr>
              <w:t>36,218,991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25,751,381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0.71</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 funds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 As of December 31, 2010 and September 30, 2010, cash equivalents consisted of $3.0 million and $1.8 million in money market products,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December 31, 2010 and 2009 were $403.4 million and $306.1 million, respectively, and $11.14 and $11.86, respectively. Below are the financial highlights for the three months ended December 31, 2010 and 2009.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w w:val="98"/>
              </w:rPr>
              <w:t>Three Months Ended</w:t>
            </w: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160" w:type="dxa"/>
            <w:vAlign w:val="bottom"/>
            <w:gridSpan w:val="5"/>
          </w:tcPr>
          <w:p>
            <w:pPr>
              <w:jc w:val="right"/>
              <w:ind w:right="114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10.69</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11.85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change in realized and unrealized gain</w:t>
            </w:r>
            <w:r>
              <w:rPr>
                <w:rFonts w:ascii="Arial" w:cs="Arial" w:eastAsia="Arial" w:hAnsi="Arial"/>
                <w:sz w:val="11"/>
                <w:szCs w:val="11"/>
                <w:color w:val="auto"/>
              </w:rPr>
              <w:t>(1)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(0.26)</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(0.25)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12.95%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36,223,950</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25,808,772</w:t>
            </w:r>
          </w:p>
        </w:tc>
      </w:tr>
      <w:tr>
        <w:trPr>
          <w:trHeight w:val="338"/>
        </w:trPr>
        <w:tc>
          <w:tcPr>
            <w:tcW w:w="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7.67%</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7.17%</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rPr>
              <w:t>8.81%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8.23%</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11.17%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9.37%</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403,390,962</w:t>
            </w:r>
          </w:p>
        </w:tc>
        <w:tc>
          <w:tcPr>
            <w:tcW w:w="6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306,148,322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290,552,174</w:t>
            </w:r>
          </w:p>
        </w:tc>
        <w:tc>
          <w:tcPr>
            <w:tcW w:w="6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224,010,870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Average debt per share</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8.02</w:t>
            </w:r>
          </w:p>
        </w:tc>
        <w:tc>
          <w:tcPr>
            <w:tcW w:w="6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49.80%</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7760" w:firstLine="8"/>
        <w:spacing w:after="0" w:line="286" w:lineRule="auto"/>
        <w:tabs>
          <w:tab w:leader="none" w:pos="446"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6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7520" w:firstLine="8"/>
        <w:spacing w:after="0" w:line="347" w:lineRule="auto"/>
        <w:tabs>
          <w:tab w:leader="none" w:pos="2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FACILITY AND SBA DEBENTURES </w:t>
      </w:r>
      <w:r>
        <w:rPr>
          <w:rFonts w:ascii="Arial" w:cs="Arial" w:eastAsia="Arial" w:hAnsi="Arial"/>
          <w:sz w:val="18"/>
          <w:szCs w:val="18"/>
          <w:b w:val="1"/>
          <w:bCs w:val="1"/>
          <w:i w:val="1"/>
          <w:iCs w:val="1"/>
          <w:color w:val="auto"/>
        </w:rPr>
        <w:t>Credit Facility</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2010 and September 30, 2010, there was $255.8 million and $233.1 million (including a $5.2 million temporary draw) in outstanding borrowings under the credit facility, with a weighted average interest rate at the time of 1.28% and 1.34% exclusive of the fee on undrawn commitment of 0.20%, respectively.</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2010 and September 30, 2010, we had $44.2 million and $66.9 million, respectively, of unused borrowing capacity under our credit facility subject to maintenance of the applicable total assets to debt ratio of 200%, maintenance of a blended percentage of the values of our portfolio companies and restrictions on certain payments and issuance of debt.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million at any one time outstanding. The credit facility is a five-year revolving facility (with a stated maturity date of June 25, 2012) and pricing is set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basis points over LIBOR. The credit facility contains customary affirmative and negative covenants, including the maintenance of a minimum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equity, the maintenance of a ratio not less than 200% of total assets (less total liabilities other than indebtedness) to total indebtedness, and restrictions on certain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payments and issuance of debt. For a complete list of such covenants, see our report on Form 8-K, filed June 28, 2007 and on Form 10-Q, filed May 5, 2010.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2010, we were in compliance with our covenants relating to our credit facility.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but not limited to, an examination by the SBA. As of December 31, 2010, we had committed to SBIC LP $50.0 million, funded it with equity capital of $50.0 million, had SBA debentures outstanding of $30.0 million and a weighted average interest rate at the time of 0.96%. As of September 30, 2010, we had committed to SBIC LP $50.0 million, funded it with equity capital of $14.5 million, had SBA debentures outstanding of $14.5 million and a weighted average interest rate at the time of 0.84%.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December 31, 2010, SBIC LP had a debenture commitment from the SBA in the amount of $100.0 million with $30.0 million outstanding. Of the $30.0 million of SBA debentures outstanding, $0.5 million is fixed for 10-years with a rate of 3.50% (inclusive of the SBA annual fee) and $29.5 million is temporary financing currently bearing a weighted average rate of 0.92% that will reset to a market-driven rate in March 2011 and remains fixed thereafter for 10 years. As of December 31, 2010, we had $70.0 million of unused borrowing capacity under the SBA debenture commitment.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our SBIC subsidiary is wholly owned by us. As of December 31, 2010, SBIC LP was in compliance with all terms relating to our SBA debentures.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we will be able to capitalize SBIC LP with sufficient regulatory capital to access the maximum borrowing amount available or that we will receive an exemptive relief from the SEC with respect to the SBA-guaranteed debentures.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of the covenants we made when we entered into, including the ratio of total assets to total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 and subordinated debt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February 1, 2011, we utilized the accordion feature of our credit facility and expanded the credit facility by $15.0 million, bringing our total credit facility availability to $315.0 million. On February 2, 2011, we announced that we increased our quarterly dividend to $0.27 per share, with a record date of March 15, 2011 and a payable date of April 1,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February 2, 2011 related to our review of interim financial information.</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23315"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23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consent to the use of our reports dated November 17, 2010 for the PennantPark Investment Corporation and its subsidiaries included herein and to the references to our firm under the headings “Selected Financial Data” and “Independent Registered Public Accounting Firm” in the Prospectus Supplement on Form 497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123315" cy="231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233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8, 2011</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260"/>
          </w:cols>
          <w:pgMar w:left="240" w:top="459" w:right="3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DATED JANUARY 28, 2011</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127000</wp:posOffset>
            </wp:positionV>
            <wp:extent cx="1414780" cy="3346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1478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(the “1940 Act”).</w:t>
      </w:r>
    </w:p>
    <w:p>
      <w:pPr>
        <w:spacing w:after="0" w:line="132"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senior secured loans, mezzanine debt, and equity investments. We fund a portion of our investments with borrowed money, a practice commonly known as leverage. We can offer no assurances that we will achieve our investment objectives.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 (3) under such circumstances as the Securities and Exchange Commission, or the SEC, may permit. On February 2, 2010, our common stockholders voted to allow us to issue common stock at a price below net asset value per share for a period of one year ending February 2, 2011. See “Risk Factors” on page 8 and “Sales of Common Stock Below Net Asset Value” on page 39 of this prospectus for more information.</w:t>
      </w:r>
    </w:p>
    <w:p>
      <w:pPr>
        <w:spacing w:after="0" w:line="12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approved for quotation on NASDAQ Global Select Market under the symbol “PNNT”. The last reported closing price for our common stock on January 21, 2011 was $12.20 per share and our net asset value on September 30, 2010 was $10.69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in writing at 590 Madison Avenue, New York, NY 10022 or by telephone at (212) 905-1000 or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6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78">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dated January 28, 2011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4"/>
            <w:vMerge w:val="restart"/>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00" w:type="dxa"/>
            <w:vAlign w:val="bottom"/>
            <w:gridSpan w:val="34"/>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7"/>
                <w:szCs w:val="17"/>
                <w:color w:val="auto"/>
              </w:rPr>
            </w:pPr>
          </w:p>
        </w:tc>
        <w:tc>
          <w:tcPr>
            <w:tcW w:w="896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SELECTED FINANCIAL DATA</w:t>
              </w:r>
            </w:hyperlink>
          </w:p>
        </w:tc>
        <w:tc>
          <w:tcPr>
            <w:tcW w:w="86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19">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120">
              <w:r>
                <w:rPr>
                  <w:rFonts w:ascii="Arial" w:cs="Arial" w:eastAsia="Arial" w:hAnsi="Arial"/>
                  <w:sz w:val="18"/>
                  <w:szCs w:val="18"/>
                  <w:color w:val="0000EE"/>
                  <w:w w:val="93"/>
                </w:rPr>
                <w:t>SALES OF COMMON STOCK BELOW NET ASSET VALUE</w:t>
              </w:r>
            </w:hyperlink>
          </w:p>
        </w:tc>
        <w:tc>
          <w:tcPr>
            <w:tcW w:w="64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26">
              <w:r>
                <w:rPr>
                  <w:rFonts w:ascii="Arial" w:cs="Arial" w:eastAsia="Arial" w:hAnsi="Arial"/>
                  <w:sz w:val="18"/>
                  <w:szCs w:val="18"/>
                  <w:color w:val="0000EE"/>
                  <w:w w:val="94"/>
                </w:rPr>
                <w:t>DISTRIBUTIONS</w:t>
              </w:r>
            </w:hyperlink>
          </w:p>
        </w:tc>
        <w:tc>
          <w:tcPr>
            <w:tcW w:w="966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8">
              <w:r>
                <w:rPr>
                  <w:rFonts w:ascii="Arial" w:cs="Arial" w:eastAsia="Arial" w:hAnsi="Arial"/>
                  <w:sz w:val="18"/>
                  <w:szCs w:val="18"/>
                  <w:color w:val="0000EE"/>
                  <w:w w:val="90"/>
                </w:rPr>
                <w:t>BUSINESS</w:t>
              </w:r>
            </w:hyperlink>
          </w:p>
        </w:tc>
        <w:tc>
          <w:tcPr>
            <w:tcW w:w="10160" w:type="dxa"/>
            <w:vAlign w:val="bottom"/>
            <w:gridSpan w:val="3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PORTFOLIO COMPANIES</w:t>
              </w:r>
            </w:hyperlink>
          </w:p>
        </w:tc>
        <w:tc>
          <w:tcPr>
            <w:tcW w:w="7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44">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150">
              <w:r>
                <w:rPr>
                  <w:rFonts w:ascii="Arial" w:cs="Arial" w:eastAsia="Arial" w:hAnsi="Arial"/>
                  <w:sz w:val="18"/>
                  <w:szCs w:val="18"/>
                  <w:color w:val="0000EE"/>
                  <w:w w:val="92"/>
                </w:rPr>
                <w:t>CONTROL PERSONS AND PRINCIPAL STOCKHOLDERS</w:t>
              </w:r>
            </w:hyperlink>
          </w:p>
        </w:tc>
        <w:tc>
          <w:tcPr>
            <w:tcW w:w="65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w:anchor="page158">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0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61">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62">
              <w:r>
                <w:rPr>
                  <w:rFonts w:ascii="Arial" w:cs="Arial" w:eastAsia="Arial" w:hAnsi="Arial"/>
                  <w:sz w:val="18"/>
                  <w:szCs w:val="18"/>
                  <w:color w:val="0000EE"/>
                  <w:w w:val="92"/>
                </w:rPr>
                <w:t>DESCRIPTION OF OUR CAPITAL STOCK</w:t>
              </w:r>
            </w:hyperlink>
          </w:p>
        </w:tc>
        <w:tc>
          <w:tcPr>
            <w:tcW w:w="77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DESCRIPTION OF OUR WARRANTS</w:t>
              </w:r>
            </w:hyperlink>
          </w:p>
        </w:tc>
        <w:tc>
          <w:tcPr>
            <w:tcW w:w="75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w:anchor="page172">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85">
              <w:r>
                <w:rPr>
                  <w:rFonts w:ascii="Arial" w:cs="Arial" w:eastAsia="Arial" w:hAnsi="Arial"/>
                  <w:sz w:val="18"/>
                  <w:szCs w:val="18"/>
                  <w:color w:val="0000EE"/>
                  <w:w w:val="93"/>
                </w:rPr>
                <w:t>REGULATION</w:t>
              </w:r>
            </w:hyperlink>
          </w:p>
        </w:tc>
        <w:tc>
          <w:tcPr>
            <w:tcW w:w="988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191">
              <w:r>
                <w:rPr>
                  <w:rFonts w:ascii="Arial" w:cs="Arial" w:eastAsia="Arial" w:hAnsi="Arial"/>
                  <w:sz w:val="18"/>
                  <w:szCs w:val="18"/>
                  <w:color w:val="0000EE"/>
                  <w:w w:val="93"/>
                </w:rPr>
                <w:t>BROKERAGE ALLOCATIONS AND OTHER PRACTICES</w:t>
              </w:r>
            </w:hyperlink>
          </w:p>
        </w:tc>
        <w:tc>
          <w:tcPr>
            <w:tcW w:w="66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192">
              <w:r>
                <w:rPr>
                  <w:rFonts w:ascii="Arial" w:cs="Arial" w:eastAsia="Arial" w:hAnsi="Arial"/>
                  <w:sz w:val="18"/>
                  <w:szCs w:val="18"/>
                  <w:color w:val="0000EE"/>
                  <w:w w:val="94"/>
                </w:rPr>
                <w:t>MATERIAL U.S. FEDERAL INCOME TAX CONSIDERATIONS</w:t>
              </w:r>
            </w:hyperlink>
          </w:p>
        </w:tc>
        <w:tc>
          <w:tcPr>
            <w:tcW w:w="62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LEGAL MATTERS</w:t>
              </w:r>
            </w:hyperlink>
          </w:p>
        </w:tc>
        <w:tc>
          <w:tcPr>
            <w:tcW w:w="712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4"/>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5"/>
              </w:rPr>
            </w:pPr>
            <w:hyperlink w:anchor="page201">
              <w:r>
                <w:rPr>
                  <w:rFonts w:ascii="Arial" w:cs="Arial" w:eastAsia="Arial" w:hAnsi="Arial"/>
                  <w:sz w:val="18"/>
                  <w:szCs w:val="18"/>
                  <w:color w:val="0000EE"/>
                  <w:w w:val="95"/>
                </w:rPr>
                <w:t>INDEX TO FINANCIAL STATEMENTS</w:t>
              </w:r>
            </w:hyperlink>
          </w:p>
        </w:tc>
        <w:tc>
          <w:tcPr>
            <w:tcW w:w="1700" w:type="dxa"/>
            <w:vAlign w:val="bottom"/>
            <w:tcBorders>
              <w:top w:val="single" w:sz="8" w:color="0000EE"/>
            </w:tcBorders>
            <w:gridSpan w:val="12"/>
          </w:tcPr>
          <w:p>
            <w:pPr>
              <w:spacing w:after="0"/>
              <w:rPr>
                <w:sz w:val="17"/>
                <w:szCs w:val="17"/>
                <w:color w:val="auto"/>
              </w:rPr>
            </w:pPr>
          </w:p>
        </w:tc>
        <w:tc>
          <w:tcPr>
            <w:tcW w:w="63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PART C OTHER INFORMATION</w:t>
            </w:r>
          </w:p>
        </w:tc>
        <w:tc>
          <w:tcPr>
            <w:tcW w:w="85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00" w:type="dxa"/>
            <w:vAlign w:val="bottom"/>
            <w:gridSpan w:val="34"/>
          </w:tcPr>
          <w:p>
            <w:pPr>
              <w:spacing w:after="0" w:line="196" w:lineRule="exact"/>
              <w:rPr>
                <w:sz w:val="20"/>
                <w:szCs w:val="20"/>
                <w:color w:val="auto"/>
              </w:rPr>
            </w:pPr>
            <w:r>
              <w:rPr>
                <w:rFonts w:ascii="Arial" w:cs="Arial" w:eastAsia="Arial" w:hAnsi="Arial"/>
                <w:sz w:val="18"/>
                <w:szCs w:val="18"/>
                <w:color w:val="0000EE"/>
              </w:rPr>
              <w:t>SIGNATURES</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SBIC subsidiary and relate to future events, future performance or financial condition. The forward-looking statements involve risks and uncertainties for both us and our consolidated SBIC subsidiary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accompanying prospectus supplement, if any, except where the context suggests otherwise, the terms “we,” “us,” “our” , “Company” and “PennantPark Investment” refer to PennantPark Investment Corporation; “SBIC LP” and “our SBIC” refer to our wholly owned, consolidated Small Business Investment Company “SBIC” subsidiary, PennantPark SBIC LP; “PennantPark Investment Advisers” or the “Investment Adviser” refers to PennantPark Investment Advisers, LLC; “PennantPark Investment Administration” or the “Administrator” refers to PennantPark Investment Administration,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Small Business Administration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PennantPark Investment Corporation, a Maryland corporation organized on January 11, 2007, is a closed-end, externally managed, non-diversified investment company that has elected to be treated as a business development company under the Investment Company Act of 1940 (the “1940 Act”). In addition, for tax purposes we have elected to be treated as a regulated investment company (“RIC”), under the Internal Revenue Code of 1986, as amended (the “Code”).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Small Business Investment Act of 1958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inception in 2007, we have raised nearly $800 million in debt and equity capital, and have invested over $1 billion in 96 companies and 48 different financial sponsors.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Related to our Business and Structure.”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80" w:hanging="446"/>
        <w:spacing w:after="0" w:line="26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We believe middle-market companies have faced difficulty raising debt in private markets</w:t>
      </w:r>
      <w:r>
        <w:rPr>
          <w:rFonts w:ascii="Arial" w:cs="Arial" w:eastAsia="Arial" w:hAnsi="Arial"/>
          <w:sz w:val="18"/>
          <w:szCs w:val="18"/>
          <w:color w:val="auto"/>
        </w:rPr>
        <w:t>. 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900" w:hanging="446"/>
        <w:spacing w:after="0" w:line="310"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6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equity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59" w:lineRule="auto"/>
        <w:rPr>
          <w:sz w:val="20"/>
          <w:szCs w:val="20"/>
          <w:color w:val="auto"/>
        </w:rPr>
      </w:pPr>
      <w:r>
        <w:rPr>
          <w:rFonts w:ascii="Arial" w:cs="Arial" w:eastAsia="Arial" w:hAnsi="Arial"/>
          <w:sz w:val="18"/>
          <w:szCs w:val="18"/>
          <w:color w:val="auto"/>
        </w:rPr>
        <w:t>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3" w:lineRule="exact"/>
        <w:rPr>
          <w:sz w:val="20"/>
          <w:szCs w:val="20"/>
          <w:color w:val="auto"/>
        </w:rPr>
      </w:pPr>
    </w:p>
    <w:p>
      <w:pPr>
        <w:ind w:left="900" w:right="180" w:hanging="446"/>
        <w:spacing w:after="0" w:line="262"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 Investment Selection Criteria.”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60" w:hanging="224"/>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believe enable us to evaluate investment opportunities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financial needs of a company while also generating attractive risk-adjusted returns. We can invest in any part of a capital structure and our Investment Adviser has extensive experience in making investments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operate in a highly competitive market for investment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five-year, multi-currency $300.0 million senior secured credit facility (the “credit facility”), which matures on June 25, 2012, and is secured by substantially all of our investment portfolio assets (excluding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assets of SBIC LP) with a group of lenders, under which we had $233.1 million (including a $5.2 million temporary draw) and $225.1 million (including a $7.0 million temporary draw) of indebtedness outstanding at September 30, 2010 and 2009, respectively. Pricing of borrowings under our credit facility is set at 100 basis points over the London Interbank Offering Rate (“LIBOR”). We believe that our capital resources will provide us with the flexibility to take advantage of market opportunities when they arise. In addition, any future additional debt capital we incur, to the extent it is available under current credit market conditions, may be issued at a higher cost and on less favorable terms and conditions than our current credit facility.</w:t>
      </w:r>
    </w:p>
    <w:p>
      <w:pPr>
        <w:spacing w:after="0" w:line="116"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On August 5, 2010 and November 4, 2010, SBIC LP received a debenture commitment from the SBA in the amount of $33.5 million and $66.5 million, respectively, bringing our total commitment from the SBA to $100 million. SBA debentures offer competitive terms such as being non-recourse to us, having a</w:t>
      </w:r>
    </w:p>
    <w:p>
      <w:pPr>
        <w:spacing w:after="0" w:line="253" w:lineRule="auto"/>
        <w:rPr>
          <w:sz w:val="20"/>
          <w:szCs w:val="20"/>
          <w:color w:val="auto"/>
        </w:rPr>
      </w:pPr>
      <w:r>
        <w:rPr>
          <w:rFonts w:ascii="Arial" w:cs="Arial" w:eastAsia="Arial" w:hAnsi="Arial"/>
          <w:sz w:val="18"/>
          <w:szCs w:val="18"/>
          <w:color w:val="auto"/>
        </w:rPr>
        <w:t>10-year maturity, requiring semi-annual interest payments, not requiring principal payments prior to maturity and may be prepaid at any time without penalty. The SBA debentures are secured by all the investment portfolio assets of SBIC LP and have a superior claim over such assets. As of September 30, 2010, SBIC LP had $14.5 million (including $14.0 million of temporary financing resetting in March 2011) of outstanding SBA debentures. Subsequent to September 30, 2010, SBIC completed its SBA examination in order to gain access to the full SBA commitment subject to customary regulatory requirements.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PennantPark Investment. Under our investment management agreement (the “Investment Management Agreement”), we have agreed to pay our Investment Adviser an annual base management fee based on our average adjusted gross assets as well as an incentive fee based on our investment performance. See “Business—Investment Management Agreement” for more information.</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“Business—Administration Agreement” for more information.</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a business development company, we are required to comply with certain regulatory requirements. Also, while we are permitted to finance investments using debt, our ability to use debt is limited in certain significant respects. See “Regulation” for more information. We have elected to be treated for federal income tax purposes under the Code as a RIC. See “Material U.S. Federal Income Tax Considerations” for more information.</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wholly owned subsidiary, SBIC LP, received a license from the SBA to operate as an SBIC under Section 301(c) of the 1958 Act and is regulated by the SBA. We serve as the investment adviser and administrator to SBIC LP. As an SBIC, the SBA regulates, among other matters, SBIC LP’s investing activities.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to capitalize our SBIC subsidiary or for other general corporate purposes. Any supplements to this prospectus relating to an offering will more fully identify the use of the proceeds from such offering. See “Use of Proceeds” for information regarding our outstanding borrowings as of September 30, 2010, the corresponding interest rate charged on such borrowings as of that date and the length of time that it may take us to invest any proceeds in new or existing portfolio companies.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(“ARPS”), will be weekly and subject to extension. With respect to ARPS, we expect the dividend rate to be variable and determined for each dividend period. See “Risk Factors—Risks Related to Issuance of our Preferred Stock”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Sales load (as a percentage of offering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common stockholder expenses (as a percentage of offering price)</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net assets attributable to common shares)</w:t>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payments on borrowed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2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3.68%</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2.07%</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0.95%</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1.20%</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1803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7.90%</w:t>
      </w:r>
      <w:r>
        <w:rPr>
          <w:rFonts w:ascii="Arial" w:cs="Arial" w:eastAsia="Arial" w:hAnsi="Arial"/>
          <w:sz w:val="17"/>
          <w:szCs w:val="17"/>
          <w:color w:val="auto"/>
          <w:vertAlign w:val="superscript"/>
        </w:rPr>
        <w:t>(8)</w:t>
      </w:r>
    </w:p>
    <w:p>
      <w:pPr>
        <w:spacing w:after="0" w:line="194" w:lineRule="exact"/>
        <w:rPr>
          <w:sz w:val="20"/>
          <w:szCs w:val="20"/>
          <w:color w:val="auto"/>
        </w:rPr>
      </w:pPr>
    </w:p>
    <w:p>
      <w:pPr>
        <w:sectPr>
          <w:pgSz w:w="11900" w:h="16838" w:orient="portrait"/>
          <w:cols w:equalWidth="0" w:num="2">
            <w:col w:w="10180" w:space="720"/>
            <w:col w:w="500"/>
          </w:cols>
          <w:pgMar w:left="240" w:top="459" w:right="259" w:bottom="1440" w:gutter="0" w:footer="0" w:header="0"/>
          <w:type w:val="continuous"/>
        </w:sectPr>
      </w:pPr>
    </w:p>
    <w:p>
      <w:pPr>
        <w:ind w:left="460" w:right="6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ind w:left="460" w:right="24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September 30, 2010.</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adjusted gross assets on September 30, 2010. See “Certain Relationships and Transactions—Investment Management Agreement” for more information.</w:t>
      </w:r>
    </w:p>
    <w:p>
      <w:pPr>
        <w:ind w:left="460" w:right="2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year ended September 30, 2010.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year ended September 30, 2010. See “Certain Relationships and Transactions—Investment Management Agreement” for more information and Note 3 to our consolidated financial statements included in this prospectus.</w:t>
      </w:r>
    </w:p>
    <w:p>
      <w:pPr>
        <w:spacing w:after="0" w:line="6"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September 30, 2010, we had $66.9 million unused borrowing capacity, subject to maintenance of the applicable total assets to debt ratio of 200%, and $233.1 million (including a $5.2 million temporary draw) in borrowings outstanding under our $300.0 million credit facility. As of September 30, 2010, SBIC LP had $19.0 million unused borrowing capacity, subject to customary regulatory requirements, and $14.5 million (including $14.0 million of temporary financing resetting in March 2011) of outstanding SBA debentures under our $33.5 million commitment from the SBA. We may use proceeds of an offering of securities under this registration statement to repay outstanding obligations under our credit facility. After completing any such offering, we may continue to borrow under our credit facility or SBIC LP’s SBA commitment to finance our investment objectives under the terms of our credit facility and SBA debenture program,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2" w:lineRule="auto"/>
        <w:rPr>
          <w:sz w:val="20"/>
          <w:szCs w:val="20"/>
          <w:color w:val="auto"/>
        </w:rPr>
      </w:pPr>
      <w:r>
        <w:rPr>
          <w:rFonts w:ascii="Arial" w:cs="Arial" w:eastAsia="Arial" w:hAnsi="Arial"/>
          <w:sz w:val="18"/>
          <w:szCs w:val="18"/>
          <w:color w:val="auto"/>
        </w:rPr>
        <w:t>respectively. We have estimated the interest expense on borrowed funds to take this into account, however, we caution you that our actual interest expense will depend on prevailing interest rates and our rate of borrowing and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right="44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year ended September 30, 2010. See the Statement of Operations in our consolidated financial statements.</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monies. If the “total annual expenses” percentage were calculated instead as a percentage of total assets, our “total annual expenses” would be 4.30% of total assets. For a presentation and calculation of total annual expenses based on total assets, see page 29 of this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0.60%, (2) total net annual expenses of 5.84%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5"/>
              </w:rPr>
              <w:t>1 Year</w:t>
            </w:r>
          </w:p>
        </w:tc>
        <w:tc>
          <w:tcPr>
            <w:tcW w:w="5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0"/>
        </w:trPr>
        <w:tc>
          <w:tcPr>
            <w:tcW w:w="48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$ 111</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$ 219</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$ 326</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  585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materially and adversely affected debt and equity capital markets in the United States, which could have a negative impact on our business and operations.</w:t>
      </w:r>
    </w:p>
    <w:p>
      <w:pPr>
        <w:spacing w:after="0" w:line="5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past three years,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even materially worsen in the future. While current conditions have improved, we may have difficulty accessing debt and equity capital in order to grow. A return of severe disruption and instability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credit markets, a severe decline in the value of the U.S. dollar, a sharp economic downturn or an operational problem that affects third parties or us, and could materially damage our business.</w:t>
      </w:r>
    </w:p>
    <w:p>
      <w:pPr>
        <w:spacing w:after="0" w:line="20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Market developments may adversely affect our business and results of operations by reducing availability under our credit facility and SBIC LP’s debentures.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the credit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In addition to the credit facility, SBIC LP has issued SBA debentures that require our SBIC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 Our borrowings under our SBA debentures are collateralized by the assets of SBIC LP.</w:t>
      </w:r>
    </w:p>
    <w:p>
      <w:pPr>
        <w:spacing w:after="0" w:line="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300" w:firstLine="456"/>
        <w:spacing w:after="0" w:line="303" w:lineRule="auto"/>
        <w:rPr>
          <w:sz w:val="20"/>
          <w:szCs w:val="20"/>
          <w:color w:val="auto"/>
        </w:rPr>
      </w:pPr>
      <w:r>
        <w:rPr>
          <w:rFonts w:ascii="Arial" w:cs="Arial" w:eastAsia="Arial" w:hAnsi="Arial"/>
          <w:sz w:val="15"/>
          <w:szCs w:val="15"/>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 our board of directors. Decreases in the market values or fair values of our investments will be recorded as unrealized depreciation.</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Unrealized losses of any given portfolio company could be an indication of such company’s inability in the future to meet its repayment obligations to us. If the fair value of our portfolio</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 owned SBIC subsidiary may be unable to make distributions to us that will enable us to meet or maintain RIC status.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taxes, we will be required to distribute substantially all of our consolidated net ordinary income and net capital gain income, including income from our SBIC subsidiary. We will be partially dependent on our SBIC subsidiary for cash distributions to enable us to meet the RIC distribution requirements. Our SBIC subsidiary may be limited by the SBA regulations governing SBICs from making certain distributions to us that may be necessary to maintain our status as a RIC. We may have to request a waiver of the SBA’s restrictions for our SBIC subsidiary to make certain distributions to maintain our RIC status. We cannot assure you that the SBA will grant such waiver and if our SBIC subsidiary is unable to obtain a waiver, compliance with the SBA regulations may result in an entity-level tax on us.</w:t>
      </w:r>
    </w:p>
    <w:p>
      <w:pPr>
        <w:spacing w:after="0" w:line="19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our investment professionals have been affiliated.</w:t>
      </w:r>
    </w:p>
    <w:p>
      <w:pPr>
        <w:spacing w:after="0" w:line="4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 the depressed economic cycle present significant challenges to us that have not been present in recent years, if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 of income, quarterly asset diversification and distribution requirements, we generally will not be subject to corporate-level income tax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our SBIC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20" w:hanging="446"/>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have obtained such approval from our shareholders in February 2010, which will remain in effect for twelve months.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7" w:lineRule="exact"/>
        <w:rPr>
          <w:rFonts w:ascii="Arial" w:cs="Arial" w:eastAsia="Arial" w:hAnsi="Arial"/>
          <w:sz w:val="16"/>
          <w:szCs w:val="16"/>
          <w:color w:val="auto"/>
        </w:rPr>
      </w:pPr>
    </w:p>
    <w:p>
      <w:pPr>
        <w:ind w:left="900" w:right="100" w:hanging="446"/>
        <w:spacing w:after="0" w:line="290"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00"/>
        <w:spacing w:after="0" w:line="255" w:lineRule="auto"/>
        <w:rPr>
          <w:sz w:val="20"/>
          <w:szCs w:val="20"/>
          <w:color w:val="auto"/>
        </w:rPr>
      </w:pPr>
      <w:r>
        <w:rPr>
          <w:rFonts w:ascii="Arial" w:cs="Arial" w:eastAsia="Arial" w:hAnsi="Arial"/>
          <w:sz w:val="18"/>
          <w:szCs w:val="18"/>
          <w:color w:val="auto"/>
        </w:rPr>
        <w:t>the amount of 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62" w:lineRule="exact"/>
        <w:rPr>
          <w:sz w:val="20"/>
          <w:szCs w:val="20"/>
          <w:color w:val="auto"/>
        </w:rPr>
      </w:pPr>
    </w:p>
    <w:p>
      <w:pPr>
        <w:ind w:left="900" w:right="10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anticipate that in the future, as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under SBA regulations, we may, through our wholly owned subsidiary, SBIC LP, issue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Officers of our Investment Adviser and Administrator are currently providing managerial assistance to our controlled affiliate.</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 owned SBIC subsidiary is licensed by the SBA and is subject to SBA regulations.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July 30, 2010, our wholly owned subsidiary, SBIC LP, received a license from the SBA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our SBIC subsidiary to invest at less competitive rates according to applicable SBA regulations.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SBA regulations.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 owned subsidiary.</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However, we have capitalized SBIC LP with a lesser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Additionally, our subsidiary, SBIC LP, has received borrowed funds from the SBA through its debenture program and has received commitments for additional SBA debentures. In connection with the filing of its SBA license application, PennantPark Investment applied for exemptive relief from the SEC to permit us to exclude the debt of SBIC LP from our consolidated asset coverage ratio.</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can be no assurance that we will be able to capitalize SBIC LP with sufficient regulatory capital to access the maximum borrowing amount available or that we will receive an exemptive relief from the SEC with respect to the SBA debentures. If we are granted exemptive relief, our ratio of total assets on a consolidated basis to outstanding to indebtedness may be greater than 200%, which while providing increased investment flexibility, would also increase our exposure to risks associated with leverage.</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currently utilize a revolving five-year, $300.0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such as us since we entered into our credit facility in June 2007. If we fail to refinance the indebtedness outstanding under our credit facility at the time it becomes due and payable,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 lenders would receive proceeds before our stockholders. Additionally, the SBA as a lender and an administrative agent, has a superior claim over the assets of our SBIC in relation to our lender. In addition, borrowings or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of September 30, 2010, we had outstanding borrowings of $233.1 million under our credit facility (including a temporary draw of $5.2 million) and $14.5 million outstanding under the SBA debentures (including temporary financings of $14.0 million). Our consolidated debt outstanding was $ 247.6 million and had a weighted average annual interest rate at the time of 1.32% exclusive of the fee on undrawn commitment of 0.20% and 3.43% upfront fees on the SBA debentures. Accordingly, to cover the annual interest on our borrowings outstanding at September 30, 2010, at the then current rate, we would have to receive an annual yield of at least 0.46%.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of total indebtedness.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2010 of 33% of total assets (including such borrowed funds), at a weighted average rate at the time of 1.32%,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-19.2%</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8.4%</w:t>
            </w:r>
          </w:p>
        </w:tc>
        <w:tc>
          <w:tcPr>
            <w:tcW w:w="620" w:type="dxa"/>
            <w:vAlign w:val="bottom"/>
          </w:tcPr>
          <w:p>
            <w:pPr>
              <w:jc w:val="right"/>
              <w:spacing w:after="0"/>
              <w:rPr>
                <w:sz w:val="20"/>
                <w:szCs w:val="20"/>
                <w:color w:val="auto"/>
              </w:rPr>
            </w:pPr>
            <w:r>
              <w:rPr>
                <w:rFonts w:ascii="Arial" w:cs="Arial" w:eastAsia="Arial" w:hAnsi="Arial"/>
                <w:sz w:val="18"/>
                <w:szCs w:val="18"/>
                <w:color w:val="auto"/>
              </w:rPr>
              <w:t>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hanging="452"/>
        <w:spacing w:after="0" w:line="29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2010,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2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Furthermore, the initial rate on SBIC LP’s temporary SBA debentures will be reset in March 2011, the next pooling date, at a spread above the 10-year treasury and will remain fixed for 10 years from such date. Thus, while the rate is fixed from September 30, 2010 until March 2011, we are exposed to risks associated with changes in interest rates until March 2011 on any current and future temporary borrowings. In addition, SBA debentures incurred the future may bear significantly less attractive borrowing terms depending upon the then-applicable fixed rates.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21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dividends on such preferred stock are in arrears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if the subscription price or warrant price is less than our net asset value per share of common stock at the time of such offering, then our stockholders would experience an immediate dilution of the aggregate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of our investments are recorded using broker/dealers quotes, or at fair value as determined in good faith by our board of directors. We expect that primarily most, if not all, of our investments (other than cash and cash equivalents) and credit facility borrowings will be classified as Level 3 under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the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September 30, 2010, most of our portfolio assets were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13" w:lineRule="exact"/>
        <w:rPr>
          <w:sz w:val="20"/>
          <w:szCs w:val="20"/>
          <w:color w:val="auto"/>
        </w:rPr>
      </w:pPr>
    </w:p>
    <w:p>
      <w:pPr>
        <w:ind w:left="900" w:right="100" w:hanging="325"/>
        <w:spacing w:after="0" w:line="28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8" w:lineRule="exact"/>
        <w:rPr>
          <w:rFonts w:ascii="Arial" w:cs="Arial" w:eastAsia="Arial" w:hAnsi="Arial"/>
          <w:sz w:val="16"/>
          <w:szCs w:val="16"/>
          <w:color w:val="auto"/>
        </w:rPr>
      </w:pPr>
    </w:p>
    <w:p>
      <w:pPr>
        <w:ind w:left="900" w:right="40" w:hanging="325"/>
        <w:spacing w:after="0" w:line="294"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will generally be subordinated to senior secured loans and will generally be unsecured. This may</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4" w:lineRule="exact"/>
        <w:rPr>
          <w:rFonts w:ascii="Arial" w:cs="Arial" w:eastAsia="Arial" w:hAnsi="Arial"/>
          <w:sz w:val="16"/>
          <w:szCs w:val="16"/>
          <w:color w:val="auto"/>
        </w:rPr>
      </w:pPr>
    </w:p>
    <w:p>
      <w:pPr>
        <w:ind w:left="900" w:right="60" w:hanging="325"/>
        <w:spacing w:after="0" w:line="294"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 We have made and expect to continue to make selected equity investments. In addition, when we invest in senior secured loans</w:t>
      </w:r>
      <w:r>
        <w:rPr>
          <w:rFonts w:ascii="Arial" w:cs="Arial" w:eastAsia="Arial" w:hAnsi="Arial"/>
          <w:sz w:val="16"/>
          <w:szCs w:val="16"/>
          <w:i w:val="1"/>
          <w:iCs w:val="1"/>
          <w:color w:val="auto"/>
        </w:rPr>
        <w:t xml:space="preserve"> </w:t>
      </w:r>
      <w:r>
        <w:rPr>
          <w:rFonts w:ascii="Arial" w:cs="Arial" w:eastAsia="Arial" w:hAnsi="Arial"/>
          <w:sz w:val="16"/>
          <w:szCs w:val="16"/>
          <w:color w:val="auto"/>
        </w:rPr>
        <w:t>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 but not limited to:</w:t>
      </w:r>
    </w:p>
    <w:p>
      <w:pPr>
        <w:spacing w:after="0" w:line="90" w:lineRule="exact"/>
        <w:rPr>
          <w:sz w:val="20"/>
          <w:szCs w:val="20"/>
          <w:color w:val="auto"/>
        </w:rPr>
      </w:pP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40" w:hanging="325"/>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8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20" w:firstLine="456"/>
        <w:spacing w:after="0" w:line="255" w:lineRule="auto"/>
        <w:rPr>
          <w:sz w:val="20"/>
          <w:szCs w:val="20"/>
          <w:color w:val="auto"/>
        </w:rPr>
      </w:pPr>
      <w:r>
        <w:rPr>
          <w:rFonts w:ascii="Arial" w:cs="Arial" w:eastAsia="Arial" w:hAnsi="Arial"/>
          <w:sz w:val="18"/>
          <w:szCs w:val="18"/>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w:t>
      </w:r>
    </w:p>
    <w:p>
      <w:pPr>
        <w:spacing w:after="0" w:line="14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 holdings in investment companies. To the extent that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a senior secured loan.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senior secured loans, mezzanine debt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we may not have yet received in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9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2, 2010, our stockholders approved a proposal that authorizes us to sell shares of our common stock below the then current net asset value per share of our common stock in one or more offerings for a 12-month period. Our most recent offering was on August 23, 2010, where we sold shares of our common stock</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below the then current net asset value per share of common stock. Such approval has allowed and will continue to allow us to access the capital markets in a way that we were previously unable to as a result of restrictions that, absent stockholder approval, apply to business development companies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3"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80"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firstLine="456"/>
        <w:spacing w:after="0" w:line="312" w:lineRule="auto"/>
        <w:rPr>
          <w:sz w:val="20"/>
          <w:szCs w:val="20"/>
          <w:color w:val="auto"/>
        </w:rPr>
      </w:pPr>
      <w:r>
        <w:rPr>
          <w:rFonts w:ascii="Arial" w:cs="Arial" w:eastAsia="Arial" w:hAnsi="Arial"/>
          <w:sz w:val="15"/>
          <w:szCs w:val="15"/>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05"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We will be partially dependent on our SBIC subsidiary for cash distributions to enable us to meet the RIC distribution requirements. Our SBIC subsidiary may be limited by the SBA regulations governing SBICs, from making certain distributions to us that may be necessary to maintain our status as a RIC. We may have to request a waiver of the SBA’s restrictions for our SBIC subsidiary to make certain distributions to maintain our RIC status. We cannot assure you that the SBA will grant such waiver and if our SBIC subsidiary is unable to obtain a waiver, compliance with the SBA regulations may result in an entity-level tax on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 See “Market for Registrant’s Common Equity, Related Stockholder Matters and Issuer Purchases of Equity Securities” for more information.</w:t>
      </w:r>
    </w:p>
    <w:p>
      <w:pPr>
        <w:spacing w:after="0" w:line="21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in the United States, (2) the distribution is declared with respect to a taxable year ending on or before December 31, 2011 and (3) 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If we distribute our common stock as a dividend of our taxable income, a shareholder could receive up to 90% of the amount of the dividend declared in shares of our common stock with the remaining amount in cash. The total dividend declared would be taxable income to a shareholder although he or she may only receive 10% of the dividend in cash to pay any taxes due on the dividend.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$10.61 and $8.11 as of September 30, 2010 and 2009, respectively. Our NAV was $10.69 and $11.85, as of September 30, 2010 and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business development companies or SBICs;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loss of RIC or SBIC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SBA also limits an SBIC from investing idle funds to the following types of securities:</w:t>
      </w:r>
    </w:p>
    <w:p>
      <w:pPr>
        <w:spacing w:after="0" w:line="90" w:lineRule="exact"/>
        <w:rPr>
          <w:sz w:val="20"/>
          <w:szCs w:val="20"/>
          <w:color w:val="auto"/>
        </w:rPr>
      </w:pPr>
    </w:p>
    <w:p>
      <w:pPr>
        <w:ind w:left="900" w:right="1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15 months from the date of the investment;</w:t>
      </w:r>
    </w:p>
    <w:p>
      <w:pPr>
        <w:spacing w:after="0" w:line="5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This prospectus contains statements that constitute forward-looking statements, which relate to both us and our consolidated SBIC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for both us and our consolidated SBIC subsidiary, including statements as to:</w:t>
      </w:r>
    </w:p>
    <w:p>
      <w:pPr>
        <w:spacing w:after="0" w:line="3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and Section 21E(b)(2)(B) of the Exchange Act, the “safe harbor” provisions of the Private Securities Litigation Reform Act of 1995 do not apply to statements made in connection with any offering of securities pursuant to this prospectus or in the periodic reports we file under the Exchange Act.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our SBIC subsidiary or for other general corporate purposes. Any supplements to this prospectus relating to an offering may more fully indentify the use of the proceeds from such offering.</w:t>
      </w:r>
    </w:p>
    <w:p>
      <w:pPr>
        <w:spacing w:after="0" w:line="140"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As of September 30, 2010, we had $66.9 million unused borrowing capacity and $233.1 million (including a $5.2 million temporary draw) in borrowings outstanding under our $300.0 million credit facility. Borrowings under our credit facility bear interest at an annual rate equal to LIBOR + 100 basis points per annum. At September 30, 2010, this corresponded to a weighted average interest rate at that time of 1.34% exclusive of the fee on undrawn commitment of</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0.20%.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September 30, 2010, we have committed $50.0 million to SBIC LP, funded it with equity capital of $14.5 million and had SBA debentures outstanding of $14.5 million. SBA debentures are non-recourse to us, have a 10-year maturity, and may be prepaid at any time without penalty. The interest rate of SBA debentures is fixed at the time of issuance at a market-driven spread over 10-year U.S. Treasury Notes. Of the $14.5 million of SBA debentures outstanding, $0.5 million is fixed for 10-years with a rate of 3.50% (inclusive of the SBA annual fee and exclusive of 3.43% of upfront fees) and $14.0 million is temporary financing currently bearing a rate of 0.84% that will reset to a market-driven rate in March 2011. The remaining unused SBA debentures totaled $19.0 million as of September 30, 2010, subject to customary regulatory requirements. See recent developments for information pertaining to the increased commitment and availability under the SBA debenture program.</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derived the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2010, 2009 and 2008, and for the period from January 11, 2007 (inception) through September 30, 2007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 and “Regulation—Senior Securities” in this prospectus.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2"/>
                <w:szCs w:val="12"/>
                <w:color w:val="auto"/>
              </w:rPr>
            </w:pPr>
          </w:p>
        </w:tc>
        <w:tc>
          <w:tcPr>
            <w:tcW w:w="1780" w:type="dxa"/>
            <w:vAlign w:val="bottom"/>
            <w:gridSpan w:val="3"/>
          </w:tcPr>
          <w:p>
            <w:pPr>
              <w:jc w:val="center"/>
              <w:ind w:right="9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Audited</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   60,140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45,119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28,065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22,400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28,065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22,400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32,075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22,719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(15,539)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13,083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(59,259)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16,535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35,802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(40,703)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12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20"/>
                <w:szCs w:val="20"/>
                <w:color w:val="auto"/>
              </w:rPr>
            </w:pPr>
            <w:r>
              <w:rPr>
                <w:rFonts w:ascii="Arial" w:cs="Arial" w:eastAsia="Arial" w:hAnsi="Arial"/>
                <w:sz w:val="18"/>
                <w:szCs w:val="18"/>
                <w:color w:val="auto"/>
              </w:rPr>
              <w:t>Net increase (decrease) in net assets resulting from</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22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0.56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512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711,494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512,381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664,724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469,760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74,988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25,821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386,575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300,580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44.79%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(38.58)%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base management fee waiver was in effect from Inception through March 31, 2008. See “Certain Relationships and Transaction” for more information.</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taking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460" w:right="68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$ 16,681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$16,335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13,525</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$ 13,599</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8,957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8,821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7,059</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4"/>
              </w:rPr>
              <w:t>(2,326)</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(4,561)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(10,090)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6,630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4,260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10.94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$ 11,847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$10,770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10,425</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$ 12,077</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6,018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5,666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$ 20,162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5"/>
              </w:rPr>
              <w:t>$ (6,486)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36,932</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88"/>
              </w:rPr>
              <w:t>$ 26,180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(820)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42,199</w:t>
            </w:r>
          </w:p>
        </w:tc>
        <w:tc>
          <w:tcPr>
            <w:tcW w:w="12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11.85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11.72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Q4</w:t>
            </w:r>
          </w:p>
        </w:tc>
        <w:tc>
          <w:tcPr>
            <w:tcW w:w="2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$ 11,431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9,662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9,004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5,434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3,941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w w:val="82"/>
              </w:rPr>
              <w:t>$ (16,475)</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$11,263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(37,778)</w:t>
            </w:r>
          </w:p>
        </w:tc>
        <w:tc>
          <w:tcPr>
            <w:tcW w:w="1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960" w:type="dxa"/>
            <w:vAlign w:val="bottom"/>
            <w:gridSpan w:val="5"/>
          </w:tcPr>
          <w:p>
            <w:pPr>
              <w:jc w:val="right"/>
              <w:ind w:right="260"/>
              <w:spacing w:after="0"/>
              <w:rPr>
                <w:sz w:val="20"/>
                <w:szCs w:val="20"/>
                <w:color w:val="auto"/>
              </w:rPr>
            </w:pPr>
            <w:r>
              <w:rPr>
                <w:rFonts w:ascii="Arial" w:cs="Arial" w:eastAsia="Arial" w:hAnsi="Arial"/>
                <w:sz w:val="18"/>
                <w:szCs w:val="18"/>
                <w:color w:val="auto"/>
                <w:w w:val="82"/>
              </w:rPr>
              <w:t>$ (11,041)</w:t>
            </w:r>
          </w:p>
        </w:tc>
        <w:tc>
          <w:tcPr>
            <w:tcW w:w="8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w w:val="86"/>
              </w:rPr>
              <w:t>$15,204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(33,329)</w:t>
            </w:r>
          </w:p>
        </w:tc>
        <w:tc>
          <w:tcPr>
            <w:tcW w:w="120" w:type="dxa"/>
            <w:vAlign w:val="bottom"/>
          </w:tcPr>
          <w:p>
            <w:pPr>
              <w:spacing w:after="0"/>
              <w:rPr>
                <w:sz w:val="18"/>
                <w:szCs w:val="18"/>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10.77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51"/>
        </w:trPr>
        <w:tc>
          <w:tcPr>
            <w:tcW w:w="4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Q3</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Q2*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$ 5,425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$ 3,208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9"/>
              </w:rPr>
              <w:t>(251)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(18,870)</w:t>
            </w:r>
          </w:p>
        </w:tc>
        <w:tc>
          <w:tcPr>
            <w:tcW w:w="140" w:type="dxa"/>
            <w:vAlign w:val="bottom"/>
            <w:shd w:val="clear" w:color="auto" w:fill="CCEEFF"/>
          </w:tcPr>
          <w:p>
            <w:pPr>
              <w:spacing w:after="0"/>
              <w:rPr>
                <w:sz w:val="18"/>
                <w:szCs w:val="18"/>
                <w:color w:val="auto"/>
              </w:rPr>
            </w:pPr>
          </w:p>
        </w:tc>
        <w:tc>
          <w:tcPr>
            <w:tcW w:w="1500" w:type="dxa"/>
            <w:vAlign w:val="bottom"/>
            <w:gridSpan w:val="6"/>
            <w:shd w:val="clear" w:color="auto" w:fill="CCEEFF"/>
          </w:tcPr>
          <w:p>
            <w:pPr>
              <w:jc w:val="right"/>
              <w:ind w:right="415"/>
              <w:spacing w:after="0"/>
              <w:rPr>
                <w:sz w:val="20"/>
                <w:szCs w:val="20"/>
                <w:color w:val="auto"/>
              </w:rPr>
            </w:pPr>
            <w:r>
              <w:rPr>
                <w:rFonts w:ascii="Arial" w:cs="Arial" w:eastAsia="Arial" w:hAnsi="Arial"/>
                <w:sz w:val="18"/>
                <w:szCs w:val="18"/>
                <w:color w:val="auto"/>
              </w:rPr>
              <w:t>$(5,152)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(14,522)</w:t>
            </w:r>
          </w:p>
        </w:tc>
        <w:tc>
          <w:tcPr>
            <w:tcW w:w="140" w:type="dxa"/>
            <w:vAlign w:val="bottom"/>
          </w:tcPr>
          <w:p>
            <w:pPr>
              <w:spacing w:after="0"/>
              <w:rPr>
                <w:sz w:val="18"/>
                <w:szCs w:val="18"/>
                <w:color w:val="auto"/>
              </w:rPr>
            </w:pPr>
          </w:p>
        </w:tc>
        <w:tc>
          <w:tcPr>
            <w:tcW w:w="1500" w:type="dxa"/>
            <w:vAlign w:val="bottom"/>
            <w:gridSpan w:val="6"/>
          </w:tcPr>
          <w:p>
            <w:pPr>
              <w:jc w:val="right"/>
              <w:ind w:right="415"/>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9"/>
              </w:rPr>
              <w:t>(234)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415"/>
              <w:spacing w:after="0"/>
              <w:rPr>
                <w:sz w:val="20"/>
                <w:szCs w:val="20"/>
                <w:color w:val="auto"/>
              </w:rPr>
            </w:pPr>
            <w:r>
              <w:rPr>
                <w:rFonts w:ascii="Arial" w:cs="Arial" w:eastAsia="Arial" w:hAnsi="Arial"/>
                <w:sz w:val="18"/>
                <w:szCs w:val="18"/>
                <w:color w:val="auto"/>
                <w:w w:val="97"/>
              </w:rPr>
              <w:t>(0.09)</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 (0.01)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$ 13.74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$12.08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$ 14.04</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15"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14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investment activities are managed by PennantPark Investment Advisers. Under our Investment Management Agreement, we have agreed to pay our Investment Adviser an annual base management fee based on our average adjusted gross assets as well as an incentive fee based on our investment performance.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Advisor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PennantPark Investment Advisers supervise our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6 of this prospectus rather than as a percentage of total assets. Total assets include assets that have been funded with borrowed monies (leverage). For reference, the chart below illustrates our “Total Annual Expenses” as a percentage of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580"/>
              <w:spacing w:after="0"/>
              <w:rPr>
                <w:sz w:val="20"/>
                <w:szCs w:val="20"/>
                <w:color w:val="auto"/>
              </w:rPr>
            </w:pPr>
            <w:r>
              <w:rPr>
                <w:rFonts w:ascii="Arial" w:cs="Arial" w:eastAsia="Arial" w:hAnsi="Arial"/>
                <w:sz w:val="18"/>
                <w:szCs w:val="18"/>
                <w:b w:val="1"/>
                <w:bCs w:val="1"/>
                <w:color w:val="auto"/>
              </w:rPr>
              <w:t>Estimated Annual Expenses (as a Percentage of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6"/>
              </w:rPr>
              <w:t>1.13%</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0.52%</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6"/>
              </w:rPr>
              <w:t>0.65%</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 —Investment Management Agreement” for more information.</w:t>
      </w:r>
    </w:p>
    <w:p>
      <w:pPr>
        <w:ind w:left="460" w:right="40" w:hanging="452"/>
        <w:spacing w:after="0" w:line="28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year ended September 30, 2010.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year ended September 30, 2010. See “Certain Relationships and Transactions—Investment Management Agreement” for more information and Note 3 to our consolidated financial statements included in this prospectus.</w:t>
      </w:r>
    </w:p>
    <w:p>
      <w:pPr>
        <w:spacing w:after="0" w:line="6" w:lineRule="exact"/>
        <w:rPr>
          <w:rFonts w:ascii="Arial" w:cs="Arial" w:eastAsia="Arial" w:hAnsi="Arial"/>
          <w:sz w:val="16"/>
          <w:szCs w:val="16"/>
          <w:color w:val="auto"/>
        </w:rPr>
      </w:pPr>
    </w:p>
    <w:p>
      <w:pPr>
        <w:ind w:left="460" w:right="2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of September 30, 2010, we had $66.9 million unused borrowing capacity, subject to maintenance of the applicable total assets to debt ratio of 200%, and $233.1 million (including a $5.2 million temporary draw) in borrowings outstanding under our $300.0 million credit facility. As of September 30, 2010, SBIC LP had $19.0 million unused borrowing capacity, subject to customary regulatory requirements, and $14.5 million (including $14.0 million of temporary financing resetting in March 2011) of outstanding SBA debentures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51" w:lineRule="auto"/>
        <w:rPr>
          <w:sz w:val="20"/>
          <w:szCs w:val="20"/>
          <w:color w:val="auto"/>
        </w:rPr>
      </w:pPr>
      <w:r>
        <w:rPr>
          <w:rFonts w:ascii="Arial" w:cs="Arial" w:eastAsia="Arial" w:hAnsi="Arial"/>
          <w:sz w:val="18"/>
          <w:szCs w:val="18"/>
          <w:color w:val="auto"/>
        </w:rPr>
        <w:t>under our $33.5 million commitment from the SBA. We may use proceeds of an offering of securities under this registration statement to repay outstanding obligations under our credit facility. After completing any such offering, we may continue to borrow under our credit facility or SBIC LP’s SBA commitment to finance our investment objectives under the terms of our credit facility and SBA debenture program, respectively. We have estimated the interest expense on borrowed funds to take this into account, however, we caution you that our actual interest expense will depend on prevailing interest rates and our rate of borrowing and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 w:lineRule="exact"/>
        <w:rPr>
          <w:sz w:val="20"/>
          <w:szCs w:val="20"/>
          <w:color w:val="auto"/>
        </w:rPr>
      </w:pPr>
    </w:p>
    <w:p>
      <w:pPr>
        <w:ind w:left="460" w:right="420" w:hanging="452"/>
        <w:spacing w:after="0" w:line="25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year ended September 30, 2010. See the Statement of Operations in 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investments generally consist of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fair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Financial Accounting Standards Board, or FASB, issued guidance related to Fair Value Measurements,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Investment’s financial position or its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PennantPark Investment at the measurement date.</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PennantPark Investment’s own assumptions about how market participants would price the asset or liability.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w:t>
      </w:r>
    </w:p>
    <w:p>
      <w:pPr>
        <w:spacing w:after="0" w:line="143"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all of our investments (other than cash and cash equivalents) and long-term credit facility are classified as Level 3.</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FASB issued guidance on, The Fair Value Option for Financial Assets and Financial Liabilities—Including an Amendment of FASB 115, or ASC 825-</w:t>
      </w:r>
    </w:p>
    <w:p>
      <w:pPr>
        <w:spacing w:after="0" w:line="38" w:lineRule="exact"/>
        <w:rPr>
          <w:sz w:val="20"/>
          <w:szCs w:val="20"/>
          <w:color w:val="auto"/>
        </w:rPr>
      </w:pPr>
    </w:p>
    <w:p>
      <w:pPr>
        <w:ind w:right="20" w:firstLine="8"/>
        <w:spacing w:after="0" w:line="285" w:lineRule="auto"/>
        <w:tabs>
          <w:tab w:leader="none" w:pos="26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This statement permits an entity to choose to measure many financial instruments and certain other items at fair value. This statement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adopted ASC 825-10 on October 1, 2008 and have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adoption, our net asset value increased by $41.8 million, or $1.99 per share, due to the fair value adjustment related to our credit facility. For the fiscal years ended September 30, 2010 and 2009, our long-term credit facility had a net change in unrealized (appreciation) depreciation of $(35.7) million and $7.8 million, respectively. On September 30, 2010 and 2009, net unrealized appreciation on our long-term credit facility totaled $13.9 million and $49.6 million, respectively, which included the cumulative effect of adoption of ASC 825-10 on our credit facility of $41.8 million. We use a nationally recognized independent valuation services to measure the fair value of our credit facility in a manner consistent with the valuation process that our board of directors uses to value our investments. After adoption, subsequent changes in the fair value of our credit facility will be recorded in the consolidated statement of operations. We have not elected to apply ASC 825-10 to any other financial assets or liabilities.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FASB guidance on, Determining Fair Value When the Volume and Level of Activity for the Asset or Liability Have Significantly Decreased and Identifying Transactions That Are Not Orderly, or ASC 820-10-35-51A. ASC 820-10-35-51A amends 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Although not required for us to maintain our RIC tax status, we must also distribute an amount at least equal to the sum of 98% of our ordinary income (during each calendar year) plus 98.2% of our net capital gains (during each 12 month period ending on October 31) to avoid a 4% excise tax.</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75% fixed-rate (including 26% with a LIBOR or prime floor) and 25% variable-rate investments. Overall, the portfolio had an unrealized appreciation of $8.0 million.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2009, our portfolio totaled $469.8 million and consisted of $150.6 million of senior secured loans, $134.4 million of second lien secured debt, $157.1 million of subordinated debt and $27.7 million of preferred and common equity investments. Our debt portfolio consisted of 53% fixed-rate (including 13% with a LIBOR or prime floor) and 47% variable-rate investments. Overall, the portfolio had an unrealized depreciation of $27.5 million. Our overall portfolio consisted of 42 companies with an average investment size of $11.2 million and a weighted average yield on debt investments of 11.4%, and was invested 32% in senior secured loans, 29% in second lien secured debt, 33% in subordinated debt and 6% in preferred and common equity investments.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fiscal year ended September 30, 2010, we purchased $309.5 million of investments issued by 17 new and 12 existing portfolio companies with an overall weighted average yield of 14.9% on debt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This compares to purchasing $112.7 million in 11 new and 8 existing portfolio companies with an overall weighted average yield of 14.5% on debt investments, and compares to purchasing $206.8 million in 14 new and 2 existing portfolio companies with an overall weighted average yield of 13.8% on debt investments for the fiscal years ended September 30, 2009 and 2008,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our results of operations for the fiscal years ended September 30, 2010,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2010, was $60.1 million, and was primarily attributable to $16.9 million from senior secured loan investments, $13.2 million from second lien secured debt investments, and $24.7 million from subordinated debt investments for the same period. The remaining investment income was primarily attributed to interest income from net accretion of discount and amortization of premium. The increase in investment income over the prior year was due to growth of our portfolio which was also driven by investment of the proceeds from our equity offerings and rotation out of lower yielding assets.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$6.0 million from senior secured loan investments, $12.2 million from second lien secured debt investments, and $24.1 million from subordinated debt investments for the same period. The remaining investment income was primarily attributed to interest income from net accretion of discount and amortization of premium. The increase in investment income over the prior year was due to the growth in our overall portfolio.</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$16.2 from senior secured loan investments, $14.7 million from second lien secured debt investments, and $7.2 million from subordinated debt investments for the same period. The remaining investment income was primarily attributed to interest income from short-term investments and to net accretion of discount and amortization of premium. The increase in investment income over the prior year was due to the growth of our portfolio and the transition of the portfolio from temporary to long-term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Expenses for the fiscal year ended September 30, 2010, totaled $28.0 million. Base management fee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 and net investment income.</w:t>
      </w:r>
    </w:p>
    <w:p>
      <w:pPr>
        <w:spacing w:after="0" w:line="14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Expenses for the fiscal year ended September 30, 2009, totaled $22.4 million. Base management fee for the same period totaled $7.7 million, performance-based incentive fee totaled $5.7 million, credit facility related expenses totaled $4.6 million and general and administrative expenses totaled $4.4 million. The increase in expenses over the prior year was primarily due to the growth of our portfolio and offset by the reduced borrowing costs under our credit facility.</w:t>
      </w:r>
    </w:p>
    <w:p>
      <w:pPr>
        <w:spacing w:after="0" w:line="8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 in expenses other the prior year was due to the growth of our portfolio and the incurrence of additional borrowing costs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Net investment income totaled $32.1 million or $1.09 per share, $22.7 million or $1.08 per share and $18.6 million or $0.88 per share, respectively, for the fiscal years ended September 30, 2010, 2009 and 2008.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increase in per share net investment income from 2009 to 2010 was the result of the growth of our portfolio offset by the dilutive effect of issuing shares below our net asset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Losses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2010, 2009 and 2008, totaled $145.2 million, $28.0 million and $70.1 million, respectively, and net realized losses totaled $15.4 million, $39.2 million and $11.2 million, respectively. Net realized losses decreased over the prior year due to improvements in the overall leveraged finance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appreciation (depreciation) on investments totaled $35.5 million, $44.5 million and $(48.1) million for the fiscal years ended September 30, 2010, 2009 and 2008, respectively. Net change in unrealized (appreciation) depreciation on credit facility totaled $(35.7) million and $7.8 million for the fiscal years ended September 30, 2010 and 2009, respectively. Net change in unrealized appreciation on investments improved over the prior year due to the overall improvements in the leveraged finance markets. Net change in unrealized (appreciation) on our credit facility over the prior year is the result of it approaching maturity.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Net increase (decrease) in net assets resulting from operations totaled $16.5 million or $0.56 per share, $35.8 million or $1.70 per share, and $(40.7) million or $(1.93) per share for the fiscal years ended September 30, 2010, 2009 and 2008, respectively. The net increase in net assets from operations over the prior year was due to the continued growth in net investment income as a result of growing our portfolio, offset by realized losses and the appreciation in the value of our credit facility as it approaches maturity. The net increase in net assets resulting from operations decreased from 2008 to 2009, primarily due to a decline in the leveraged finance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June 25, 2007, PennantPark Investment entered into its credit facility, among us, various lenders and SunTrust Bank, as administrative agent for the lenders. SunTrust Robinson Humphrey Capital Markets acted as the joint lead arranger and JPMorgan Chase (Chase Lincoln First Commercial as successor in interest of Bear Stearns Corporate Lending Inc.) acted as joint lead arranger and syndication agent. As of September 30, 2010, we had outstanding borrowings of $233.1 million (including a $5.2 million temporary draw) with a fair value of $219.1 million and a weighted average interest rate at the time of 1.34% exclusive of the fee on undrawn commitment of 0.20%.</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the credit facility, the lenders agreed to extend us credit in an initial aggregate principal or face amount not exceeding $300.0 million at any one time outstanding.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80" w:firstLine="8"/>
        <w:spacing w:after="0" w:line="290" w:lineRule="auto"/>
        <w:tabs>
          <w:tab w:leader="none" w:pos="278" w:val="left"/>
        </w:tabs>
        <w:numPr>
          <w:ilvl w:val="0"/>
          <w:numId w:val="55"/>
        </w:numPr>
        <w:rPr>
          <w:rFonts w:ascii="Arial" w:cs="Arial" w:eastAsia="Arial" w:hAnsi="Arial"/>
          <w:sz w:val="16"/>
          <w:szCs w:val="16"/>
          <w:color w:val="auto"/>
        </w:rPr>
      </w:pPr>
      <w:r>
        <w:rPr>
          <w:rFonts w:ascii="Arial" w:cs="Arial" w:eastAsia="Arial" w:hAnsi="Arial"/>
          <w:sz w:val="16"/>
          <w:szCs w:val="16"/>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will be subject to compliance with a borrowing base that will apply different advance rates to different types of assets in PennantPark Investment’s portfolio. As of September 30, 2010, we are in compliance with the terms of our credit facility.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raise additional equity or debt capital through both registered offerings off a shelf registration and by private offerings of securities, by securitizing a portion of our investments or borrow from the SBA through our SBIC subsidiary, among other considerations.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considering our credit facility matures in June 2012. Furthermore, our credit facility availability depends on various covenants and restrictions as discussed in the preceding paragraph. The primary use of existing funds and any funds raised in the future is expected to be for repayment of indebtedness, investments in portfolio companies, cash distributions to our shareholders or for other general corporate purposes.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February 2, 2010, our stockholders approved a proposal that authorizes us to sell shares of our common stock below the then current net asset value per share of our common stock in one or more offerings for a period of 12 months. For the fiscal year ended September 30, 2010, we sold 10.8 million shares of our common stock below the then current net asset value per share, inclusive of the underwriters’ over-allotment options, resulting in net proceeds of $101.7 million. This compares to selling 4.3 million shares of common stock resulting in net proceeds of $ 32.5 million in the prior year, excluding the underwriters’ over-allotment option. Any decision to sell shares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SBIC LP is able to borrow funds from the SBA against regulatory capital that is paid-in, subject to customary regulatory requirements including but not limited to an examination by the SBA. As of September 30, 2010, we have committed $50.0 million to SBIC LP, funded it with equity capital of $14.5 million and had SBA debentures outstanding of $14.5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August 5, 2010, SBIC LP received a SBA debenture commitment of $33.5 million. As of September 30, 2010, $14.5 million of the $33.5 million debt commitment was drawn with a weighted average interest rate of 0.93% exclusive of the 3.43% in upfront fees. Of the $14.5 million of SBA debentures outstanding, $0.5 million is fixed for 10-years with a rate of 3.50% (inclusive of the SBA annual fee) and $14.0 million is temporary financing currently bearing a rate of 0.84% that will reset to a market-driven rate in March 2011. Additionally, SBA debentures require an upfront commitment fee of 1% and are issued at a 2.43% discount to face. Both fees are amortized over the life of the loan. The remaining unused SBA debentures totaled $19.0 million as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September 30, 2010, subject to customary regulatory requirements. See recent developments for information pertaining to the increased commitment and availability under the SBA debenture program.</w:t>
      </w:r>
    </w:p>
    <w:p>
      <w:pPr>
        <w:spacing w:after="0" w:line="132"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September 30, 2010, SBIC LP is in compliance with its regulatory requirements.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PennantPark Investment applied for exemptive relief from the SEC to permit us to exclude the debt of SBIC LP from our consolidated asset coverage ratio. There can be no assurance that we will be able to capitalize SBIC LP with sufficient regulatory capital to access the maximum borrowing amount available or that we will receive an exemptive relief from the SEC with respect to the SBA-guaranteed debentures.</w:t>
      </w:r>
    </w:p>
    <w:p>
      <w:pPr>
        <w:spacing w:after="0" w:line="14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 See “Risk Factors – If we incur additional debt, it could increase the risk of investing in our shares” for more information.</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September 30, 2010, we had over $100 million of assets bearing a coupon of 9% or lower. We will look to rotate these assets into new higher yielding investments over time.</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operating activities used cash of $127.1 million for the fiscal year ended September 30, 2010, and our financing activities provided net cash proceeds of $95.6 million for the same period. Our operating activities used cash primarily for investing that was provided from, primarily, proceeds from our follow-on public offerings of common stock and draws under the credit facility and SBA debentures.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proceeds from a follow-on public offering of common stock. Our operating activities used cash primarily for investing, that was provided from proceeds from a secondary public offering and draws under the credit facility.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operating activities used cash of $395.8 million for the fiscal year ended September 30, 2008, and our financing activities provided cash proceeds of $178.1 million for the same period, primarily from borrowings under our credit facility. Our operating activities used cash primarily for investing that was provided from proceeds from our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but not limited to, borrowings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w w:val="92"/>
              </w:rPr>
              <w:t>Payments due by period (millions)</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1-3</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3-5</w:t>
            </w:r>
          </w:p>
        </w:tc>
        <w:tc>
          <w:tcPr>
            <w:tcW w:w="48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3"/>
              </w:rPr>
              <w:t>1 year</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years</w:t>
            </w:r>
          </w:p>
        </w:tc>
        <w:tc>
          <w:tcPr>
            <w:tcW w:w="480" w:type="dxa"/>
            <w:vAlign w:val="bottom"/>
          </w:tcPr>
          <w:p>
            <w:pPr>
              <w:spacing w:after="0"/>
              <w:rPr>
                <w:sz w:val="14"/>
                <w:szCs w:val="1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years</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2"/>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Senior secured revolving credit facility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$233.1</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SBA debentures </w:t>
            </w:r>
            <w:r>
              <w:rPr>
                <w:rFonts w:ascii="Arial" w:cs="Arial" w:eastAsia="Arial" w:hAnsi="Arial"/>
                <w:sz w:val="11"/>
                <w:szCs w:val="11"/>
                <w:color w:val="auto"/>
              </w:rPr>
              <w:t>(2)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Subtotal debt outstanding </w:t>
            </w:r>
            <w:r>
              <w:rPr>
                <w:rFonts w:ascii="Arial" w:cs="Arial" w:eastAsia="Arial" w:hAnsi="Arial"/>
                <w:sz w:val="11"/>
                <w:szCs w:val="11"/>
                <w:color w:val="auto"/>
              </w:rPr>
              <w:t>(3)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1"/>
                <w:szCs w:val="11"/>
                <w:color w:val="auto"/>
              </w:rPr>
              <w:t>(4)</w:t>
            </w:r>
          </w:p>
        </w:tc>
        <w:tc>
          <w:tcPr>
            <w:tcW w:w="500" w:type="dxa"/>
            <w:vAlign w:val="bottom"/>
          </w:tcPr>
          <w:p>
            <w:pPr>
              <w:jc w:val="right"/>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269.8</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September 30, 2010, we had $66.9 million of unused borrowing capacity under our credit facility, subject to maintenance of the applicable total assets to debt ratio of 200%, maintenance of a blended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4" w:lineRule="auto"/>
        <w:rPr>
          <w:sz w:val="20"/>
          <w:szCs w:val="20"/>
          <w:color w:val="auto"/>
        </w:rPr>
      </w:pPr>
      <w:r>
        <w:rPr>
          <w:rFonts w:ascii="Arial" w:cs="Arial" w:eastAsia="Arial" w:hAnsi="Arial"/>
          <w:sz w:val="18"/>
          <w:szCs w:val="18"/>
          <w:color w:val="auto"/>
        </w:rPr>
        <w:t>percentage of the values of our portfolio companies and restrictions on certain payments and issuance of debt. Amount outstanding included a $5.2 million temporary draw.</w:t>
      </w:r>
    </w:p>
    <w:p>
      <w:pPr>
        <w:ind w:left="460" w:right="2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of September 30, 2010, SBIC LP had $19.0 million of unused borrowing capacity under SBIC LP’s commitment from the SBA and $14.0 million of SBA debentures that will have a rate reset in March 2011.</w:t>
      </w:r>
    </w:p>
    <w:p>
      <w:pPr>
        <w:ind w:left="460" w:right="6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2010 is 1.32% exclusive of the fee on undrawn commitment of 0.20% and 3.43% of upfront fees on SBIC LP’s SBA debentures.</w:t>
      </w:r>
    </w:p>
    <w:p>
      <w:pPr>
        <w:ind w:left="460" w:right="180" w:hanging="452"/>
        <w:spacing w:after="0" w:line="261"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 of assets and liabilities represent unfunded delayed draws on investments in first lien secured debt and subordinated debt investments.</w:t>
      </w:r>
    </w:p>
    <w:p>
      <w:pPr>
        <w:spacing w:after="0" w:line="13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have entered into certain contracts under which we have material future commitments. Under our Investment Management Agreement, which was renewed in February 2010, PennantPark Investment Advisers serves as our investment adviser in accordance with the terms of that Investment Management Agreement.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gross assets and (2) an incentive fee based on our performance. See note 3 to the consolidated financial statements.</w:t>
      </w:r>
    </w:p>
    <w:p>
      <w:pPr>
        <w:spacing w:after="0" w:line="10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Under our Administration Agreement, which was renewed in February 2010,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we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the consolidated financial statements.</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at least 90% of the sum of our ordinary income and realized net short-term capital gains, if any, to our stockholders on an annual basis. Although not required for us to maintain our RIC tax status, we must also distribute an amount at least equal to the sum of 98% of our ordinary income (during each calendar year) plus 98.2% of our net capital gains (during each 12-month period ending on October 31) to avoid a 4% excise tax. For the fiscal year ended September 30, 2010, we elected to retain a portion of our calendar year income and recorded an excise tax of $0.1 million.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fiscal years ended September 30, 2010, 2009 and 2008, we declared to stockholders distributions of $1.03, $0.96 and $0.90 per share, respectively, for total distributions of $32.3 million, $20.2 million and $19.0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 after the end of the calendar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4, 2010, SBIC LP received a debt commitment from the SBA for an additional $66.5 million bringing its total debt commitment from the SBA to $100.0 million. Subsequent to September 30, 2010, SBIC LP completed its SBA examination in order to gain access to the full SBA commitment subject to customary regulatory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Through the date of this prospectus,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Assuming that the balance sheet as of September 30, 2010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rates.Through the date of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September 30, 2010, 2009, 2008 and 2007. The information for September 30, 2010, 2009, 2008 and 2007 presented below has been derived from our consolidated financial statements which have been audited by KPMG LLP.</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3"/>
              <w:spacing w:after="0"/>
              <w:rPr>
                <w:sz w:val="20"/>
                <w:szCs w:val="20"/>
                <w:color w:val="auto"/>
              </w:rPr>
            </w:pPr>
            <w:r>
              <w:rPr>
                <w:rFonts w:ascii="Arial" w:cs="Arial" w:eastAsia="Arial" w:hAnsi="Arial"/>
                <w:sz w:val="14"/>
                <w:szCs w:val="14"/>
                <w:b w:val="1"/>
                <w:bCs w:val="1"/>
                <w:color w:val="auto"/>
                <w:w w:val="78"/>
              </w:rPr>
              <w:t>Asset</w:t>
            </w:r>
          </w:p>
        </w:tc>
        <w:tc>
          <w:tcPr>
            <w:tcW w:w="820" w:type="dxa"/>
            <w:vAlign w:val="bottom"/>
          </w:tcPr>
          <w:p>
            <w:pPr>
              <w:spacing w:after="0"/>
              <w:rPr>
                <w:sz w:val="14"/>
                <w:szCs w:val="14"/>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
              <w:spacing w:after="0" w:line="135" w:lineRule="exact"/>
              <w:rPr>
                <w:sz w:val="20"/>
                <w:szCs w:val="20"/>
                <w:color w:val="auto"/>
              </w:rPr>
            </w:pPr>
            <w:r>
              <w:rPr>
                <w:rFonts w:ascii="Arial" w:cs="Arial" w:eastAsia="Arial" w:hAnsi="Arial"/>
                <w:sz w:val="14"/>
                <w:szCs w:val="14"/>
                <w:b w:val="1"/>
                <w:bCs w:val="1"/>
                <w:color w:val="auto"/>
                <w:w w:val="84"/>
              </w:rPr>
              <w:t>Coverage</w:t>
            </w:r>
          </w:p>
        </w:tc>
        <w:tc>
          <w:tcPr>
            <w:tcW w:w="820" w:type="dxa"/>
            <w:vAlign w:val="bottom"/>
          </w:tcPr>
          <w:p>
            <w:pPr>
              <w:spacing w:after="0"/>
              <w:rPr>
                <w:sz w:val="11"/>
                <w:szCs w:val="11"/>
                <w:color w:val="auto"/>
              </w:rPr>
            </w:pPr>
          </w:p>
        </w:tc>
        <w:tc>
          <w:tcPr>
            <w:tcW w:w="158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Total Amount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3"/>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820" w:type="dxa"/>
            <w:vAlign w:val="bottom"/>
          </w:tcPr>
          <w:p>
            <w:pPr>
              <w:spacing w:after="0"/>
              <w:rPr>
                <w:sz w:val="12"/>
                <w:szCs w:val="12"/>
                <w:color w:val="auto"/>
              </w:rPr>
            </w:pPr>
          </w:p>
        </w:tc>
        <w:tc>
          <w:tcPr>
            <w:tcW w:w="15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76"/>
        </w:trPr>
        <w:tc>
          <w:tcPr>
            <w:tcW w:w="388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940" w:type="dxa"/>
            <w:vAlign w:val="bottom"/>
          </w:tcPr>
          <w:p>
            <w:pPr>
              <w:spacing w:after="0"/>
              <w:rPr>
                <w:sz w:val="15"/>
                <w:szCs w:val="15"/>
                <w:color w:val="auto"/>
              </w:rPr>
            </w:pPr>
          </w:p>
        </w:tc>
        <w:tc>
          <w:tcPr>
            <w:tcW w:w="1340" w:type="dxa"/>
            <w:vAlign w:val="bottom"/>
            <w:gridSpan w:val="3"/>
          </w:tcPr>
          <w:p>
            <w:pPr>
              <w:jc w:val="right"/>
              <w:ind w:right="440"/>
              <w:spacing w:after="0" w:line="176" w:lineRule="exact"/>
              <w:rPr>
                <w:sz w:val="20"/>
                <w:szCs w:val="20"/>
                <w:color w:val="auto"/>
              </w:rPr>
            </w:pPr>
            <w:r>
              <w:rPr>
                <w:rFonts w:ascii="Arial" w:cs="Arial" w:eastAsia="Arial" w:hAnsi="Arial"/>
                <w:sz w:val="13"/>
                <w:szCs w:val="13"/>
                <w:b w:val="1"/>
                <w:bCs w:val="1"/>
                <w:color w:val="auto"/>
                <w:w w:val="91"/>
              </w:rPr>
              <w:t xml:space="preserve">Outstanding </w:t>
            </w:r>
            <w:r>
              <w:rPr>
                <w:rFonts w:ascii="Arial" w:cs="Arial" w:eastAsia="Arial" w:hAnsi="Arial"/>
                <w:sz w:val="20"/>
                <w:szCs w:val="20"/>
                <w:b w:val="1"/>
                <w:bCs w:val="1"/>
                <w:color w:val="auto"/>
                <w:w w:val="91"/>
                <w:vertAlign w:val="superscript"/>
              </w:rPr>
              <w:t>(1)</w:t>
            </w:r>
          </w:p>
        </w:tc>
        <w:tc>
          <w:tcPr>
            <w:tcW w:w="40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820" w:type="dxa"/>
            <w:vAlign w:val="bottom"/>
          </w:tcPr>
          <w:p>
            <w:pPr>
              <w:spacing w:after="0"/>
              <w:rPr>
                <w:sz w:val="15"/>
                <w:szCs w:val="15"/>
                <w:color w:val="auto"/>
              </w:rPr>
            </w:pPr>
          </w:p>
        </w:tc>
        <w:tc>
          <w:tcPr>
            <w:tcW w:w="1580" w:type="dxa"/>
            <w:vAlign w:val="bottom"/>
            <w:gridSpan w:val="2"/>
          </w:tcPr>
          <w:p>
            <w:pPr>
              <w:jc w:val="center"/>
              <w:ind w:right="820"/>
              <w:spacing w:after="0" w:line="176" w:lineRule="exact"/>
              <w:rPr>
                <w:sz w:val="20"/>
                <w:szCs w:val="20"/>
                <w:color w:val="auto"/>
              </w:rPr>
            </w:pPr>
            <w:r>
              <w:rPr>
                <w:rFonts w:ascii="Arial" w:cs="Arial" w:eastAsia="Arial" w:hAnsi="Arial"/>
                <w:sz w:val="13"/>
                <w:szCs w:val="13"/>
                <w:b w:val="1"/>
                <w:bCs w:val="1"/>
                <w:color w:val="auto"/>
                <w:w w:val="91"/>
              </w:rPr>
              <w:t xml:space="preserve">Per Unit </w:t>
            </w:r>
            <w:r>
              <w:rPr>
                <w:rFonts w:ascii="Arial" w:cs="Arial" w:eastAsia="Arial" w:hAnsi="Arial"/>
                <w:sz w:val="20"/>
                <w:szCs w:val="20"/>
                <w:b w:val="1"/>
                <w:bCs w:val="1"/>
                <w:color w:val="auto"/>
                <w:w w:val="91"/>
                <w:vertAlign w:val="superscript"/>
              </w:rPr>
              <w:t>(3)</w:t>
            </w:r>
          </w:p>
        </w:tc>
        <w:tc>
          <w:tcPr>
            <w:tcW w:w="72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2"/>
              </w:rPr>
              <w:t xml:space="preserve">Unit </w:t>
            </w:r>
            <w:r>
              <w:rPr>
                <w:rFonts w:ascii="Arial" w:cs="Arial" w:eastAsia="Arial" w:hAnsi="Arial"/>
                <w:sz w:val="20"/>
                <w:szCs w:val="20"/>
                <w:b w:val="1"/>
                <w:bCs w:val="1"/>
                <w:color w:val="auto"/>
                <w:w w:val="92"/>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2010</w:t>
            </w: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 xml:space="preserve">(as of September 30, 2010) </w:t>
            </w:r>
            <w:r>
              <w:rPr>
                <w:rFonts w:ascii="Arial" w:cs="Arial" w:eastAsia="Arial" w:hAnsi="Arial"/>
                <w:sz w:val="11"/>
                <w:szCs w:val="11"/>
                <w:color w:val="auto"/>
              </w:rPr>
              <w:t>(5)</w:t>
            </w:r>
          </w:p>
        </w:tc>
        <w:tc>
          <w:tcPr>
            <w:tcW w:w="116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233,100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2,661</w:t>
            </w:r>
          </w:p>
        </w:tc>
        <w:tc>
          <w:tcPr>
            <w:tcW w:w="820" w:type="dxa"/>
            <w:vAlign w:val="bottom"/>
          </w:tcPr>
          <w:p>
            <w:pPr>
              <w:spacing w:after="0"/>
              <w:rPr>
                <w:sz w:val="18"/>
                <w:szCs w:val="18"/>
                <w:color w:val="auto"/>
              </w:rPr>
            </w:pP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2009</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2009)</w:t>
            </w:r>
          </w:p>
        </w:tc>
        <w:tc>
          <w:tcPr>
            <w:tcW w:w="116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225,100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8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3040" w:type="dxa"/>
            <w:vAlign w:val="bottom"/>
            <w:gridSpan w:val="2"/>
          </w:tcPr>
          <w:p>
            <w:pPr>
              <w:ind w:left="20"/>
              <w:spacing w:after="0"/>
              <w:rPr>
                <w:sz w:val="20"/>
                <w:szCs w:val="20"/>
                <w:color w:val="auto"/>
              </w:rPr>
            </w:pPr>
            <w:r>
              <w:rPr>
                <w:rFonts w:ascii="Arial" w:cs="Arial" w:eastAsia="Arial" w:hAnsi="Arial"/>
                <w:sz w:val="18"/>
                <w:szCs w:val="18"/>
                <w:color w:val="auto"/>
              </w:rPr>
              <w:t>(as of September 30, 2008)</w:t>
            </w:r>
          </w:p>
        </w:tc>
        <w:tc>
          <w:tcPr>
            <w:tcW w:w="116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202,000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2,043</w:t>
            </w:r>
          </w:p>
        </w:tc>
        <w:tc>
          <w:tcPr>
            <w:tcW w:w="820" w:type="dxa"/>
            <w:vAlign w:val="bottom"/>
          </w:tcPr>
          <w:p>
            <w:pPr>
              <w:spacing w:after="0"/>
              <w:rPr>
                <w:sz w:val="18"/>
                <w:szCs w:val="18"/>
                <w:color w:val="auto"/>
              </w:rPr>
            </w:pPr>
          </w:p>
        </w:tc>
        <w:tc>
          <w:tcPr>
            <w:tcW w:w="15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116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28,039</w:t>
            </w:r>
          </w:p>
        </w:tc>
        <w:tc>
          <w:tcPr>
            <w:tcW w:w="8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 excludes SBA debentures outstanding. See note 10 in our consolidated financial statements.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January 21, 2011, the last reported closing price of our common stock was $12.20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 xml:space="preserve">NAV </w:t>
            </w:r>
            <w:r>
              <w:rPr>
                <w:rFonts w:ascii="Arial" w:cs="Arial" w:eastAsia="Arial" w:hAnsi="Arial"/>
                <w:sz w:val="22"/>
                <w:szCs w:val="22"/>
                <w:b w:val="1"/>
                <w:bCs w:val="1"/>
                <w:color w:val="auto"/>
                <w:w w:val="93"/>
                <w:vertAlign w:val="superscript"/>
              </w:rPr>
              <w:t>(1)</w:t>
            </w:r>
          </w:p>
        </w:tc>
        <w:tc>
          <w:tcPr>
            <w:tcW w:w="24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w w:val="96"/>
              </w:rPr>
              <w:t>Closing Sales Price</w:t>
            </w:r>
          </w:p>
        </w:tc>
        <w:tc>
          <w:tcPr>
            <w:tcW w:w="5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Low Sales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gridSpan w:val="2"/>
          </w:tcPr>
          <w:p>
            <w:pPr>
              <w:jc w:val="center"/>
              <w:ind w:right="600"/>
              <w:spacing w:after="0" w:line="115" w:lineRule="exact"/>
              <w:rPr>
                <w:sz w:val="20"/>
                <w:szCs w:val="20"/>
                <w:color w:val="auto"/>
              </w:rPr>
            </w:pPr>
            <w:r>
              <w:rPr>
                <w:rFonts w:ascii="Arial" w:cs="Arial" w:eastAsia="Arial" w:hAnsi="Arial"/>
                <w:sz w:val="12"/>
                <w:szCs w:val="12"/>
                <w:b w:val="1"/>
                <w:bCs w:val="1"/>
                <w:color w:val="auto"/>
                <w:w w:val="99"/>
              </w:rPr>
              <w:t>Price to</w:t>
            </w:r>
          </w:p>
        </w:tc>
        <w:tc>
          <w:tcPr>
            <w:tcW w:w="1180" w:type="dxa"/>
            <w:vAlign w:val="bottom"/>
            <w:gridSpan w:val="2"/>
          </w:tcPr>
          <w:p>
            <w:pPr>
              <w:jc w:val="center"/>
              <w:ind w:right="580"/>
              <w:spacing w:after="0" w:line="115" w:lineRule="exact"/>
              <w:rPr>
                <w:sz w:val="20"/>
                <w:szCs w:val="20"/>
                <w:color w:val="auto"/>
              </w:rPr>
            </w:pPr>
            <w:r>
              <w:rPr>
                <w:rFonts w:ascii="Arial" w:cs="Arial" w:eastAsia="Arial" w:hAnsi="Arial"/>
                <w:sz w:val="12"/>
                <w:szCs w:val="12"/>
                <w:b w:val="1"/>
                <w:bCs w:val="1"/>
                <w:color w:val="auto"/>
                <w:w w:val="99"/>
              </w:rPr>
              <w:t>Price to</w:t>
            </w:r>
          </w:p>
        </w:tc>
        <w:tc>
          <w:tcPr>
            <w:tcW w:w="680" w:type="dxa"/>
            <w:vAlign w:val="bottom"/>
            <w:gridSpan w:val="2"/>
          </w:tcPr>
          <w:p>
            <w:pPr>
              <w:ind w:left="40"/>
              <w:spacing w:after="0" w:line="115" w:lineRule="exact"/>
              <w:rPr>
                <w:sz w:val="20"/>
                <w:szCs w:val="20"/>
                <w:color w:val="auto"/>
              </w:rPr>
            </w:pPr>
            <w:r>
              <w:rPr>
                <w:rFonts w:ascii="Arial" w:cs="Arial" w:eastAsia="Arial" w:hAnsi="Arial"/>
                <w:sz w:val="12"/>
                <w:szCs w:val="12"/>
                <w:b w:val="1"/>
                <w:bCs w:val="1"/>
                <w:color w:val="auto"/>
              </w:rPr>
              <w:t>Declared</w:t>
            </w:r>
          </w:p>
        </w:tc>
        <w:tc>
          <w:tcPr>
            <w:tcW w:w="0" w:type="dxa"/>
            <w:vAlign w:val="bottom"/>
          </w:tcPr>
          <w:p>
            <w:pPr>
              <w:spacing w:after="0"/>
              <w:rPr>
                <w:sz w:val="1"/>
                <w:szCs w:val="1"/>
                <w:color w:val="auto"/>
              </w:rPr>
            </w:pPr>
          </w:p>
        </w:tc>
      </w:tr>
      <w:tr>
        <w:trPr>
          <w:trHeight w:val="176"/>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5"/>
                <w:szCs w:val="15"/>
                <w:color w:val="auto"/>
              </w:rPr>
            </w:pPr>
          </w:p>
        </w:tc>
        <w:tc>
          <w:tcPr>
            <w:tcW w:w="1200" w:type="dxa"/>
            <w:vAlign w:val="bottom"/>
            <w:gridSpan w:val="2"/>
          </w:tcPr>
          <w:p>
            <w:pPr>
              <w:jc w:val="center"/>
              <w:ind w:right="600"/>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 xml:space="preserve"> (2)</w:t>
            </w:r>
          </w:p>
        </w:tc>
        <w:tc>
          <w:tcPr>
            <w:tcW w:w="1180" w:type="dxa"/>
            <w:vAlign w:val="bottom"/>
            <w:gridSpan w:val="2"/>
          </w:tcPr>
          <w:p>
            <w:pPr>
              <w:jc w:val="center"/>
              <w:ind w:right="580"/>
              <w:spacing w:after="0" w:line="176" w:lineRule="exact"/>
              <w:rPr>
                <w:sz w:val="20"/>
                <w:szCs w:val="20"/>
                <w:color w:val="auto"/>
              </w:rPr>
            </w:pPr>
            <w:r>
              <w:rPr>
                <w:rFonts w:ascii="Arial" w:cs="Arial" w:eastAsia="Arial" w:hAnsi="Arial"/>
                <w:sz w:val="20"/>
                <w:szCs w:val="20"/>
                <w:b w:val="1"/>
                <w:bCs w:val="1"/>
                <w:color w:val="auto"/>
                <w:vertAlign w:val="subscript"/>
              </w:rPr>
              <w:t>NAV</w:t>
            </w:r>
            <w:r>
              <w:rPr>
                <w:rFonts w:ascii="Arial" w:cs="Arial" w:eastAsia="Arial" w:hAnsi="Arial"/>
                <w:sz w:val="9"/>
                <w:szCs w:val="9"/>
                <w:b w:val="1"/>
                <w:bCs w:val="1"/>
                <w:color w:val="auto"/>
              </w:rPr>
              <w:t xml:space="preserve"> (2)</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  N/A</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$12.75</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$10.60</w:t>
            </w:r>
          </w:p>
        </w:tc>
        <w:tc>
          <w:tcPr>
            <w:tcW w:w="5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580" w:type="dxa"/>
            <w:vAlign w:val="bottom"/>
          </w:tcPr>
          <w:p>
            <w:pPr>
              <w:jc w:val="right"/>
              <w:spacing w:after="0"/>
              <w:rPr>
                <w:sz w:val="20"/>
                <w:szCs w:val="20"/>
                <w:color w:val="auto"/>
              </w:rPr>
            </w:pPr>
            <w:r>
              <w:rPr>
                <w:rFonts w:ascii="Arial" w:cs="Arial" w:eastAsia="Arial" w:hAnsi="Arial"/>
                <w:sz w:val="18"/>
                <w:szCs w:val="18"/>
                <w:color w:val="auto"/>
              </w:rPr>
              <w:t>$  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10.69</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10.69</w:t>
            </w:r>
          </w:p>
        </w:tc>
        <w:tc>
          <w:tcPr>
            <w:tcW w:w="500" w:type="dxa"/>
            <w:vAlign w:val="bottom"/>
          </w:tcPr>
          <w:p>
            <w:pPr>
              <w:jc w:val="right"/>
              <w:spacing w:after="0"/>
              <w:rPr>
                <w:sz w:val="20"/>
                <w:szCs w:val="20"/>
                <w:color w:val="auto"/>
              </w:rPr>
            </w:pPr>
            <w:r>
              <w:rPr>
                <w:rFonts w:ascii="Arial" w:cs="Arial" w:eastAsia="Arial" w:hAnsi="Arial"/>
                <w:sz w:val="18"/>
                <w:szCs w:val="18"/>
                <w:color w:val="auto"/>
              </w:rPr>
              <w:t>9.17</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100</w:t>
            </w: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11.84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11.07</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10.77</w:t>
            </w:r>
          </w:p>
        </w:tc>
        <w:tc>
          <w:tcPr>
            <w:tcW w:w="500" w:type="dxa"/>
            <w:vAlign w:val="bottom"/>
          </w:tcPr>
          <w:p>
            <w:pPr>
              <w:jc w:val="right"/>
              <w:spacing w:after="0"/>
              <w:rPr>
                <w:sz w:val="20"/>
                <w:szCs w:val="20"/>
                <w:color w:val="auto"/>
              </w:rPr>
            </w:pPr>
            <w:r>
              <w:rPr>
                <w:rFonts w:ascii="Arial" w:cs="Arial" w:eastAsia="Arial" w:hAnsi="Arial"/>
                <w:sz w:val="18"/>
                <w:szCs w:val="18"/>
                <w:color w:val="auto"/>
              </w:rPr>
              <w:t>8.88</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97</w:t>
            </w: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11.86</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11.85</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11.72</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7.65</w:t>
            </w:r>
          </w:p>
        </w:tc>
        <w:tc>
          <w:tcPr>
            <w:tcW w:w="500" w:type="dxa"/>
            <w:vAlign w:val="bottom"/>
          </w:tcPr>
          <w:p>
            <w:pPr>
              <w:jc w:val="right"/>
              <w:spacing w:after="0"/>
              <w:rPr>
                <w:sz w:val="20"/>
                <w:szCs w:val="20"/>
                <w:color w:val="auto"/>
              </w:rPr>
            </w:pPr>
            <w:r>
              <w:rPr>
                <w:rFonts w:ascii="Arial" w:cs="Arial" w:eastAsia="Arial" w:hAnsi="Arial"/>
                <w:sz w:val="18"/>
                <w:szCs w:val="18"/>
                <w:color w:val="auto"/>
              </w:rPr>
              <w:t>3.85</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65</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7.81</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8.50</w:t>
            </w:r>
          </w:p>
        </w:tc>
        <w:tc>
          <w:tcPr>
            <w:tcW w:w="500" w:type="dxa"/>
            <w:vAlign w:val="bottom"/>
          </w:tcPr>
          <w:p>
            <w:pPr>
              <w:jc w:val="right"/>
              <w:spacing w:after="0"/>
              <w:rPr>
                <w:sz w:val="20"/>
                <w:szCs w:val="20"/>
                <w:color w:val="auto"/>
              </w:rPr>
            </w:pPr>
            <w:r>
              <w:rPr>
                <w:rFonts w:ascii="Arial" w:cs="Arial" w:eastAsia="Arial" w:hAnsi="Arial"/>
                <w:sz w:val="18"/>
                <w:szCs w:val="18"/>
                <w:color w:val="auto"/>
              </w:rPr>
              <w:t>5.92</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85</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10.77</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11.31</w:t>
            </w:r>
          </w:p>
        </w:tc>
        <w:tc>
          <w:tcPr>
            <w:tcW w:w="500" w:type="dxa"/>
            <w:vAlign w:val="bottom"/>
          </w:tcPr>
          <w:p>
            <w:pPr>
              <w:jc w:val="right"/>
              <w:spacing w:after="0"/>
              <w:rPr>
                <w:sz w:val="20"/>
                <w:szCs w:val="20"/>
                <w:color w:val="auto"/>
              </w:rPr>
            </w:pPr>
            <w:r>
              <w:rPr>
                <w:rFonts w:ascii="Arial" w:cs="Arial" w:eastAsia="Arial" w:hAnsi="Arial"/>
                <w:sz w:val="18"/>
                <w:szCs w:val="18"/>
                <w:color w:val="auto"/>
              </w:rPr>
              <w:t>8.38</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12.07</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14.49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12.83</w:t>
            </w:r>
          </w:p>
        </w:tc>
        <w:tc>
          <w:tcPr>
            <w:tcW w:w="12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13.74</w:t>
            </w: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15.03</w:t>
            </w:r>
          </w:p>
        </w:tc>
        <w:tc>
          <w:tcPr>
            <w:tcW w:w="500" w:type="dxa"/>
            <w:vAlign w:val="bottom"/>
          </w:tcPr>
          <w:p>
            <w:pPr>
              <w:jc w:val="right"/>
              <w:spacing w:after="0"/>
              <w:rPr>
                <w:sz w:val="20"/>
                <w:szCs w:val="20"/>
                <w:color w:val="auto"/>
              </w:rPr>
            </w:pPr>
            <w:r>
              <w:rPr>
                <w:rFonts w:ascii="Arial" w:cs="Arial" w:eastAsia="Arial" w:hAnsi="Arial"/>
                <w:sz w:val="18"/>
                <w:szCs w:val="18"/>
                <w:color w:val="auto"/>
              </w:rPr>
              <w:t>14.04</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109</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08"/>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While our common stock has from time to time traded in excess of our net asset value, there can be no assurance that it will trade at such a premium (to net asset value) in the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35" w:lineRule="exact"/>
        <w:rPr>
          <w:sz w:val="20"/>
          <w:szCs w:val="20"/>
          <w:color w:val="auto"/>
        </w:rPr>
      </w:pPr>
    </w:p>
    <w:p>
      <w:pPr>
        <w:ind w:left="9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6"/>
              </w:rPr>
              <w:t>Example 1</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89"/>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1"/>
              </w:rPr>
              <w:t>5% Offering</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left="31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12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21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10.05</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9.52</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1,000,000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1,050,000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1,100,000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1,200,000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9.98</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9.91</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Dilution to Stockholder A</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0.83%</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(17.00)%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99,800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99,100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96,700</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370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660"/>
              <w:spacing w:after="0"/>
              <w:rPr>
                <w:sz w:val="20"/>
                <w:szCs w:val="20"/>
                <w:color w:val="auto"/>
              </w:rPr>
            </w:pPr>
            <w:r>
              <w:rPr>
                <w:rFonts w:ascii="Arial" w:cs="Arial" w:eastAsia="Arial" w:hAnsi="Arial"/>
                <w:sz w:val="18"/>
                <w:szCs w:val="18"/>
                <w:color w:val="auto"/>
              </w:rPr>
              <w:t>(assumed to be $10.00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100,000</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w:t>
            </w: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(3,300)</w:t>
            </w:r>
          </w:p>
        </w:tc>
        <w:tc>
          <w:tcPr>
            <w:tcW w:w="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Example 1</w:t>
            </w:r>
          </w:p>
        </w:tc>
        <w:tc>
          <w:tcPr>
            <w:tcW w:w="120" w:type="dxa"/>
            <w:vAlign w:val="bottom"/>
          </w:tcPr>
          <w:p>
            <w:pPr>
              <w:spacing w:after="0"/>
              <w:rPr>
                <w:sz w:val="14"/>
                <w:szCs w:val="14"/>
                <w:color w:val="auto"/>
              </w:rPr>
            </w:pPr>
          </w:p>
        </w:tc>
        <w:tc>
          <w:tcPr>
            <w:tcW w:w="17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Example 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20" w:type="dxa"/>
            <w:vAlign w:val="bottom"/>
          </w:tcPr>
          <w:p>
            <w:pPr>
              <w:spacing w:after="0"/>
              <w:rPr>
                <w:sz w:val="12"/>
                <w:szCs w:val="12"/>
                <w:color w:val="auto"/>
              </w:rPr>
            </w:pPr>
          </w:p>
        </w:tc>
        <w:tc>
          <w:tcPr>
            <w:tcW w:w="17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Prior to Sale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9"/>
              </w:rPr>
              <w:t>at 5% Discount</w:t>
            </w:r>
          </w:p>
        </w:tc>
        <w:tc>
          <w:tcPr>
            <w:tcW w:w="120" w:type="dxa"/>
            <w:vAlign w:val="bottom"/>
          </w:tcPr>
          <w:p>
            <w:pPr>
              <w:spacing w:after="0"/>
              <w:rPr>
                <w:sz w:val="14"/>
                <w:szCs w:val="14"/>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Below NAV</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(assumed to be $10.00 per share on shares held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prior to sale)</w:t>
            </w:r>
          </w:p>
        </w:tc>
        <w:tc>
          <w:tcPr>
            <w:tcW w:w="11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rPr>
              <w:t>$   10.00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10.00</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60" w:type="dxa"/>
            <w:vAlign w:val="bottom"/>
          </w:tcPr>
          <w:p>
            <w:pPr>
              <w:ind w:left="440"/>
              <w:spacing w:after="0"/>
              <w:rPr>
                <w:sz w:val="20"/>
                <w:szCs w:val="20"/>
                <w:color w:val="auto"/>
              </w:rPr>
            </w:pPr>
            <w:r>
              <w:rPr>
                <w:rFonts w:ascii="Arial" w:cs="Arial" w:eastAsia="Arial" w:hAnsi="Arial"/>
                <w:sz w:val="18"/>
                <w:szCs w:val="18"/>
                <w:color w:val="auto"/>
                <w:w w:val="95"/>
              </w:rPr>
              <w:t>Dilution per share held by stockholder A (NAV per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220" w:type="dxa"/>
            <w:vAlign w:val="bottom"/>
          </w:tcPr>
          <w:p>
            <w:pPr>
              <w:spacing w:after="0"/>
              <w:rPr>
                <w:sz w:val="19"/>
                <w:szCs w:val="19"/>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Percentage dilution to stockholder A (dilution per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(0.90)%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23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19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8.47</w:t>
            </w: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8.47</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1,200,000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20.00%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1,200,000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NAV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9.67</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9.67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13,000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106,370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125,710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25.71%</w:t>
            </w:r>
          </w:p>
        </w:tc>
        <w:tc>
          <w:tcPr>
            <w:tcW w:w="0" w:type="dxa"/>
            <w:vAlign w:val="bottom"/>
          </w:tcPr>
          <w:p>
            <w:pPr>
              <w:spacing w:after="0"/>
              <w:rPr>
                <w:sz w:val="1"/>
                <w:szCs w:val="1"/>
                <w:color w:val="auto"/>
              </w:rPr>
            </w:pPr>
          </w:p>
        </w:tc>
      </w:tr>
      <w:tr>
        <w:trPr>
          <w:trHeight w:val="208"/>
        </w:trPr>
        <w:tc>
          <w:tcPr>
            <w:tcW w:w="5580" w:type="dxa"/>
            <w:vAlign w:val="bottom"/>
          </w:tcPr>
          <w:p>
            <w:pPr>
              <w:ind w:left="880"/>
              <w:spacing w:after="0"/>
              <w:rPr>
                <w:sz w:val="20"/>
                <w:szCs w:val="20"/>
                <w:color w:val="auto"/>
              </w:rPr>
            </w:pPr>
            <w:r>
              <w:rPr>
                <w:rFonts w:ascii="Arial" w:cs="Arial" w:eastAsia="Arial" w:hAnsi="Arial"/>
                <w:sz w:val="18"/>
                <w:szCs w:val="18"/>
                <w:color w:val="auto"/>
              </w:rPr>
              <w:t>Total investment by stockholder A (assumed to be $10.00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108,470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125,410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25.41%</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(dilution)/accretion to stockholder A (total NAV less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9.67</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9.67</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ind w:left="880"/>
              <w:spacing w:after="0"/>
              <w:rPr>
                <w:sz w:val="20"/>
                <w:szCs w:val="20"/>
                <w:color w:val="auto"/>
              </w:rPr>
            </w:pPr>
            <w:r>
              <w:rPr>
                <w:rFonts w:ascii="Arial" w:cs="Arial" w:eastAsia="Arial" w:hAnsi="Arial"/>
                <w:sz w:val="18"/>
                <w:szCs w:val="18"/>
                <w:color w:val="auto"/>
                <w:w w:val="98"/>
              </w:rPr>
              <w:t>Investment per share held by stockholder A (assumed to be</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1080"/>
              <w:spacing w:after="0"/>
              <w:rPr>
                <w:sz w:val="20"/>
                <w:szCs w:val="20"/>
                <w:color w:val="auto"/>
              </w:rPr>
            </w:pPr>
            <w:r>
              <w:rPr>
                <w:rFonts w:ascii="Arial" w:cs="Arial" w:eastAsia="Arial" w:hAnsi="Arial"/>
                <w:sz w:val="18"/>
                <w:szCs w:val="18"/>
                <w:color w:val="auto"/>
              </w:rPr>
              <w:t>$10.00 per 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9.86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9.65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(Dilution)/accretion per share held by stockholder A (NAV per</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less investment per share)</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0.02</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58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660"/>
              <w:spacing w:after="0"/>
              <w:rPr>
                <w:sz w:val="20"/>
                <w:szCs w:val="20"/>
                <w:color w:val="auto"/>
              </w:rPr>
            </w:pPr>
            <w:r>
              <w:rPr>
                <w:rFonts w:ascii="Arial" w:cs="Arial" w:eastAsia="Arial" w:hAnsi="Arial"/>
                <w:sz w:val="18"/>
                <w:szCs w:val="18"/>
                <w:color w:val="auto"/>
              </w:rPr>
              <w:t>(dilution/accretion per share divided by investment per share)</w:t>
            </w:r>
          </w:p>
        </w:tc>
        <w:tc>
          <w:tcPr>
            <w:tcW w:w="80" w:type="dxa"/>
            <w:vAlign w:val="bottom"/>
          </w:tcPr>
          <w:p>
            <w:pPr>
              <w:spacing w:after="0"/>
              <w:rPr>
                <w:sz w:val="19"/>
                <w:szCs w:val="19"/>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per share due to selling compensation and expenses paid by us will experience an immediate decrease, albeit small, in the NAV of their shares and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per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18"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37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Prior to</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0"/>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1"/>
        </w:trPr>
        <w:tc>
          <w:tcPr>
            <w:tcW w:w="37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Sale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20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at 20% Discount</w:t>
            </w:r>
          </w:p>
        </w:tc>
      </w:tr>
      <w:tr>
        <w:trPr>
          <w:trHeight w:val="129"/>
        </w:trPr>
        <w:tc>
          <w:tcPr>
            <w:tcW w:w="378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Below</w:t>
            </w: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r>
      <w:tr>
        <w:trPr>
          <w:trHeight w:val="161"/>
        </w:trPr>
        <w:tc>
          <w:tcPr>
            <w:tcW w:w="37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NAV</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10.05</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1,050,000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NAV per share</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500</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4,990</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9,910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5,025</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5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8"/>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3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5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363"/>
        </w:trPr>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6"/>
              </w:rPr>
              <w:t>Example 1</w:t>
            </w:r>
          </w:p>
        </w:tc>
        <w:tc>
          <w:tcPr>
            <w:tcW w:w="140" w:type="dxa"/>
            <w:vAlign w:val="bottom"/>
          </w:tcPr>
          <w:p>
            <w:pPr>
              <w:spacing w:after="0"/>
              <w:rPr>
                <w:sz w:val="14"/>
                <w:szCs w:val="14"/>
                <w:color w:val="auto"/>
              </w:rPr>
            </w:pPr>
          </w:p>
        </w:tc>
        <w:tc>
          <w:tcPr>
            <w:tcW w:w="920" w:type="dxa"/>
            <w:vAlign w:val="bottom"/>
            <w:gridSpan w:val="2"/>
          </w:tcPr>
          <w:p>
            <w:pPr>
              <w:ind w:left="320"/>
              <w:spacing w:after="0"/>
              <w:rPr>
                <w:sz w:val="20"/>
                <w:szCs w:val="20"/>
                <w:color w:val="auto"/>
              </w:rPr>
            </w:pPr>
            <w:r>
              <w:rPr>
                <w:rFonts w:ascii="Arial" w:cs="Arial" w:eastAsia="Arial" w:hAnsi="Arial"/>
                <w:sz w:val="14"/>
                <w:szCs w:val="14"/>
                <w:b w:val="1"/>
                <w:bCs w:val="1"/>
                <w:color w:val="auto"/>
                <w:w w:val="83"/>
              </w:rPr>
              <w:t>Example 2</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left="242"/>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7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Prior to</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70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10%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20% Offering</w:t>
            </w:r>
          </w:p>
        </w:tc>
      </w:tr>
      <w:tr>
        <w:trPr>
          <w:trHeight w:val="161"/>
        </w:trPr>
        <w:tc>
          <w:tcPr>
            <w:tcW w:w="47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Sale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70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10%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at 20% Discount</w:t>
            </w:r>
          </w:p>
        </w:tc>
      </w:tr>
      <w:tr>
        <w:trPr>
          <w:trHeight w:val="129"/>
        </w:trPr>
        <w:tc>
          <w:tcPr>
            <w:tcW w:w="47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Below</w:t>
            </w:r>
          </w:p>
        </w:tc>
        <w:tc>
          <w:tcPr>
            <w:tcW w:w="48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r>
      <w:tr>
        <w:trPr>
          <w:trHeight w:val="161"/>
        </w:trPr>
        <w:tc>
          <w:tcPr>
            <w:tcW w:w="47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NAV</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Change</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40"/>
              <w:spacing w:after="0"/>
              <w:rPr>
                <w:sz w:val="20"/>
                <w:szCs w:val="20"/>
                <w:color w:val="auto"/>
              </w:rPr>
            </w:pPr>
            <w:r>
              <w:rPr>
                <w:rFonts w:ascii="Arial" w:cs="Arial" w:eastAsia="Arial" w:hAnsi="Arial"/>
                <w:sz w:val="18"/>
                <w:szCs w:val="18"/>
                <w:color w:val="auto"/>
                <w:w w:val="79"/>
              </w:rPr>
              <w:t>9.91</w:t>
            </w:r>
          </w:p>
        </w:tc>
        <w:tc>
          <w:tcPr>
            <w:tcW w:w="48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9.67</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10.05</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9.52</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8.47</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08"/>
        </w:trPr>
        <w:tc>
          <w:tcPr>
            <w:tcW w:w="472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72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(0.07)</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40"/>
              <w:spacing w:after="0"/>
              <w:rPr>
                <w:sz w:val="20"/>
                <w:szCs w:val="20"/>
                <w:color w:val="auto"/>
              </w:rPr>
            </w:pPr>
            <w:r>
              <w:rPr>
                <w:rFonts w:ascii="Arial" w:cs="Arial" w:eastAsia="Arial" w:hAnsi="Arial"/>
                <w:sz w:val="18"/>
                <w:szCs w:val="18"/>
                <w:color w:val="auto"/>
                <w:w w:val="79"/>
              </w:rPr>
              <w:t>0.39</w:t>
            </w:r>
          </w:p>
        </w:tc>
        <w:tc>
          <w:tcPr>
            <w:tcW w:w="480" w:type="dxa"/>
            <w:vAlign w:val="bottom"/>
          </w:tcPr>
          <w:p>
            <w:pPr>
              <w:spacing w:after="0"/>
              <w:rPr>
                <w:sz w:val="19"/>
                <w:szCs w:val="19"/>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1.20</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9"/>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4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(0.70)%</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14.17%</w:t>
            </w:r>
          </w:p>
        </w:tc>
      </w:tr>
      <w:tr>
        <w:trPr>
          <w:trHeight w:val="363"/>
        </w:trPr>
        <w:tc>
          <w:tcPr>
            <w:tcW w:w="4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140" w:type="dxa"/>
            <w:vAlign w:val="bottom"/>
            <w:gridSpan w:val="3"/>
          </w:tcPr>
          <w:p>
            <w:pPr>
              <w:ind w:left="220"/>
              <w:spacing w:after="0"/>
              <w:rPr>
                <w:sz w:val="20"/>
                <w:szCs w:val="20"/>
                <w:color w:val="auto"/>
              </w:rPr>
            </w:pPr>
            <w:r>
              <w:rPr>
                <w:rFonts w:ascii="Arial" w:cs="Arial" w:eastAsia="Arial" w:hAnsi="Arial"/>
                <w:sz w:val="14"/>
                <w:szCs w:val="14"/>
                <w:b w:val="1"/>
                <w:bCs w:val="1"/>
                <w:color w:val="auto"/>
              </w:rPr>
              <w:t>Record Dates</w:t>
            </w:r>
          </w:p>
        </w:tc>
        <w:tc>
          <w:tcPr>
            <w:tcW w:w="1720" w:type="dxa"/>
            <w:vAlign w:val="bottom"/>
          </w:tcPr>
          <w:p>
            <w:pPr>
              <w:ind w:left="420"/>
              <w:spacing w:after="0"/>
              <w:rPr>
                <w:sz w:val="20"/>
                <w:szCs w:val="20"/>
                <w:color w:val="auto"/>
              </w:rPr>
            </w:pPr>
            <w:r>
              <w:rPr>
                <w:rFonts w:ascii="Arial" w:cs="Arial" w:eastAsia="Arial" w:hAnsi="Arial"/>
                <w:sz w:val="14"/>
                <w:szCs w:val="14"/>
                <w:b w:val="1"/>
                <w:bCs w:val="1"/>
                <w:color w:val="auto"/>
              </w:rPr>
              <w:t>Payment Dates</w:t>
            </w:r>
          </w:p>
        </w:tc>
        <w:tc>
          <w:tcPr>
            <w:tcW w:w="2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December 17, 2010</w:t>
            </w:r>
          </w:p>
        </w:tc>
        <w:tc>
          <w:tcPr>
            <w:tcW w:w="1720" w:type="dxa"/>
            <w:vAlign w:val="bottom"/>
          </w:tcPr>
          <w:p>
            <w:pPr>
              <w:ind w:left="40"/>
              <w:spacing w:after="0"/>
              <w:rPr>
                <w:sz w:val="20"/>
                <w:szCs w:val="20"/>
                <w:color w:val="auto"/>
              </w:rPr>
            </w:pPr>
            <w:r>
              <w:rPr>
                <w:rFonts w:ascii="Arial" w:cs="Arial" w:eastAsia="Arial" w:hAnsi="Arial"/>
                <w:sz w:val="18"/>
                <w:szCs w:val="18"/>
                <w:color w:val="auto"/>
              </w:rPr>
              <w:t>January 3, 2011</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14, 2010</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2010</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June 24, 2010</w:t>
            </w:r>
          </w:p>
        </w:tc>
        <w:tc>
          <w:tcPr>
            <w:tcW w:w="1720" w:type="dxa"/>
            <w:vAlign w:val="bottom"/>
          </w:tcPr>
          <w:p>
            <w:pPr>
              <w:ind w:left="40"/>
              <w:spacing w:after="0"/>
              <w:rPr>
                <w:sz w:val="20"/>
                <w:szCs w:val="20"/>
                <w:color w:val="auto"/>
              </w:rPr>
            </w:pPr>
            <w:r>
              <w:rPr>
                <w:rFonts w:ascii="Arial" w:cs="Arial" w:eastAsia="Arial" w:hAnsi="Arial"/>
                <w:sz w:val="18"/>
                <w:szCs w:val="18"/>
                <w:color w:val="auto"/>
              </w:rPr>
              <w:t>July 1, 2010</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25, 2010</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1, 2010</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December 24, 2009</w:t>
            </w:r>
          </w:p>
        </w:tc>
        <w:tc>
          <w:tcPr>
            <w:tcW w:w="1720" w:type="dxa"/>
            <w:vAlign w:val="bottom"/>
          </w:tcPr>
          <w:p>
            <w:pPr>
              <w:ind w:left="40"/>
              <w:spacing w:after="0"/>
              <w:rPr>
                <w:sz w:val="20"/>
                <w:szCs w:val="20"/>
                <w:color w:val="auto"/>
              </w:rPr>
            </w:pPr>
            <w:r>
              <w:rPr>
                <w:rFonts w:ascii="Arial" w:cs="Arial" w:eastAsia="Arial" w:hAnsi="Arial"/>
                <w:sz w:val="18"/>
                <w:szCs w:val="18"/>
                <w:color w:val="auto"/>
              </w:rPr>
              <w:t>January 4, 2010</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1.03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8, 2009</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2009</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June 24, 2009</w:t>
            </w:r>
          </w:p>
        </w:tc>
        <w:tc>
          <w:tcPr>
            <w:tcW w:w="1720" w:type="dxa"/>
            <w:vAlign w:val="bottom"/>
          </w:tcPr>
          <w:p>
            <w:pPr>
              <w:ind w:left="40"/>
              <w:spacing w:after="0"/>
              <w:rPr>
                <w:sz w:val="20"/>
                <w:szCs w:val="20"/>
                <w:color w:val="auto"/>
              </w:rPr>
            </w:pPr>
            <w:r>
              <w:rPr>
                <w:rFonts w:ascii="Arial" w:cs="Arial" w:eastAsia="Arial" w:hAnsi="Arial"/>
                <w:sz w:val="18"/>
                <w:szCs w:val="18"/>
                <w:color w:val="auto"/>
              </w:rPr>
              <w:t>July 1, 2009</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25, 2009</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1, 2009</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December 23, 2008</w:t>
            </w:r>
          </w:p>
        </w:tc>
        <w:tc>
          <w:tcPr>
            <w:tcW w:w="1720" w:type="dxa"/>
            <w:vAlign w:val="bottom"/>
          </w:tcPr>
          <w:p>
            <w:pPr>
              <w:ind w:left="40"/>
              <w:spacing w:after="0"/>
              <w:rPr>
                <w:sz w:val="20"/>
                <w:szCs w:val="20"/>
                <w:color w:val="auto"/>
              </w:rPr>
            </w:pPr>
            <w:r>
              <w:rPr>
                <w:rFonts w:ascii="Arial" w:cs="Arial" w:eastAsia="Arial" w:hAnsi="Arial"/>
                <w:sz w:val="18"/>
                <w:szCs w:val="18"/>
                <w:color w:val="auto"/>
              </w:rPr>
              <w:t>January 4, 2009</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24, 2008</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1, 2008</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June 23, 2008</w:t>
            </w:r>
          </w:p>
        </w:tc>
        <w:tc>
          <w:tcPr>
            <w:tcW w:w="1720" w:type="dxa"/>
            <w:vAlign w:val="bottom"/>
          </w:tcPr>
          <w:p>
            <w:pPr>
              <w:ind w:left="40"/>
              <w:spacing w:after="0"/>
              <w:rPr>
                <w:sz w:val="20"/>
                <w:szCs w:val="20"/>
                <w:color w:val="auto"/>
              </w:rPr>
            </w:pPr>
            <w:r>
              <w:rPr>
                <w:rFonts w:ascii="Arial" w:cs="Arial" w:eastAsia="Arial" w:hAnsi="Arial"/>
                <w:sz w:val="18"/>
                <w:szCs w:val="18"/>
                <w:color w:val="auto"/>
              </w:rPr>
              <w:t>June 30, 2008</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24, 2008</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2008</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December 24, 2007</w:t>
            </w:r>
          </w:p>
        </w:tc>
        <w:tc>
          <w:tcPr>
            <w:tcW w:w="1720" w:type="dxa"/>
            <w:vAlign w:val="bottom"/>
          </w:tcPr>
          <w:p>
            <w:pPr>
              <w:ind w:left="40"/>
              <w:spacing w:after="0"/>
              <w:rPr>
                <w:sz w:val="20"/>
                <w:szCs w:val="20"/>
                <w:color w:val="auto"/>
              </w:rPr>
            </w:pPr>
            <w:r>
              <w:rPr>
                <w:rFonts w:ascii="Arial" w:cs="Arial" w:eastAsia="Arial" w:hAnsi="Arial"/>
                <w:sz w:val="18"/>
                <w:szCs w:val="18"/>
                <w:color w:val="auto"/>
              </w:rPr>
              <w:t>December 31, 2007</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0.90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September 25, 2007</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28, 2007</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0.22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June 22, 2007</w:t>
            </w:r>
          </w:p>
        </w:tc>
        <w:tc>
          <w:tcPr>
            <w:tcW w:w="1720" w:type="dxa"/>
            <w:vAlign w:val="bottom"/>
          </w:tcPr>
          <w:p>
            <w:pPr>
              <w:ind w:left="40"/>
              <w:spacing w:after="0"/>
              <w:rPr>
                <w:sz w:val="20"/>
                <w:szCs w:val="20"/>
                <w:color w:val="auto"/>
              </w:rPr>
            </w:pPr>
            <w:r>
              <w:rPr>
                <w:rFonts w:ascii="Arial" w:cs="Arial" w:eastAsia="Arial" w:hAnsi="Arial"/>
                <w:sz w:val="18"/>
                <w:szCs w:val="18"/>
                <w:color w:val="auto"/>
              </w:rPr>
              <w:t>June 29, 2007</w:t>
            </w:r>
          </w:p>
        </w:tc>
        <w:tc>
          <w:tcPr>
            <w:tcW w:w="4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0.14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0.36**</w:t>
            </w: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140" w:type="dxa"/>
            <w:vAlign w:val="bottom"/>
            <w:gridSpan w:val="3"/>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980" w:type="dxa"/>
            <w:vAlign w:val="bottom"/>
            <w:gridSpan w:val="4"/>
          </w:tcPr>
          <w:p>
            <w:pPr>
              <w:ind w:left="140"/>
              <w:spacing w:after="0"/>
              <w:rPr>
                <w:sz w:val="20"/>
                <w:szCs w:val="20"/>
                <w:color w:val="auto"/>
              </w:rPr>
            </w:pPr>
            <w:r>
              <w:rPr>
                <w:rFonts w:ascii="Arial" w:cs="Arial" w:eastAsia="Arial" w:hAnsi="Arial"/>
                <w:sz w:val="18"/>
                <w:szCs w:val="18"/>
                <w:color w:val="auto"/>
              </w:rPr>
              <w:t>See note 8 to our consolidated financial statements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980" w:type="dxa"/>
            <w:vAlign w:val="bottom"/>
            <w:gridSpan w:val="4"/>
          </w:tcPr>
          <w:p>
            <w:pPr>
              <w:ind w:left="140"/>
              <w:spacing w:after="0"/>
              <w:rPr>
                <w:sz w:val="20"/>
                <w:szCs w:val="20"/>
                <w:color w:val="auto"/>
              </w:rPr>
            </w:pPr>
            <w:r>
              <w:rPr>
                <w:rFonts w:ascii="Arial" w:cs="Arial" w:eastAsia="Arial" w:hAnsi="Arial"/>
                <w:sz w:val="18"/>
                <w:szCs w:val="18"/>
                <w:color w:val="auto"/>
              </w:rPr>
              <w:t>$0.00107 per share is a tax return of capital</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98% of our ordinary income for the calendar year, (2) 98.2% of our realized net capital gains for the 12-month period ending on October 31 of the calendar</w:t>
      </w:r>
    </w:p>
    <w:p>
      <w:pPr>
        <w:spacing w:after="0" w:line="38" w:lineRule="exact"/>
        <w:rPr>
          <w:rFonts w:ascii="Arial" w:cs="Arial" w:eastAsia="Arial" w:hAnsi="Arial"/>
          <w:sz w:val="16"/>
          <w:szCs w:val="16"/>
          <w:color w:val="auto"/>
        </w:rPr>
      </w:pPr>
    </w:p>
    <w:p>
      <w:pPr>
        <w:ind w:right="20"/>
        <w:spacing w:after="0" w:line="331" w:lineRule="auto"/>
        <w:rPr>
          <w:rFonts w:ascii="Arial" w:cs="Arial" w:eastAsia="Arial" w:hAnsi="Arial"/>
          <w:sz w:val="16"/>
          <w:szCs w:val="16"/>
          <w:color w:val="auto"/>
        </w:rPr>
      </w:pPr>
      <w:r>
        <w:rPr>
          <w:rFonts w:ascii="Arial" w:cs="Arial" w:eastAsia="Arial" w:hAnsi="Arial"/>
          <w:sz w:val="15"/>
          <w:szCs w:val="15"/>
          <w:color w:val="auto"/>
        </w:rPr>
        <w:t>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92" w:lineRule="auto"/>
        <w:tabs>
          <w:tab w:leader="none" w:pos="249"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stockholder may elect to receive his or her entire distribution in either cash or stock of the RIC subject to a limitation on the aggregate amount of cash to be distributed to all stockholders, which must be at least 10%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10% of his or her entire distribution in cash. We have not elected to distribute stock as a dividend but reserve the right to do so. See “Material U.S. Federal Income Tax Considerations” for more information.</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PennantPark Investment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middle-market debt instruments. These conditions may present us with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under the 1940 Act. In addition, for tax purposes we have elected to be treated as a RIC, under the Code.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wholly owned SBIC subsidiary, PennantPark SBIC LP, was organized as a Delaware limited partnership on May 7, 2010 and received a license from the SBA to operate as an SBIC under Section 301(c) of the 1958 Act on July 30, 2010. Our SBIC’s objective is to generate both current income and capital appreciation through debt and equity investments. SBIC LP, generally, invests with us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Adviser has a rigorous investment approach, which is based upon intensive financial analysis with a focus on capital preservation, diversification and active management. Since our inception in 2007, we have raised nearly $800 million in debt and equity capital, and have invested over $1 billion in 96 companies and 48 different financial sponsors.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Related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160" w:hanging="446"/>
        <w:spacing w:after="0" w:line="262"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 Traded Model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additional information concerning the competitive risks we face, please see “Risk Factors—Risks Relating to our Business and Structure—We operate in a highly competitive market for investment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a five-year, multi-currency $300.0 million credit facility, which matures on June 25, 2012, and is secured by substantially all of our investment portfolio assets (excluding assets of SBIC LP) with a group of lenders, under which we had $233.1 million (including a $5.2 million temporary draw) and $225.1 million (including a $7.0 million temporary draw) of indebtedness outstanding at September 30, 2010 and 2009, respectively. Pricing of borrowings under our credit facility is set at 100 basis points over LIBOR. We believe that our capital resources will provide us with the flexibility to take advantage of market opportunities when they arise. In addition, any future additional debt capital we incur, to the extent it is available under current credit market conditions, may be issued at a higher cost and on less favorable terms and conditions than our current credit facility.</w:t>
      </w:r>
    </w:p>
    <w:p>
      <w:pPr>
        <w:spacing w:after="0" w:line="12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On August 5, 2010 and November 4, 2010, SBIC LP received a debenture commitment from the SBA in the amount of $33.5 million and $66.5 million, respectively, bringing our total commitment from the SBA to $100 million. SBA debentures offer competitive terms such as being non-recourse to us, having a</w:t>
      </w:r>
    </w:p>
    <w:p>
      <w:pPr>
        <w:spacing w:after="0" w:line="295" w:lineRule="auto"/>
        <w:rPr>
          <w:sz w:val="20"/>
          <w:szCs w:val="20"/>
          <w:color w:val="auto"/>
        </w:rPr>
      </w:pPr>
      <w:r>
        <w:rPr>
          <w:rFonts w:ascii="Arial" w:cs="Arial" w:eastAsia="Arial" w:hAnsi="Arial"/>
          <w:sz w:val="16"/>
          <w:szCs w:val="16"/>
          <w:color w:val="auto"/>
        </w:rPr>
        <w:t>10-year maturity, requiring semi-annual interest payments, not requiring principal payments prior to maturity and may be prepaid at any time without penalty. The SBA debentures are secured by all the investment portfolio assets of SBIC LP and have a superior claim over such assets. As of September 30, 2010, SBIC LP had $14.5 million (including $14.0 million of temporary financing resetting in March 2011) of outstanding SBA debentures. See “Regulation” and “Recent Developments” in Management’s Discussion and Analysis of Financial Condition and Results of Operations for more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senior secured loans, mezzanine debt and equity by targeting an investment size of $10 to $50 million, on average, in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senior secured loans, mezzanine debt and, to a lesser extent, equity investments in qualifying assets such as private or thinly traded or small market-cap, public middle-market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Policy Overview —Investment selection criteria” for more information.</w:t>
      </w:r>
    </w:p>
    <w:p>
      <w:pPr>
        <w:spacing w:after="0" w:line="12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collateral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 Our SBIC subsidiary will invest in SBA eligible investments that otherwise meet the same investment criteria used by PennantPark Investment.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quickly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59" w:right="3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Mezzanine debt typically has interest-only payments in the early years, payable in cash or in-kind (“PIK”),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65</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investments generally consist of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by a principal market maker or a primary market dealer. If the board of directors has a bona fide reason to believe any such market quote does not reflect the fair value of an investment, it may independently value such investment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quality purchased within 60 days of maturity are valued at cost plus accreted discount, or minus amortized premium, which approximates value. With respect to unquoted securities, our board of directors, in consultation with our independent third party valuation firms, values each investment considering, among other measures, discounted cash flow models, comparisons of financial ratios of peer companies that are public and other factors.</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preliminary management’s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FASB, issued guidance related to Fair Value Measurements, or ASC 820, which clarifies the definition of fair value and requires companies to expand their disclosure about the use of fair value to measure assets and liabilities in interim and annual periods subsequent to initial recognition. Adoption of ASC 820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adopted this statement on October 1, 2008. This adoption did not affect the PennantPark Investment’s financial position or its results of operations for any period prior to October 1, 2008.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Level 1: Inputs that are quoted prices (unadjusted) in active markets for identical assets or liabilities, accessible by PennantPark Investment at the measurement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PennantPark Investment’s own assumptions about how market participants would price the asset or liability.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w:t>
      </w:r>
    </w:p>
    <w:p>
      <w:pPr>
        <w:spacing w:after="0" w:line="143"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Substantially, all of our investments and long-term credit facility are classified as Level 3.</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business development company,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Since inception we have invested in approximately 32 industries. We may invest in other industries if we are presented with attractive opportunities. The following is a list of the industries in which we have invested:</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Aerospace and Defense</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Environmental Services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Auto Sector</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Financial Services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Broadcasting and Entertainment</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Grocery</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Business Services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Healthcare, Education and Childcare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Buildings and Real Estate</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w w:val="89"/>
              </w:rPr>
              <w:t>Home &amp; Office Furnishings, Housewares &amp; Durable Consumer Products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Cable Television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Hotels, Motels, Inns and Gaming</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Cargo Transportation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Insurance</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Chemicals, Plastics and Rubber</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Leisure, Amusement, Motion Picture, Entertainment</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Logistics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Consumer Products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Manufacturing / Basic Industries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Containers Packaging &amp; Glass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Media</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Oil and Gas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Diversified/Conglomerate Services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Other Media</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Diversified/Conglomerate Manufacturing</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Printing and Publishing</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Telecommunications</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40"/>
              <w:spacing w:after="0"/>
              <w:rPr>
                <w:sz w:val="20"/>
                <w:szCs w:val="20"/>
                <w:color w:val="auto"/>
              </w:rPr>
            </w:pPr>
            <w:r>
              <w:rPr>
                <w:rFonts w:ascii="Arial" w:cs="Arial" w:eastAsia="Arial" w:hAnsi="Arial"/>
                <w:sz w:val="18"/>
                <w:szCs w:val="18"/>
                <w:color w:val="auto"/>
              </w:rPr>
              <w:t>Energy / Utilities</w:t>
            </w:r>
          </w:p>
        </w:tc>
        <w:tc>
          <w:tcPr>
            <w:tcW w:w="960" w:type="dxa"/>
            <w:vAlign w:val="bottom"/>
          </w:tcPr>
          <w:p>
            <w:pPr>
              <w:ind w:left="780"/>
              <w:spacing w:after="0"/>
              <w:rPr>
                <w:sz w:val="20"/>
                <w:szCs w:val="20"/>
                <w:color w:val="auto"/>
              </w:rPr>
            </w:pPr>
            <w:r>
              <w:rPr>
                <w:rFonts w:ascii="Arial" w:cs="Arial" w:eastAsia="Arial" w:hAnsi="Arial"/>
                <w:sz w:val="18"/>
                <w:szCs w:val="18"/>
                <w:color w:val="auto"/>
              </w:rPr>
              <w:t>•</w:t>
            </w:r>
          </w:p>
        </w:tc>
        <w:tc>
          <w:tcPr>
            <w:tcW w:w="5280" w:type="dxa"/>
            <w:vAlign w:val="bottom"/>
          </w:tcPr>
          <w:p>
            <w:pPr>
              <w:ind w:left="140"/>
              <w:spacing w:after="0"/>
              <w:rPr>
                <w:sz w:val="20"/>
                <w:szCs w:val="20"/>
                <w:color w:val="auto"/>
              </w:rPr>
            </w:pPr>
            <w:r>
              <w:rPr>
                <w:rFonts w:ascii="Arial" w:cs="Arial" w:eastAsia="Arial" w:hAnsi="Arial"/>
                <w:sz w:val="18"/>
                <w:szCs w:val="18"/>
                <w:color w:val="auto"/>
              </w:rPr>
              <w:t>Retail Store</w:t>
            </w:r>
          </w:p>
        </w:tc>
      </w:tr>
    </w:tbl>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September 30,</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w:t>
            </w:r>
          </w:p>
        </w:tc>
        <w:tc>
          <w:tcPr>
            <w:tcW w:w="8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Veritext Corporation</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UP Acquisition Sub Inc.</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Holding,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Da-Lite Screen Company, Inc.</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Brand Energy and Infrastructure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Services,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Instant Web, Inc.</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Saint Acquisition Corp.</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Saint Acquisition Corp.</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Sugarhouse HSP Gaming Properties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Trizetto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Rivers Pharmaceutical, L.L.C.</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Trizetto Group, Inc.</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Lyondell Chemical Co.</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69</w:t>
            </w:r>
          </w:p>
        </w:tc>
        <w:tc>
          <w:tcPr>
            <w:tcW w:w="1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4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Industry</w:t>
            </w: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Home and Office Furnishings,</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Housewares and Durable</w:t>
            </w:r>
          </w:p>
        </w:tc>
        <w:tc>
          <w:tcPr>
            <w:tcW w:w="5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8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5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September 30, 2010, our portfolio consisted of 43 companies and was invested 35% in senior secured loans, 24% in second lien secured debt, 34% in subordinated debt, and 7% in preferred and common equity investments.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2010.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2010 consolidated financial statements included elsewhere in this prospectus.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25% or more owned” which represent portfolio companies where we directly or indirectly own 25% or more of the outstanding voting securities of such portfolio company and, therefore, are presumed to be controlled by us under the 1940 Act;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5% or less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(except those of SBIC LP)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6"/>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40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8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Ownership </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Companies 25% or More Owned</w:t>
            </w:r>
          </w:p>
        </w:tc>
        <w:tc>
          <w:tcPr>
            <w:tcW w:w="400" w:type="dxa"/>
            <w:vAlign w:val="bottom"/>
            <w:shd w:val="clear" w:color="auto" w:fill="CCEEFF"/>
          </w:tcPr>
          <w:p>
            <w:pPr>
              <w:spacing w:after="0"/>
              <w:rPr>
                <w:sz w:val="12"/>
                <w:szCs w:val="12"/>
                <w:color w:val="auto"/>
              </w:rPr>
            </w:pPr>
          </w:p>
        </w:tc>
        <w:tc>
          <w:tcPr>
            <w:tcW w:w="35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20" w:type="dxa"/>
            <w:vAlign w:val="bottom"/>
            <w:gridSpan w:val="2"/>
          </w:tcPr>
          <w:p>
            <w:pPr>
              <w:spacing w:after="0"/>
              <w:rPr>
                <w:sz w:val="20"/>
                <w:szCs w:val="20"/>
                <w:color w:val="auto"/>
              </w:rPr>
            </w:pPr>
            <w:r>
              <w:rPr>
                <w:rFonts w:ascii="Arial" w:cs="Arial" w:eastAsia="Arial" w:hAnsi="Arial"/>
                <w:sz w:val="14"/>
                <w:szCs w:val="14"/>
                <w:color w:val="auto"/>
              </w:rPr>
              <w:t>SuttonPark Holdings, Inc.</w:t>
            </w:r>
          </w:p>
        </w:tc>
        <w:tc>
          <w:tcPr>
            <w:tcW w:w="40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42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1240" w:type="dxa"/>
            <w:vAlign w:val="bottom"/>
            <w:gridSpan w:val="2"/>
          </w:tcPr>
          <w:p>
            <w:pPr>
              <w:jc w:val="right"/>
              <w:ind w:right="73"/>
              <w:spacing w:after="0" w:line="189" w:lineRule="exact"/>
              <w:rPr>
                <w:sz w:val="20"/>
                <w:szCs w:val="20"/>
                <w:color w:val="auto"/>
              </w:rPr>
            </w:pPr>
            <w:r>
              <w:rPr>
                <w:rFonts w:ascii="Arial" w:cs="Arial" w:eastAsia="Arial" w:hAnsi="Arial"/>
                <w:sz w:val="13"/>
                <w:szCs w:val="13"/>
                <w:color w:val="auto"/>
              </w:rPr>
              <w:t xml:space="preserve">100% </w:t>
            </w:r>
            <w:r>
              <w:rPr>
                <w:rFonts w:ascii="Arial" w:cs="Arial" w:eastAsia="Arial" w:hAnsi="Arial"/>
                <w:sz w:val="21"/>
                <w:szCs w:val="21"/>
                <w:color w:val="auto"/>
                <w:vertAlign w:val="superscript"/>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720" w:type="dxa"/>
            <w:vAlign w:val="bottom"/>
            <w:gridSpan w:val="2"/>
          </w:tcPr>
          <w:p>
            <w:pPr>
              <w:spacing w:after="0" w:line="165" w:lineRule="exact"/>
              <w:rPr>
                <w:sz w:val="20"/>
                <w:szCs w:val="20"/>
                <w:color w:val="auto"/>
              </w:rPr>
            </w:pPr>
            <w:r>
              <w:rPr>
                <w:rFonts w:ascii="Arial" w:cs="Arial" w:eastAsia="Arial" w:hAnsi="Arial"/>
                <w:sz w:val="12"/>
                <w:szCs w:val="12"/>
                <w:color w:val="auto"/>
              </w:rPr>
              <w:t>590 Madison Avenue,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New York, NY 10022</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4"/>
                <w:szCs w:val="14"/>
                <w:color w:val="auto"/>
              </w:rPr>
              <w:t>Performance Holdings, Inc.</w:t>
            </w:r>
          </w:p>
        </w:tc>
        <w:tc>
          <w:tcPr>
            <w:tcW w:w="4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7"/>
              </w:rPr>
              <w:t>Leisure, Amusement, Motion Pictures, Entertainment</w:t>
            </w:r>
          </w:p>
        </w:tc>
        <w:tc>
          <w:tcPr>
            <w:tcW w:w="4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1240" w:type="dxa"/>
            <w:vAlign w:val="bottom"/>
            <w:gridSpan w:val="2"/>
          </w:tcPr>
          <w:p>
            <w:pPr>
              <w:jc w:val="right"/>
              <w:ind w:right="173"/>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One Performance Way</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rPr>
                <w:sz w:val="20"/>
                <w:szCs w:val="20"/>
                <w:color w:val="auto"/>
              </w:rPr>
            </w:pPr>
            <w:r>
              <w:rPr>
                <w:rFonts w:ascii="Arial" w:cs="Arial" w:eastAsia="Arial" w:hAnsi="Arial"/>
                <w:sz w:val="14"/>
                <w:szCs w:val="14"/>
                <w:color w:val="auto"/>
              </w:rPr>
              <w:t>Chapel Hill, NC 27514</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or Less Owned</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4"/>
                <w:szCs w:val="14"/>
                <w:color w:val="auto"/>
              </w:rPr>
              <w:t>Affinion Group Holdings, Inc.</w:t>
            </w:r>
          </w:p>
        </w:tc>
        <w:tc>
          <w:tcPr>
            <w:tcW w:w="4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5"/>
              </w:rPr>
              <w:t>Consumer Products</w:t>
            </w:r>
          </w:p>
        </w:tc>
        <w:tc>
          <w:tcPr>
            <w:tcW w:w="4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420" w:type="dxa"/>
            <w:vAlign w:val="bottom"/>
          </w:tcPr>
          <w:p>
            <w:pPr>
              <w:spacing w:after="0"/>
              <w:rPr>
                <w:sz w:val="17"/>
                <w:szCs w:val="17"/>
                <w:color w:val="auto"/>
              </w:rPr>
            </w:pPr>
          </w:p>
        </w:tc>
        <w:tc>
          <w:tcPr>
            <w:tcW w:w="8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AHC Mezzanine, LLC (Advanstar Inc.)</w:t>
            </w:r>
          </w:p>
        </w:tc>
        <w:tc>
          <w:tcPr>
            <w:tcW w:w="40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42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Preferred Equity</w:t>
            </w:r>
          </w:p>
        </w:tc>
        <w:tc>
          <w:tcPr>
            <w:tcW w:w="1240" w:type="dxa"/>
            <w:vAlign w:val="bottom"/>
            <w:gridSpan w:val="2"/>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350 Park Avenue</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4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4"/>
                <w:szCs w:val="14"/>
                <w:color w:val="auto"/>
              </w:rPr>
              <w:t>Airvana Networks Solution, Inc.</w:t>
            </w:r>
          </w:p>
        </w:tc>
        <w:tc>
          <w:tcPr>
            <w:tcW w:w="4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8"/>
              </w:rPr>
              <w:t>Communications</w:t>
            </w:r>
          </w:p>
        </w:tc>
        <w:tc>
          <w:tcPr>
            <w:tcW w:w="4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42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19 Alpha Road</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rPr>
                <w:sz w:val="20"/>
                <w:szCs w:val="20"/>
                <w:color w:val="auto"/>
              </w:rPr>
            </w:pPr>
            <w:r>
              <w:rPr>
                <w:rFonts w:ascii="Arial" w:cs="Arial" w:eastAsia="Arial" w:hAnsi="Arial"/>
                <w:sz w:val="14"/>
                <w:szCs w:val="14"/>
                <w:color w:val="auto"/>
              </w:rPr>
              <w:t>Chelmsford, MA 01824</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Aquilex Holdings, LLC</w:t>
            </w:r>
          </w:p>
        </w:tc>
        <w:tc>
          <w:tcPr>
            <w:tcW w:w="40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Diversified / Conglomerate Services</w:t>
            </w:r>
          </w:p>
        </w:tc>
        <w:tc>
          <w:tcPr>
            <w:tcW w:w="42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3344 Peachtree Roads NE, Suite 2100</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Atlanta, GA 30326</w:t>
            </w:r>
          </w:p>
        </w:tc>
        <w:tc>
          <w:tcPr>
            <w:tcW w:w="4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720" w:type="dxa"/>
            <w:vAlign w:val="bottom"/>
            <w:gridSpan w:val="2"/>
          </w:tcPr>
          <w:p>
            <w:pPr>
              <w:spacing w:after="0"/>
              <w:rPr>
                <w:sz w:val="20"/>
                <w:szCs w:val="20"/>
                <w:color w:val="auto"/>
              </w:rPr>
            </w:pPr>
            <w:r>
              <w:rPr>
                <w:rFonts w:ascii="Arial" w:cs="Arial" w:eastAsia="Arial" w:hAnsi="Arial"/>
                <w:sz w:val="14"/>
                <w:szCs w:val="14"/>
                <w:color w:val="auto"/>
              </w:rPr>
              <w:t>Brand Energy and Infrastructure Services, Inc.</w:t>
            </w:r>
          </w:p>
        </w:tc>
        <w:tc>
          <w:tcPr>
            <w:tcW w:w="40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0"/>
              </w:rPr>
              <w:t>Energy / Utilities</w:t>
            </w:r>
          </w:p>
        </w:tc>
        <w:tc>
          <w:tcPr>
            <w:tcW w:w="4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42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2502 South Main Street</w:t>
            </w:r>
          </w:p>
        </w:tc>
        <w:tc>
          <w:tcPr>
            <w:tcW w:w="4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rPr>
                <w:sz w:val="20"/>
                <w:szCs w:val="20"/>
                <w:color w:val="auto"/>
              </w:rPr>
            </w:pPr>
            <w:r>
              <w:rPr>
                <w:rFonts w:ascii="Arial" w:cs="Arial" w:eastAsia="Arial" w:hAnsi="Arial"/>
                <w:sz w:val="14"/>
                <w:szCs w:val="14"/>
                <w:color w:val="auto"/>
              </w:rPr>
              <w:t>Kennesaw, GA 30144</w:t>
            </w:r>
          </w:p>
        </w:tc>
        <w:tc>
          <w:tcPr>
            <w:tcW w:w="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Birch Communications, Inc.</w:t>
            </w:r>
          </w:p>
        </w:tc>
        <w:tc>
          <w:tcPr>
            <w:tcW w:w="40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Telecommunications</w:t>
            </w:r>
          </w:p>
        </w:tc>
        <w:tc>
          <w:tcPr>
            <w:tcW w:w="42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4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3060 Peachtree Road NW, Suite 1065</w:t>
            </w:r>
          </w:p>
        </w:tc>
        <w:tc>
          <w:tcPr>
            <w:tcW w:w="4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Atlanta, GA 30305</w:t>
            </w:r>
          </w:p>
        </w:tc>
        <w:tc>
          <w:tcPr>
            <w:tcW w:w="4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80" w:type="dxa"/>
            <w:vAlign w:val="bottom"/>
          </w:tcPr>
          <w:p>
            <w:pPr>
              <w:spacing w:after="0"/>
              <w:rPr>
                <w:sz w:val="15"/>
                <w:szCs w:val="15"/>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380" w:type="dxa"/>
            <w:vAlign w:val="bottom"/>
          </w:tcPr>
          <w:p>
            <w:pPr>
              <w:spacing w:after="0"/>
              <w:rPr>
                <w:sz w:val="15"/>
                <w:szCs w:val="15"/>
                <w:color w:val="auto"/>
              </w:rPr>
            </w:pPr>
          </w:p>
        </w:tc>
        <w:tc>
          <w:tcPr>
            <w:tcW w:w="8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6"/>
              </w:rPr>
              <w:t xml:space="preserve">Ownership </w:t>
            </w:r>
            <w:r>
              <w:rPr>
                <w:rFonts w:ascii="Arial" w:cs="Arial" w:eastAsia="Arial" w:hAnsi="Arial"/>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131"/>
        </w:trPr>
        <w:tc>
          <w:tcPr>
            <w:tcW w:w="3860" w:type="dxa"/>
            <w:vAlign w:val="bottom"/>
            <w:gridSpan w:val="2"/>
          </w:tcPr>
          <w:p>
            <w:pPr>
              <w:spacing w:after="0" w:line="131" w:lineRule="exact"/>
              <w:rPr>
                <w:sz w:val="20"/>
                <w:szCs w:val="20"/>
                <w:color w:val="auto"/>
              </w:rPr>
            </w:pPr>
            <w:r>
              <w:rPr>
                <w:rFonts w:ascii="Arial" w:cs="Arial" w:eastAsia="Arial" w:hAnsi="Arial"/>
                <w:sz w:val="14"/>
                <w:szCs w:val="14"/>
                <w:color w:val="auto"/>
              </w:rPr>
              <w:t>CEA Autumn Management, L.L.C.</w:t>
            </w:r>
          </w:p>
        </w:tc>
        <w:tc>
          <w:tcPr>
            <w:tcW w:w="380" w:type="dxa"/>
            <w:vAlign w:val="bottom"/>
          </w:tcPr>
          <w:p>
            <w:pPr>
              <w:spacing w:after="0"/>
              <w:rPr>
                <w:sz w:val="11"/>
                <w:szCs w:val="11"/>
                <w:color w:val="auto"/>
              </w:rPr>
            </w:pPr>
          </w:p>
        </w:tc>
        <w:tc>
          <w:tcPr>
            <w:tcW w:w="3580" w:type="dxa"/>
            <w:vAlign w:val="bottom"/>
          </w:tcPr>
          <w:p>
            <w:pPr>
              <w:jc w:val="center"/>
              <w:spacing w:after="0" w:line="131" w:lineRule="exact"/>
              <w:rPr>
                <w:sz w:val="20"/>
                <w:szCs w:val="20"/>
                <w:color w:val="auto"/>
              </w:rPr>
            </w:pPr>
            <w:r>
              <w:rPr>
                <w:rFonts w:ascii="Arial" w:cs="Arial" w:eastAsia="Arial" w:hAnsi="Arial"/>
                <w:sz w:val="14"/>
                <w:szCs w:val="14"/>
                <w:color w:val="auto"/>
                <w:w w:val="86"/>
              </w:rPr>
              <w:t>Broadcasting and Entertainment</w:t>
            </w:r>
          </w:p>
        </w:tc>
        <w:tc>
          <w:tcPr>
            <w:tcW w:w="400" w:type="dxa"/>
            <w:vAlign w:val="bottom"/>
          </w:tcPr>
          <w:p>
            <w:pPr>
              <w:spacing w:after="0"/>
              <w:rPr>
                <w:sz w:val="11"/>
                <w:szCs w:val="11"/>
                <w:color w:val="auto"/>
              </w:rPr>
            </w:pPr>
          </w:p>
        </w:tc>
        <w:tc>
          <w:tcPr>
            <w:tcW w:w="1980" w:type="dxa"/>
            <w:vAlign w:val="bottom"/>
          </w:tcPr>
          <w:p>
            <w:pPr>
              <w:jc w:val="center"/>
              <w:spacing w:after="0" w:line="131" w:lineRule="exact"/>
              <w:rPr>
                <w:sz w:val="20"/>
                <w:szCs w:val="20"/>
                <w:color w:val="auto"/>
              </w:rPr>
            </w:pPr>
            <w:r>
              <w:rPr>
                <w:rFonts w:ascii="Arial" w:cs="Arial" w:eastAsia="Arial" w:hAnsi="Arial"/>
                <w:sz w:val="14"/>
                <w:szCs w:val="14"/>
                <w:color w:val="auto"/>
                <w:w w:val="90"/>
              </w:rPr>
              <w:t>Common Equity</w:t>
            </w:r>
          </w:p>
        </w:tc>
        <w:tc>
          <w:tcPr>
            <w:tcW w:w="380" w:type="dxa"/>
            <w:vAlign w:val="bottom"/>
          </w:tcPr>
          <w:p>
            <w:pPr>
              <w:spacing w:after="0"/>
              <w:rPr>
                <w:sz w:val="11"/>
                <w:szCs w:val="11"/>
                <w:color w:val="auto"/>
              </w:rPr>
            </w:pPr>
          </w:p>
        </w:tc>
        <w:tc>
          <w:tcPr>
            <w:tcW w:w="840" w:type="dxa"/>
            <w:vAlign w:val="bottom"/>
          </w:tcPr>
          <w:p>
            <w:pPr>
              <w:jc w:val="right"/>
              <w:ind w:right="213"/>
              <w:spacing w:after="0" w:line="131"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54 Thompson St.</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New York, NY 10012</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CEVA Group PLC</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Logistics</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St. George Street</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London W1s 1fs</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Chester Downs and Marina, LLC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8"/>
              </w:rPr>
              <w:t>Hotels, Motels, Inns and Gaming</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777 Harrah’s Blvd</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Chester, PA 19103</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60" w:type="dxa"/>
            <w:vAlign w:val="bottom"/>
            <w:gridSpan w:val="2"/>
          </w:tcPr>
          <w:p>
            <w:pPr>
              <w:spacing w:after="0"/>
              <w:rPr>
                <w:sz w:val="20"/>
                <w:szCs w:val="20"/>
                <w:color w:val="auto"/>
              </w:rPr>
            </w:pPr>
            <w:r>
              <w:rPr>
                <w:rFonts w:ascii="Arial" w:cs="Arial" w:eastAsia="Arial" w:hAnsi="Arial"/>
                <w:sz w:val="14"/>
                <w:szCs w:val="14"/>
                <w:color w:val="auto"/>
              </w:rPr>
              <w:t>Columbus International,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8"/>
              </w:rPr>
              <w:t>Communications</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Suite 205-207 Dowell House Cr.</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Roebuck &amp; Palmetto Sts.</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Bridgetown</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Barbados, West Indies</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Consolidated Foundries, Inc.</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122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4200 Valley Blvd.</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Pomona, CA 91766</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CT Technologies Intermediate Holdings,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3"/>
              </w:rPr>
              <w:t>Business Services</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1220" w:type="dxa"/>
            <w:vAlign w:val="bottom"/>
            <w:gridSpan w:val="2"/>
          </w:tcPr>
          <w:p>
            <w:pPr>
              <w:jc w:val="right"/>
              <w:ind w:right="21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875 North Michigan Avenue</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Chicago, IL 60601</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Da-Lite Screen Company, Inc.</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 Furnishings, Housewares and</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3100 North Detroit Street, P.O. Box 137</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Durable Consumer Products</w:t>
            </w: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Warsaw, IN 46581</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7"/>
              </w:rPr>
              <w:t>Environmental Services</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1220" w:type="dxa"/>
            <w:vAlign w:val="bottom"/>
            <w:gridSpan w:val="2"/>
          </w:tcPr>
          <w:p>
            <w:pPr>
              <w:jc w:val="center"/>
              <w:ind w:left="316"/>
              <w:spacing w:after="0" w:line="205" w:lineRule="exact"/>
              <w:rPr>
                <w:sz w:val="20"/>
                <w:szCs w:val="20"/>
                <w:color w:val="auto"/>
              </w:rPr>
            </w:pPr>
            <w:r>
              <w:rPr>
                <w:rFonts w:ascii="Arial" w:cs="Arial" w:eastAsia="Arial" w:hAnsi="Arial"/>
                <w:sz w:val="23"/>
                <w:szCs w:val="23"/>
                <w:color w:val="auto"/>
                <w:w w:val="92"/>
                <w:vertAlign w:val="subscript"/>
              </w:rPr>
              <w:t>4.9%</w:t>
            </w:r>
            <w:r>
              <w:rPr>
                <w:rFonts w:ascii="Arial" w:cs="Arial" w:eastAsia="Arial" w:hAnsi="Arial"/>
                <w:sz w:val="10"/>
                <w:szCs w:val="10"/>
                <w:color w:val="auto"/>
                <w:w w:val="92"/>
              </w:rPr>
              <w:t>(2), (3)</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11220 Asset Loop, Suite 201</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6"/>
              </w:rPr>
              <w:t>Second Lien Secured Debt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Manassas, VA 20109</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4"/>
              </w:rPr>
              <w:t>Warrants</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380" w:type="dxa"/>
            <w:vAlign w:val="bottom"/>
            <w:shd w:val="clear" w:color="auto" w:fill="CCEEFF"/>
          </w:tcPr>
          <w:p>
            <w:pPr>
              <w:spacing w:after="0"/>
              <w:rPr>
                <w:sz w:val="10"/>
                <w:szCs w:val="10"/>
                <w:color w:val="auto"/>
              </w:rPr>
            </w:pPr>
          </w:p>
        </w:tc>
        <w:tc>
          <w:tcPr>
            <w:tcW w:w="358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Grocery</w:t>
            </w:r>
          </w:p>
        </w:tc>
        <w:tc>
          <w:tcPr>
            <w:tcW w:w="400" w:type="dxa"/>
            <w:vAlign w:val="bottom"/>
            <w:shd w:val="clear" w:color="auto" w:fill="CCEEFF"/>
          </w:tcPr>
          <w:p>
            <w:pPr>
              <w:spacing w:after="0"/>
              <w:rPr>
                <w:sz w:val="10"/>
                <w:szCs w:val="10"/>
                <w:color w:val="auto"/>
              </w:rPr>
            </w:pPr>
          </w:p>
        </w:tc>
        <w:tc>
          <w:tcPr>
            <w:tcW w:w="198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First Lien Secured Debt</w:t>
            </w: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13"/>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4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2284 12</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Avenue</w:t>
            </w:r>
          </w:p>
        </w:tc>
        <w:tc>
          <w:tcPr>
            <w:tcW w:w="38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10027</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Generics International (U.S.),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7"/>
              </w:rPr>
              <w:t>Healthcare, Education and Childcare</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130 Vintage Drive</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Huntsville, AL 35811</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Greatwide Logistics Services, L.L.C.</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122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12404 Park Central Dr., Ste. 300s</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Dallas, TX 75251-1803</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Hanley-Wood, L.L.C.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8"/>
              </w:rPr>
              <w:t>Other Media</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One Thomas Circle, NW St 600</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Washington, DC 20005</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i2 Holdings Ltd.</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122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Visual Space Capital Park</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Fulbourn Cambrideshire, CB21 5XH</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9"/>
              </w:rPr>
              <w:t>Printing and Publishing</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7951 Powers Boulevard</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Chanhassen, MN 55317</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380" w:type="dxa"/>
            <w:vAlign w:val="bottom"/>
            <w:shd w:val="clear" w:color="auto" w:fill="CCEEFF"/>
          </w:tcPr>
          <w:p>
            <w:pPr>
              <w:spacing w:after="0"/>
              <w:rPr>
                <w:sz w:val="11"/>
                <w:szCs w:val="11"/>
                <w:color w:val="auto"/>
              </w:rPr>
            </w:pPr>
          </w:p>
        </w:tc>
        <w:tc>
          <w:tcPr>
            <w:tcW w:w="35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 Furnishings, Housewares and</w:t>
            </w:r>
          </w:p>
        </w:tc>
        <w:tc>
          <w:tcPr>
            <w:tcW w:w="400" w:type="dxa"/>
            <w:vAlign w:val="bottom"/>
            <w:shd w:val="clear" w:color="auto" w:fill="CCEEFF"/>
          </w:tcPr>
          <w:p>
            <w:pPr>
              <w:spacing w:after="0"/>
              <w:rPr>
                <w:sz w:val="11"/>
                <w:szCs w:val="11"/>
                <w:color w:val="auto"/>
              </w:rPr>
            </w:pP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 S. Flagler Drive, Suite 1100</w:t>
            </w:r>
          </w:p>
        </w:tc>
        <w:tc>
          <w:tcPr>
            <w:tcW w:w="380" w:type="dxa"/>
            <w:vAlign w:val="bottom"/>
            <w:shd w:val="clear" w:color="auto" w:fill="CCEEFF"/>
          </w:tcPr>
          <w:p>
            <w:pPr>
              <w:spacing w:after="0"/>
              <w:rPr>
                <w:sz w:val="12"/>
                <w:szCs w:val="12"/>
                <w:color w:val="auto"/>
              </w:rPr>
            </w:pPr>
          </w:p>
        </w:tc>
        <w:tc>
          <w:tcPr>
            <w:tcW w:w="3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Durable Consumer Products</w:t>
            </w:r>
          </w:p>
        </w:tc>
        <w:tc>
          <w:tcPr>
            <w:tcW w:w="4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West Palm Beach, FL 33401</w:t>
            </w:r>
          </w:p>
        </w:tc>
        <w:tc>
          <w:tcPr>
            <w:tcW w:w="38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38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86"/>
              </w:rPr>
              <w:t>Chemicals, Plastics and Rubber</w:t>
            </w:r>
          </w:p>
        </w:tc>
        <w:tc>
          <w:tcPr>
            <w:tcW w:w="4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8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Suite 290</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2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3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3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6"/>
              </w:rPr>
              <w:t xml:space="preserve">Ownership </w:t>
            </w:r>
            <w:r>
              <w:rPr>
                <w:rFonts w:ascii="Arial" w:cs="Arial" w:eastAsia="Arial" w:hAnsi="Arial"/>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2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Kadmon Holdings, L.L.C.</w:t>
            </w:r>
          </w:p>
        </w:tc>
        <w:tc>
          <w:tcPr>
            <w:tcW w:w="320" w:type="dxa"/>
            <w:vAlign w:val="bottom"/>
            <w:shd w:val="clear" w:color="auto" w:fill="CCEEFF"/>
          </w:tcPr>
          <w:p>
            <w:pPr>
              <w:spacing w:after="0"/>
              <w:rPr>
                <w:sz w:val="11"/>
                <w:szCs w:val="11"/>
                <w:color w:val="auto"/>
              </w:rPr>
            </w:pPr>
          </w:p>
        </w:tc>
        <w:tc>
          <w:tcPr>
            <w:tcW w:w="3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Healthcare, Education and Childcare</w:t>
            </w:r>
          </w:p>
        </w:tc>
        <w:tc>
          <w:tcPr>
            <w:tcW w:w="320" w:type="dxa"/>
            <w:vAlign w:val="bottom"/>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32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213"/>
              <w:spacing w:after="0" w:line="131"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Alexandria Center for Life Sciences</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0"/>
              </w:rPr>
              <w:t>Common Equity</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450 East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940" w:type="dxa"/>
            <w:vAlign w:val="bottom"/>
            <w:gridSpan w:val="2"/>
          </w:tcPr>
          <w:p>
            <w:pPr>
              <w:spacing w:after="0"/>
              <w:rPr>
                <w:sz w:val="20"/>
                <w:szCs w:val="20"/>
                <w:color w:val="auto"/>
              </w:rPr>
            </w:pPr>
            <w:r>
              <w:rPr>
                <w:rFonts w:ascii="Arial" w:cs="Arial" w:eastAsia="Arial" w:hAnsi="Arial"/>
                <w:sz w:val="14"/>
                <w:szCs w:val="14"/>
                <w:color w:val="auto"/>
              </w:rPr>
              <w:t>Learning Care Group (US) Inc.</w:t>
            </w:r>
          </w:p>
        </w:tc>
        <w:tc>
          <w:tcPr>
            <w:tcW w:w="320" w:type="dxa"/>
            <w:vAlign w:val="bottom"/>
          </w:tcPr>
          <w:p>
            <w:pPr>
              <w:spacing w:after="0"/>
              <w:rPr>
                <w:sz w:val="21"/>
                <w:szCs w:val="21"/>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6"/>
              </w:rPr>
              <w:t>Education</w:t>
            </w:r>
          </w:p>
        </w:tc>
        <w:tc>
          <w:tcPr>
            <w:tcW w:w="3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20" w:type="dxa"/>
            <w:vAlign w:val="bottom"/>
          </w:tcPr>
          <w:p>
            <w:pPr>
              <w:spacing w:after="0"/>
              <w:rPr>
                <w:sz w:val="21"/>
                <w:szCs w:val="21"/>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21333 Haggerty Road, Suite 300</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Novi, MI 48375</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4"/>
              </w:rPr>
              <w:t>Warrants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Magnum Hunter Resources Corporation</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Common Equity</w:t>
            </w:r>
          </w:p>
        </w:tc>
        <w:tc>
          <w:tcPr>
            <w:tcW w:w="116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 Post Oak Blvd., Suite 910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Mattress Holding Corp.</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7"/>
              </w:rPr>
              <w:t>Home and Office Furnishings, Housewares and</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5815 Gulf Freeway</w:t>
            </w:r>
          </w:p>
        </w:tc>
        <w:tc>
          <w:tcPr>
            <w:tcW w:w="320" w:type="dxa"/>
            <w:vAlign w:val="bottom"/>
          </w:tcPr>
          <w:p>
            <w:pPr>
              <w:spacing w:after="0"/>
              <w:rPr>
                <w:sz w:val="12"/>
                <w:szCs w:val="12"/>
                <w:color w:val="auto"/>
              </w:rPr>
            </w:pPr>
          </w:p>
        </w:tc>
        <w:tc>
          <w:tcPr>
            <w:tcW w:w="3660" w:type="dxa"/>
            <w:vAlign w:val="bottom"/>
          </w:tcPr>
          <w:p>
            <w:pPr>
              <w:jc w:val="center"/>
              <w:spacing w:after="0" w:line="149" w:lineRule="exact"/>
              <w:rPr>
                <w:sz w:val="20"/>
                <w:szCs w:val="20"/>
                <w:color w:val="auto"/>
              </w:rPr>
            </w:pPr>
            <w:r>
              <w:rPr>
                <w:rFonts w:ascii="Arial" w:cs="Arial" w:eastAsia="Arial" w:hAnsi="Arial"/>
                <w:sz w:val="14"/>
                <w:szCs w:val="14"/>
                <w:color w:val="auto"/>
                <w:w w:val="87"/>
              </w:rPr>
              <w:t>Durable Consumer Products</w:t>
            </w: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Houston, TX 77023</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MedQuist, Inc.</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1000 Bishops Gate Blvd., Suite 300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Mt. Laurel, NJ 08054</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Mohegan Tribal Gaming Authority</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7"/>
              </w:rPr>
              <w:t>Hotels, Motels, Inns and Gaming</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3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One Mohegan Sun Boulevard</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Uncasville, CT 06382</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9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320" w:type="dxa"/>
            <w:vAlign w:val="bottom"/>
            <w:shd w:val="clear" w:color="auto" w:fill="CCEEFF"/>
          </w:tcPr>
          <w:p>
            <w:pPr>
              <w:spacing w:after="0"/>
              <w:rPr>
                <w:sz w:val="10"/>
                <w:szCs w:val="10"/>
                <w:color w:val="auto"/>
              </w:rPr>
            </w:pPr>
          </w:p>
        </w:tc>
        <w:tc>
          <w:tcPr>
            <w:tcW w:w="366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0"/>
              </w:rPr>
              <w:t>Other Media</w:t>
            </w:r>
          </w:p>
        </w:tc>
        <w:tc>
          <w:tcPr>
            <w:tcW w:w="32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88"/>
              </w:rPr>
              <w:t>First Lien Secured Debt</w:t>
            </w: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313"/>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Questex Media Group LLC</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0"/>
              </w:rPr>
              <w:t>Other Media</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6"/>
              </w:rPr>
              <w:t>Second Lien Secured Debt</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Realogy Corp.</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Buildings and Real Estate</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Drive</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Subordinated Debt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spacing w:after="0"/>
              <w:rPr>
                <w:sz w:val="20"/>
                <w:szCs w:val="20"/>
                <w:color w:val="auto"/>
              </w:rPr>
            </w:pPr>
            <w:r>
              <w:rPr>
                <w:rFonts w:ascii="Arial" w:cs="Arial" w:eastAsia="Arial" w:hAnsi="Arial"/>
                <w:sz w:val="14"/>
                <w:szCs w:val="14"/>
                <w:color w:val="auto"/>
              </w:rPr>
              <w:t>Saint Acquisition Corp.</w:t>
            </w:r>
          </w:p>
        </w:tc>
        <w:tc>
          <w:tcPr>
            <w:tcW w:w="3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6"/>
              </w:rPr>
              <w:t>Transportation</w:t>
            </w:r>
          </w:p>
        </w:tc>
        <w:tc>
          <w:tcPr>
            <w:tcW w:w="3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32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940" w:type="dxa"/>
            <w:vAlign w:val="bottom"/>
            <w:gridSpan w:val="2"/>
          </w:tcPr>
          <w:p>
            <w:pPr>
              <w:spacing w:after="0" w:line="165" w:lineRule="exact"/>
              <w:rPr>
                <w:sz w:val="20"/>
                <w:szCs w:val="20"/>
                <w:color w:val="auto"/>
              </w:rPr>
            </w:pPr>
            <w:r>
              <w:rPr>
                <w:rFonts w:ascii="Arial" w:cs="Arial" w:eastAsia="Arial" w:hAnsi="Arial"/>
                <w:sz w:val="12"/>
                <w:szCs w:val="12"/>
                <w:color w:val="auto"/>
              </w:rPr>
              <w:t>2200 South 75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Avenue</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Phoenix, AZ 85043</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1613 N. Harrison Parkway, Suite 200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Sunrise, FL 33323</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Specialized Technology Resources, Inc.</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6"/>
              </w:rPr>
              <w:t>Chemical, Plastics and Rubber</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6"/>
              </w:rPr>
              <w:t>Second Lien Secured Debt</w:t>
            </w:r>
          </w:p>
        </w:tc>
        <w:tc>
          <w:tcPr>
            <w:tcW w:w="320" w:type="dxa"/>
            <w:vAlign w:val="bottom"/>
          </w:tcPr>
          <w:p>
            <w:pPr>
              <w:spacing w:after="0"/>
              <w:rPr>
                <w:sz w:val="17"/>
                <w:szCs w:val="17"/>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10 Water Street</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Enfield, CT 06082</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Sugarhouse HSP Gaming Prop.</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 Gaming</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First Lien Secured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1080 N. Delaware Avenue</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Philadelphia, PA 19125</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gridSpan w:val="2"/>
          </w:tcPr>
          <w:p>
            <w:pPr>
              <w:spacing w:after="0"/>
              <w:rPr>
                <w:sz w:val="20"/>
                <w:szCs w:val="20"/>
                <w:color w:val="auto"/>
              </w:rPr>
            </w:pPr>
            <w:r>
              <w:rPr>
                <w:rFonts w:ascii="Arial" w:cs="Arial" w:eastAsia="Arial" w:hAnsi="Arial"/>
                <w:sz w:val="14"/>
                <w:szCs w:val="14"/>
                <w:color w:val="auto"/>
              </w:rPr>
              <w:t>TRAK Acquisition Corp.</w:t>
            </w:r>
          </w:p>
        </w:tc>
        <w:tc>
          <w:tcPr>
            <w:tcW w:w="32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3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5"/>
        </w:trPr>
        <w:tc>
          <w:tcPr>
            <w:tcW w:w="3940" w:type="dxa"/>
            <w:vAlign w:val="bottom"/>
            <w:gridSpan w:val="2"/>
          </w:tcPr>
          <w:p>
            <w:pPr>
              <w:spacing w:after="0" w:line="165" w:lineRule="exact"/>
              <w:rPr>
                <w:sz w:val="20"/>
                <w:szCs w:val="20"/>
                <w:color w:val="auto"/>
              </w:rPr>
            </w:pPr>
            <w:r>
              <w:rPr>
                <w:rFonts w:ascii="Arial" w:cs="Arial" w:eastAsia="Arial" w:hAnsi="Arial"/>
                <w:sz w:val="12"/>
                <w:szCs w:val="12"/>
                <w:color w:val="auto"/>
              </w:rPr>
              <w:t>1001 Brickell Bay Drive, 27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Miami, FL 33131</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4"/>
              </w:rPr>
              <w:t>Warrants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TransFirst Holdings, Inc.</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Financial Services</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Second Lien Secured Debt</w:t>
            </w: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5950 Berkshire Lane, Suite 1100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Dallas, TX 75225</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gridSpan w:val="2"/>
          </w:tcPr>
          <w:p>
            <w:pPr>
              <w:spacing w:after="0"/>
              <w:rPr>
                <w:sz w:val="20"/>
                <w:szCs w:val="20"/>
                <w:color w:val="auto"/>
              </w:rPr>
            </w:pPr>
            <w:r>
              <w:rPr>
                <w:rFonts w:ascii="Arial" w:cs="Arial" w:eastAsia="Arial" w:hAnsi="Arial"/>
                <w:sz w:val="14"/>
                <w:szCs w:val="14"/>
                <w:color w:val="auto"/>
              </w:rPr>
              <w:t>Trizetto Group, Inc.</w:t>
            </w:r>
          </w:p>
        </w:tc>
        <w:tc>
          <w:tcPr>
            <w:tcW w:w="3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87"/>
              </w:rPr>
              <w:t>Insurance</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87"/>
              </w:rPr>
              <w:t>Subordinated Debt</w:t>
            </w: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567 San Nicolas Drive, Suite 360</w:t>
            </w: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40" w:type="dxa"/>
            <w:vAlign w:val="bottom"/>
            <w:gridSpan w:val="2"/>
          </w:tcPr>
          <w:p>
            <w:pPr>
              <w:spacing w:after="0"/>
              <w:rPr>
                <w:sz w:val="20"/>
                <w:szCs w:val="20"/>
                <w:color w:val="auto"/>
              </w:rPr>
            </w:pPr>
            <w:r>
              <w:rPr>
                <w:rFonts w:ascii="Arial" w:cs="Arial" w:eastAsia="Arial" w:hAnsi="Arial"/>
                <w:sz w:val="14"/>
                <w:szCs w:val="14"/>
                <w:color w:val="auto"/>
              </w:rPr>
              <w:t>Newport Beach, CA 92660</w:t>
            </w: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0"/>
              </w:rPr>
              <w:t>Common Equity</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9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UP Acquisition Sub Inc.</w:t>
            </w:r>
          </w:p>
        </w:tc>
        <w:tc>
          <w:tcPr>
            <w:tcW w:w="320" w:type="dxa"/>
            <w:vAlign w:val="bottom"/>
            <w:shd w:val="clear" w:color="auto" w:fill="CCEEFF"/>
          </w:tcPr>
          <w:p>
            <w:pPr>
              <w:spacing w:after="0"/>
              <w:rPr>
                <w:sz w:val="11"/>
                <w:szCs w:val="11"/>
                <w:color w:val="auto"/>
              </w:rPr>
            </w:pPr>
          </w:p>
        </w:tc>
        <w:tc>
          <w:tcPr>
            <w:tcW w:w="3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Subordinated Debt</w:t>
            </w:r>
          </w:p>
        </w:tc>
        <w:tc>
          <w:tcPr>
            <w:tcW w:w="116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1515 Arapahoe Street</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Preferred Equity</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Tower One, Suite 1500</w:t>
            </w:r>
          </w:p>
        </w:tc>
        <w:tc>
          <w:tcPr>
            <w:tcW w:w="32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Common Equity</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3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34"/>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2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3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34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6"/>
              </w:rPr>
              <w:t xml:space="preserve">Ownership </w:t>
            </w:r>
            <w:r>
              <w:rPr>
                <w:rFonts w:ascii="Arial" w:cs="Arial" w:eastAsia="Arial" w:hAnsi="Arial"/>
                <w:sz w:val="20"/>
                <w:szCs w:val="20"/>
                <w:b w:val="1"/>
                <w:bCs w:val="1"/>
                <w:color w:val="auto"/>
                <w:w w:val="96"/>
                <w:vertAlign w:val="superscript"/>
              </w:rPr>
              <w:t>(1)</w:t>
            </w:r>
          </w:p>
        </w:tc>
      </w:tr>
      <w:tr>
        <w:trPr>
          <w:trHeight w:val="115"/>
        </w:trPr>
        <w:tc>
          <w:tcPr>
            <w:tcW w:w="20" w:type="dxa"/>
            <w:vAlign w:val="bottom"/>
          </w:tcPr>
          <w:p>
            <w:pPr>
              <w:spacing w:after="0"/>
              <w:rPr>
                <w:sz w:val="10"/>
                <w:szCs w:val="10"/>
                <w:color w:val="auto"/>
              </w:rPr>
            </w:pPr>
          </w:p>
        </w:tc>
        <w:tc>
          <w:tcPr>
            <w:tcW w:w="40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Veritext Corporation</w:t>
            </w:r>
          </w:p>
        </w:tc>
        <w:tc>
          <w:tcPr>
            <w:tcW w:w="320" w:type="dxa"/>
            <w:vAlign w:val="bottom"/>
            <w:shd w:val="clear" w:color="auto" w:fill="CCEEFF"/>
          </w:tcPr>
          <w:p>
            <w:pPr>
              <w:spacing w:after="0"/>
              <w:rPr>
                <w:sz w:val="10"/>
                <w:szCs w:val="10"/>
                <w:color w:val="auto"/>
              </w:rPr>
            </w:pPr>
          </w:p>
        </w:tc>
        <w:tc>
          <w:tcPr>
            <w:tcW w:w="36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Business Services</w:t>
            </w:r>
          </w:p>
        </w:tc>
        <w:tc>
          <w:tcPr>
            <w:tcW w:w="320" w:type="dxa"/>
            <w:vAlign w:val="bottom"/>
            <w:shd w:val="clear" w:color="auto" w:fill="CCEEFF"/>
          </w:tcPr>
          <w:p>
            <w:pPr>
              <w:spacing w:after="0"/>
              <w:rPr>
                <w:sz w:val="10"/>
                <w:szCs w:val="10"/>
                <w:color w:val="auto"/>
              </w:rPr>
            </w:pPr>
          </w:p>
        </w:tc>
        <w:tc>
          <w:tcPr>
            <w:tcW w:w="19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Subordinated Debt</w:t>
            </w:r>
          </w:p>
        </w:tc>
        <w:tc>
          <w:tcPr>
            <w:tcW w:w="340" w:type="dxa"/>
            <w:vAlign w:val="bottom"/>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215"/>
              <w:spacing w:after="0" w:line="115" w:lineRule="exact"/>
              <w:rPr>
                <w:sz w:val="20"/>
                <w:szCs w:val="20"/>
                <w:color w:val="auto"/>
              </w:rPr>
            </w:pPr>
            <w:r>
              <w:rPr>
                <w:rFonts w:ascii="Arial" w:cs="Arial" w:eastAsia="Arial" w:hAnsi="Arial"/>
                <w:sz w:val="12"/>
                <w:szCs w:val="12"/>
                <w:color w:val="auto"/>
              </w:rPr>
              <w:t>3.4%</w:t>
            </w:r>
          </w:p>
        </w:tc>
      </w:tr>
      <w:tr>
        <w:trPr>
          <w:trHeight w:val="165"/>
        </w:trPr>
        <w:tc>
          <w:tcPr>
            <w:tcW w:w="20" w:type="dxa"/>
            <w:vAlign w:val="bottom"/>
          </w:tcPr>
          <w:p>
            <w:pPr>
              <w:spacing w:after="0"/>
              <w:rPr>
                <w:sz w:val="14"/>
                <w:szCs w:val="14"/>
                <w:color w:val="auto"/>
              </w:rPr>
            </w:pPr>
          </w:p>
        </w:tc>
        <w:tc>
          <w:tcPr>
            <w:tcW w:w="400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50 Public Square,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2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Common Equity</w:t>
            </w: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4"/>
                <w:szCs w:val="14"/>
                <w:color w:val="auto"/>
              </w:rPr>
              <w:t>Cleveland, Ohio 44113</w:t>
            </w:r>
          </w:p>
        </w:tc>
        <w:tc>
          <w:tcPr>
            <w:tcW w:w="32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6"/>
        </w:trPr>
        <w:tc>
          <w:tcPr>
            <w:tcW w:w="4020" w:type="dxa"/>
            <w:vAlign w:val="bottom"/>
            <w:gridSpan w:val="2"/>
          </w:tcPr>
          <w:p>
            <w:pPr>
              <w:spacing w:after="0"/>
              <w:rPr>
                <w:sz w:val="20"/>
                <w:szCs w:val="20"/>
                <w:color w:val="auto"/>
              </w:rPr>
            </w:pPr>
            <w:r>
              <w:rPr>
                <w:rFonts w:ascii="Arial" w:cs="Arial" w:eastAsia="Arial" w:hAnsi="Arial"/>
                <w:sz w:val="14"/>
                <w:szCs w:val="14"/>
                <w:color w:val="auto"/>
              </w:rPr>
              <w:t>Yonkers Racing Corp.</w:t>
            </w:r>
          </w:p>
        </w:tc>
        <w:tc>
          <w:tcPr>
            <w:tcW w:w="32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88"/>
              </w:rPr>
              <w:t>Hotels, Motels, Inns and Gaming</w:t>
            </w:r>
          </w:p>
        </w:tc>
        <w:tc>
          <w:tcPr>
            <w:tcW w:w="32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8"/>
              </w:rPr>
              <w:t>First Lien Secured Debt</w:t>
            </w:r>
          </w:p>
        </w:tc>
        <w:tc>
          <w:tcPr>
            <w:tcW w:w="340" w:type="dxa"/>
            <w:vAlign w:val="bottom"/>
          </w:tcPr>
          <w:p>
            <w:pPr>
              <w:spacing w:after="0"/>
              <w:rPr>
                <w:sz w:val="21"/>
                <w:szCs w:val="21"/>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color w:val="auto"/>
              </w:rPr>
              <w:t>—</w:t>
            </w: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810 Yonkers Avenue</w:t>
            </w:r>
          </w:p>
        </w:tc>
        <w:tc>
          <w:tcPr>
            <w:tcW w:w="3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New York, NY 10704</w:t>
            </w:r>
          </w:p>
        </w:tc>
        <w:tc>
          <w:tcPr>
            <w:tcW w:w="3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ind w:left="340" w:hanging="332"/>
        <w:spacing w:after="0" w:line="221"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7.8%.</w:t>
      </w: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Indicates that we are a member of a portfolio company’s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2010, there were no investments held that represented greater than 5% of our total assets.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2010 and September 30,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37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372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Pr>
          <w:p>
            <w:pPr>
              <w:spacing w:after="0"/>
              <w:rPr>
                <w:sz w:val="12"/>
                <w:szCs w:val="12"/>
                <w:color w:val="auto"/>
              </w:rPr>
            </w:pPr>
          </w:p>
        </w:tc>
        <w:tc>
          <w:tcPr>
            <w:tcW w:w="54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1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Diversified/Conglomerate Services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3</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Grocery</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5160" w:type="dxa"/>
            <w:vAlign w:val="bottom"/>
            <w:gridSpan w:val="3"/>
            <w:shd w:val="clear" w:color="auto" w:fill="CCEEFF"/>
          </w:tcPr>
          <w:p>
            <w:pPr>
              <w:jc w:val="right"/>
              <w:ind w:right="832"/>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Logistics</w:t>
            </w:r>
          </w:p>
        </w:tc>
        <w:tc>
          <w:tcPr>
            <w:tcW w:w="5160" w:type="dxa"/>
            <w:vAlign w:val="bottom"/>
            <w:gridSpan w:val="3"/>
          </w:tcPr>
          <w:p>
            <w:pPr>
              <w:jc w:val="right"/>
              <w:ind w:right="832"/>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3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3720" w:type="dxa"/>
            <w:vAlign w:val="bottom"/>
          </w:tcPr>
          <w:p>
            <w:pPr>
              <w:spacing w:after="0"/>
              <w:rPr>
                <w:sz w:val="18"/>
                <w:szCs w:val="18"/>
                <w:color w:val="auto"/>
              </w:rPr>
            </w:pPr>
          </w:p>
        </w:tc>
        <w:tc>
          <w:tcPr>
            <w:tcW w:w="144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20" w:type="dxa"/>
            <w:vAlign w:val="bottom"/>
            <w:gridSpan w:val="3"/>
          </w:tcPr>
          <w:p>
            <w:pPr>
              <w:spacing w:after="0"/>
              <w:rPr>
                <w:sz w:val="20"/>
                <w:szCs w:val="20"/>
                <w:color w:val="auto"/>
              </w:rPr>
            </w:pPr>
            <w:r>
              <w:rPr>
                <w:rFonts w:ascii="Arial" w:cs="Arial" w:eastAsia="Arial" w:hAnsi="Arial"/>
                <w:sz w:val="18"/>
                <w:szCs w:val="18"/>
                <w:color w:val="auto"/>
              </w:rPr>
              <w:t>Total</w:t>
            </w:r>
          </w:p>
        </w:tc>
        <w:tc>
          <w:tcPr>
            <w:tcW w:w="5160" w:type="dxa"/>
            <w:vAlign w:val="bottom"/>
            <w:gridSpan w:val="3"/>
          </w:tcPr>
          <w:p>
            <w:pPr>
              <w:jc w:val="right"/>
              <w:ind w:right="692"/>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720" w:type="dxa"/>
            <w:vAlign w:val="bottom"/>
          </w:tcPr>
          <w:p>
            <w:pPr>
              <w:jc w:val="right"/>
              <w:ind w:right="3352"/>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 (19) of the 1940 Act. We refer to these individuals as our independent directors. Our board of directors elects our officers, who serve at the discretion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4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of Term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43</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45</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4"/>
              </w:rPr>
              <w:t>2011</w:t>
            </w:r>
          </w:p>
        </w:tc>
        <w:tc>
          <w:tcPr>
            <w:tcW w:w="0" w:type="dxa"/>
            <w:vAlign w:val="bottom"/>
          </w:tcPr>
          <w:p>
            <w:pPr>
              <w:spacing w:after="0"/>
              <w:rPr>
                <w:sz w:val="1"/>
                <w:szCs w:val="1"/>
                <w:color w:val="auto"/>
              </w:rPr>
            </w:pPr>
          </w:p>
        </w:tc>
      </w:tr>
      <w:tr>
        <w:trPr>
          <w:trHeight w:val="322"/>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47</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600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Aviv Efrat</w:t>
            </w:r>
          </w:p>
        </w:tc>
        <w:tc>
          <w:tcPr>
            <w:tcW w:w="4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Name Address</w:t>
            </w: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600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Compliance Officer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board believes that, collectively, the directors have balanced and diverse experience, qualifications, attributes and skills, which allow the board to operate effectively in governing the Company and protecting the interests of its stockholders. Below is a description of the various experiences, qualifications, attributes and/or skills with respect to each director considered by the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Adam K. Bernstein (47),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Marshall Brozost (43),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Jeffrey Flug (48),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Samuel L. Katz (45),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Arthur H. Penn (47)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Aviv Efrat (46), Chief Financial Officer and Treasurer. Mr. Efrat became PennantPark Investment’s Chief Financial Officer and Treasurer in February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 Mr. Efrat is also a Managing Director of PennantPark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Guy F. Talarico (55)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For the fiscal year ended September 30, 2010, we held seven board meetings, four Audit Committee meetings and two Nominating and Corporate Governance Committee meetings. All directors attended at least 75% of the aggregate number of meetings of the board of directors and of the respective committees on which they served. The Company requires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 Role in Management.</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which report to the entire board of directors and are comprised solely of Independent Directors and (2) monitoring by the Company’s chief compliance officer in accordance with its compliance policies and procedures.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more fully described below under “Audit Committee” and “Nominating and Corporate Governance Committee,” the Audit Committee and the Nominating and Corporate Governance Committee assist the board of directors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and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Both the Audit Committee and the Nominating and Corporate Governance Committee consist solely of Independent Directors.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The Company’s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at least once each year.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Company’s ability to incur indebtedness is limited such that its asset coverage must equal at least 200% immediately after each time it incurs issuance, the Company generally must invest at least 70% of its total assets in “qualifying assets.” In addition, the Company elected to be treated as a RIC under the Code. As a RIC the Company must, among other things, meet certain income source and asset diversification requirements.</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believes that the extent of the board’s and its committees’ roles in risk oversight complements the board’s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Company’s independent auditors, chief compliance officer and chief executive officer, the Independent Directors have similarly established direct communication and oversight channels that the board believes foster open communication and early detection of issues of concern.</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believes that board’s role in risk oversight must be evaluated on a case by case basis and that the current configuration and allocation of responsibilities among the Board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the Company’s needs.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corporate governance rules. Messers.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of directors whether the audited financial statements should be included in the Company’s annual report on Form 10-K; reviewing and discussing with management and the auditors the Company’s quarterly financial statements prior to the filings of its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 determined that each of Messers. Flug and Katz is an “audit committee financial expert” as that term is defined under Item 407 of Regulation S-K under the Exchange Act. The Audit Committee Charter is available on the Company’s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 xml:space="preserve">Governance Committee has adopted a written Nominating and Corporate Governance Committee Charter that is available on the Company’s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the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of directors, but the Committee will consider such factors as it may deem are in the best interests of the Company and its stockholders. Those factors may include a person’s differences of viewpoint, professional experience, education and skills, as well as his or her race, gender and national origin. In addition, as part of the board’s annual-self assessment the members of the Nominating and Corporate Governance Committee, evaluates the membership of the board of directors and whether the board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officers do not receive compensation from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2010. No compensation is paid directly by us to any interested director or executive officer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Aggregate</w:t>
            </w:r>
          </w:p>
        </w:tc>
        <w:tc>
          <w:tcPr>
            <w:tcW w:w="1040" w:type="dxa"/>
            <w:vAlign w:val="bottom"/>
          </w:tcPr>
          <w:p>
            <w:pPr>
              <w:spacing w:after="0"/>
              <w:rPr>
                <w:sz w:val="14"/>
                <w:szCs w:val="14"/>
                <w:color w:val="auto"/>
              </w:rPr>
            </w:pPr>
          </w:p>
        </w:tc>
        <w:tc>
          <w:tcPr>
            <w:tcW w:w="24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8"/>
              </w:rPr>
              <w:t>Pension or retirement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82"/>
              </w:rPr>
              <w:t>compensation</w:t>
            </w:r>
          </w:p>
        </w:tc>
        <w:tc>
          <w:tcPr>
            <w:tcW w:w="1040" w:type="dxa"/>
            <w:vAlign w:val="bottom"/>
          </w:tcPr>
          <w:p>
            <w:pPr>
              <w:spacing w:after="0"/>
              <w:rPr>
                <w:sz w:val="11"/>
                <w:szCs w:val="11"/>
                <w:color w:val="auto"/>
              </w:rPr>
            </w:pPr>
          </w:p>
        </w:tc>
        <w:tc>
          <w:tcPr>
            <w:tcW w:w="2440" w:type="dxa"/>
            <w:vAlign w:val="bottom"/>
            <w:gridSpan w:val="2"/>
          </w:tcPr>
          <w:p>
            <w:pPr>
              <w:jc w:val="center"/>
              <w:ind w:right="1020"/>
              <w:spacing w:after="0" w:line="135" w:lineRule="exact"/>
              <w:rPr>
                <w:sz w:val="20"/>
                <w:szCs w:val="20"/>
                <w:color w:val="auto"/>
              </w:rPr>
            </w:pPr>
            <w:r>
              <w:rPr>
                <w:rFonts w:ascii="Arial" w:cs="Arial" w:eastAsia="Arial" w:hAnsi="Arial"/>
                <w:sz w:val="14"/>
                <w:szCs w:val="14"/>
                <w:b w:val="1"/>
                <w:bCs w:val="1"/>
                <w:color w:val="auto"/>
                <w:w w:val="84"/>
              </w:rPr>
              <w:t>benefits accrued as</w:t>
            </w:r>
          </w:p>
        </w:tc>
        <w:tc>
          <w:tcPr>
            <w:tcW w:w="104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76"/>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from the Company</w:t>
            </w:r>
          </w:p>
        </w:tc>
        <w:tc>
          <w:tcPr>
            <w:tcW w:w="1040" w:type="dxa"/>
            <w:vAlign w:val="bottom"/>
          </w:tcPr>
          <w:p>
            <w:pPr>
              <w:spacing w:after="0"/>
              <w:rPr>
                <w:sz w:val="15"/>
                <w:szCs w:val="15"/>
                <w:color w:val="auto"/>
              </w:rPr>
            </w:pPr>
          </w:p>
        </w:tc>
        <w:tc>
          <w:tcPr>
            <w:tcW w:w="2440" w:type="dxa"/>
            <w:vAlign w:val="bottom"/>
            <w:gridSpan w:val="2"/>
          </w:tcPr>
          <w:p>
            <w:pPr>
              <w:jc w:val="center"/>
              <w:ind w:right="1040"/>
              <w:spacing w:after="0" w:line="176" w:lineRule="exact"/>
              <w:rPr>
                <w:sz w:val="20"/>
                <w:szCs w:val="20"/>
                <w:color w:val="auto"/>
              </w:rPr>
            </w:pPr>
            <w:r>
              <w:rPr>
                <w:rFonts w:ascii="Arial" w:cs="Arial" w:eastAsia="Arial" w:hAnsi="Arial"/>
                <w:sz w:val="13"/>
                <w:szCs w:val="13"/>
                <w:b w:val="1"/>
                <w:bCs w:val="1"/>
                <w:color w:val="auto"/>
                <w:w w:val="90"/>
              </w:rPr>
              <w:t>part of our expense</w:t>
            </w:r>
            <w:r>
              <w:rPr>
                <w:rFonts w:ascii="Arial" w:cs="Arial" w:eastAsia="Arial" w:hAnsi="Arial"/>
                <w:sz w:val="20"/>
                <w:szCs w:val="20"/>
                <w:b w:val="1"/>
                <w:bCs w:val="1"/>
                <w:color w:val="auto"/>
                <w:w w:val="90"/>
                <w:vertAlign w:val="superscript"/>
              </w:rPr>
              <w:t>(1)</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director / 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98,750</w:t>
            </w:r>
          </w:p>
        </w:tc>
        <w:tc>
          <w:tcPr>
            <w:tcW w:w="1040" w:type="dxa"/>
            <w:vAlign w:val="bottom"/>
          </w:tcPr>
          <w:p>
            <w:pPr>
              <w:spacing w:after="0"/>
              <w:rPr>
                <w:sz w:val="18"/>
                <w:szCs w:val="18"/>
                <w:color w:val="auto"/>
              </w:rPr>
            </w:pPr>
          </w:p>
        </w:tc>
        <w:tc>
          <w:tcPr>
            <w:tcW w:w="2440" w:type="dxa"/>
            <w:vAlign w:val="bottom"/>
            <w:gridSpan w:val="2"/>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106,250</w:t>
            </w:r>
          </w:p>
        </w:tc>
        <w:tc>
          <w:tcPr>
            <w:tcW w:w="1040" w:type="dxa"/>
            <w:vAlign w:val="bottom"/>
          </w:tcPr>
          <w:p>
            <w:pPr>
              <w:spacing w:after="0"/>
              <w:rPr>
                <w:sz w:val="18"/>
                <w:szCs w:val="18"/>
                <w:color w:val="auto"/>
              </w:rPr>
            </w:pPr>
          </w:p>
        </w:tc>
        <w:tc>
          <w:tcPr>
            <w:tcW w:w="2440" w:type="dxa"/>
            <w:vAlign w:val="bottom"/>
            <w:gridSpan w:val="2"/>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Each Independent Director receives an annual payment of $90,000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60"/>
          </w:cols>
          <w:pgMar w:left="240" w:top="459" w:right="3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the December 3, 2010, to our knowledge, no person would be deemed to control us, as such term is defined in the 1940 Act.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directors consist of an interested director and independent directors. An interested director is an “interested person” of the Company, as defined in the 1940 Act, and independent directors are all other directors (the “Independent Directors”).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as of December 3, 2010,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49"/>
        </w:trPr>
        <w:tc>
          <w:tcPr>
            <w:tcW w:w="7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(4)</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240" w:type="dxa"/>
            <w:vAlign w:val="bottom"/>
            <w:gridSpan w:val="3"/>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owned</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86,258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10,024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100,241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113,163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479,031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39,274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827,991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Mr. Bernstein is the President of JAM Investments, LLC and may therefore be deemed to own beneficially the 68,236 shares held by JAM Investments,</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LLC</w:t>
      </w:r>
    </w:p>
    <w:p>
      <w:pPr>
        <w:spacing w:after="0" w:line="9"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295,631 shares held by PennantPark Investment Advisers, LLC.</w:t>
      </w: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364"/>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Portfolio Managers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portfolio managers as of December 3, 2010. Information as to the beneficial ownerships is based on information furnished to the Company by such persons. We are not part of a “family of investment companies,” as that term is defined in the 1940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5"/>
              </w:rPr>
              <w:t>Dollar Range of Common Stock</w:t>
            </w:r>
          </w:p>
        </w:tc>
      </w:tr>
      <w:tr>
        <w:trPr>
          <w:trHeight w:val="176"/>
        </w:trPr>
        <w:tc>
          <w:tcPr>
            <w:tcW w:w="9360" w:type="dxa"/>
            <w:vAlign w:val="bottom"/>
            <w:gridSpan w:val="3"/>
          </w:tcPr>
          <w:p>
            <w:pPr>
              <w:spacing w:after="0"/>
              <w:rPr>
                <w:sz w:val="20"/>
                <w:szCs w:val="20"/>
                <w:color w:val="auto"/>
              </w:rPr>
            </w:pPr>
            <w:r>
              <w:rPr>
                <w:rFonts w:ascii="Arial" w:cs="Arial" w:eastAsia="Arial" w:hAnsi="Arial"/>
                <w:sz w:val="14"/>
                <w:szCs w:val="14"/>
                <w:b w:val="1"/>
                <w:bCs w:val="1"/>
                <w:color w:val="auto"/>
              </w:rPr>
              <w:t>Directors of the Company</w:t>
            </w:r>
          </w:p>
        </w:tc>
        <w:tc>
          <w:tcPr>
            <w:tcW w:w="2060" w:type="dxa"/>
            <w:vAlign w:val="bottom"/>
            <w:gridSpan w:val="3"/>
          </w:tcPr>
          <w:p>
            <w:pPr>
              <w:ind w:left="380"/>
              <w:spacing w:after="0" w:line="176" w:lineRule="exact"/>
              <w:rPr>
                <w:sz w:val="20"/>
                <w:szCs w:val="20"/>
                <w:color w:val="auto"/>
              </w:rPr>
            </w:pPr>
            <w:r>
              <w:rPr>
                <w:rFonts w:ascii="Arial" w:cs="Arial" w:eastAsia="Arial" w:hAnsi="Arial"/>
                <w:sz w:val="13"/>
                <w:szCs w:val="13"/>
                <w:b w:val="1"/>
                <w:bCs w:val="1"/>
                <w:color w:val="auto"/>
              </w:rPr>
              <w:t>of the Company</w:t>
            </w:r>
            <w:r>
              <w:rPr>
                <w:rFonts w:ascii="Arial" w:cs="Arial" w:eastAsia="Arial" w:hAnsi="Arial"/>
                <w:sz w:val="20"/>
                <w:szCs w:val="20"/>
                <w:b w:val="1"/>
                <w:bCs w:val="1"/>
                <w:color w:val="auto"/>
                <w:vertAlign w:val="superscript"/>
              </w:rPr>
              <w:t>(1)</w:t>
            </w:r>
          </w:p>
        </w:tc>
      </w:tr>
      <w:tr>
        <w:trPr>
          <w:trHeight w:val="142"/>
        </w:trPr>
        <w:tc>
          <w:tcPr>
            <w:tcW w:w="20" w:type="dxa"/>
            <w:vAlign w:val="bottom"/>
          </w:tcPr>
          <w:p>
            <w:pPr>
              <w:spacing w:after="0"/>
              <w:rPr>
                <w:sz w:val="12"/>
                <w:szCs w:val="12"/>
                <w:color w:val="auto"/>
              </w:rPr>
            </w:pPr>
          </w:p>
        </w:tc>
        <w:tc>
          <w:tcPr>
            <w:tcW w:w="1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7780" w:type="dxa"/>
            <w:vAlign w:val="bottom"/>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060" w:type="dxa"/>
            <w:vAlign w:val="bottom"/>
            <w:gridSpan w:val="3"/>
          </w:tcPr>
          <w:p>
            <w:pPr>
              <w:ind w:left="600"/>
              <w:spacing w:after="0"/>
              <w:rPr>
                <w:sz w:val="20"/>
                <w:szCs w:val="20"/>
                <w:color w:val="auto"/>
              </w:rPr>
            </w:pPr>
            <w:r>
              <w:rPr>
                <w:rFonts w:ascii="Arial" w:cs="Arial" w:eastAsia="Arial" w:hAnsi="Arial"/>
                <w:sz w:val="18"/>
                <w:szCs w:val="18"/>
                <w:color w:val="auto"/>
                <w:w w:val="94"/>
              </w:rPr>
              <w:t xml:space="preserve">Over $1,000,000 </w:t>
            </w:r>
            <w:r>
              <w:rPr>
                <w:rFonts w:ascii="Arial" w:cs="Arial" w:eastAsia="Arial" w:hAnsi="Arial"/>
                <w:sz w:val="11"/>
                <w:szCs w:val="11"/>
                <w:color w:val="auto"/>
                <w:w w:val="94"/>
              </w:rPr>
              <w:t>(2)</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$100,001-$  500,000</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060" w:type="dxa"/>
            <w:vAlign w:val="bottom"/>
            <w:gridSpan w:val="3"/>
          </w:tcPr>
          <w:p>
            <w:pPr>
              <w:jc w:val="right"/>
              <w:ind w:right="220"/>
              <w:spacing w:after="0"/>
              <w:rPr>
                <w:sz w:val="20"/>
                <w:szCs w:val="20"/>
                <w:color w:val="auto"/>
              </w:rPr>
            </w:pPr>
            <w:r>
              <w:rPr>
                <w:rFonts w:ascii="Arial" w:cs="Arial" w:eastAsia="Arial" w:hAnsi="Arial"/>
                <w:sz w:val="18"/>
                <w:szCs w:val="18"/>
                <w:color w:val="auto"/>
              </w:rPr>
              <w:t>Over $1,000,000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Over $1,000,000</w:t>
            </w:r>
          </w:p>
        </w:tc>
      </w:tr>
      <w:tr>
        <w:trPr>
          <w:trHeight w:val="282"/>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4"/>
              </w:rPr>
              <w:t xml:space="preserve">Over $1,000,000 </w:t>
            </w:r>
            <w:r>
              <w:rPr>
                <w:rFonts w:ascii="Arial" w:cs="Arial" w:eastAsia="Arial" w:hAnsi="Arial"/>
                <w:sz w:val="11"/>
                <w:szCs w:val="11"/>
                <w:color w:val="auto"/>
                <w:w w:val="94"/>
              </w:rPr>
              <w:t>(3)</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Aviv Efrat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$100,001-$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r>
      <w:tr>
        <w:trPr>
          <w:trHeight w:val="282"/>
        </w:trPr>
        <w:tc>
          <w:tcPr>
            <w:tcW w:w="9360" w:type="dxa"/>
            <w:vAlign w:val="bottom"/>
            <w:gridSpan w:val="3"/>
          </w:tcPr>
          <w:p>
            <w:pPr>
              <w:spacing w:after="0"/>
              <w:rPr>
                <w:sz w:val="20"/>
                <w:szCs w:val="20"/>
                <w:color w:val="auto"/>
              </w:rPr>
            </w:pPr>
            <w:r>
              <w:rPr>
                <w:rFonts w:ascii="Arial" w:cs="Arial" w:eastAsia="Arial" w:hAnsi="Arial"/>
                <w:sz w:val="18"/>
                <w:szCs w:val="18"/>
                <w:b w:val="1"/>
                <w:bCs w:val="1"/>
                <w:color w:val="auto"/>
              </w:rPr>
              <w:t>Portfolio managers</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 A. Briones</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$100,001-$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Salvatore Giannetti III</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$100,001-$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500,000</w:t>
            </w: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Whitridge Williams, Jr.</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$500,001-$ 1,000,000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60" w:hanging="452"/>
        <w:spacing w:after="0" w:line="25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$100,001 – $500,000; $500,001 – $1,000,000 or over $1,000,000.</w:t>
      </w: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Under the terms of our Investment Management Agreement, PennantPark Investment Advisers:</w:t>
      </w:r>
    </w:p>
    <w:p>
      <w:pPr>
        <w:spacing w:after="0" w:line="19"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or “average adjusted gross assets,” if any). Although the base management fee is 2.00% of our average adjusted gross assets, the Investment Adviser waived a portion of the base management fee such that the base management fee equaled 1.50% from the consummation of the initial public offering through September 30, 2007 and 1.75% from October 1, 2007 through March 31, 2008. Our base management fee has been 2.00% since March 31, 2008 and is payable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2010, 2009 and 2008, the Investment Adviser earned base management fees, after fee waivers, if any, of $11.6 million, $7.7 million and $6.7 million,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appreciation or depreciation. Pre-Incentive Fee Net Investment Income, expressed as a rate of return on the value 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for any period of less than three months and adjusted for any share issuances or repurchases during the current quarter.</w:t>
      </w:r>
    </w:p>
    <w:p>
      <w:pPr>
        <w:spacing w:after="0" w:line="2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109855</wp:posOffset>
            </wp:positionV>
            <wp:extent cx="2426970" cy="403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2697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2010, 2009 and 2008, the Investment Adviser earned $8.0 million, $5.7 million and $3.8 million, respectively, in incentive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right="4180"/>
        <w:spacing w:after="0" w:line="431"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2599"/>
        <w:spacing w:after="0"/>
        <w:tabs>
          <w:tab w:leader="none" w:pos="5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00" w:hanging="134"/>
        <w:spacing w:after="0"/>
        <w:tabs>
          <w:tab w:leader="none" w:pos="2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ectPr>
          <w:pgSz w:w="11900" w:h="16838" w:orient="portrait"/>
          <w:cols w:equalWidth="0" w:num="1">
            <w:col w:w="10219"/>
          </w:cols>
          <w:pgMar w:left="240" w:top="460" w:right="1440" w:bottom="1440" w:gutter="0" w:footer="0" w:header="0"/>
        </w:sect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20% x Pre-Incentive Fee Net Investment Income, subject to “catch-up”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100% x “catch-up” + (20% x (Pre-Incentive Fee Net Investment Income – 2.1875%))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2.1875% – 1.75%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0.4375%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(100% x 0.4375%) + (20% x (2.30% – 2.1875%))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0.4375% + (20% x 0.1125%)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0.4375% + 0.0225%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0.46%</w:t>
      </w:r>
    </w:p>
    <w:p>
      <w:pPr>
        <w:spacing w:after="0" w:line="151" w:lineRule="exact"/>
        <w:rPr>
          <w:sz w:val="20"/>
          <w:szCs w:val="20"/>
          <w:color w:val="auto"/>
        </w:rPr>
      </w:pPr>
    </w:p>
    <w:p>
      <w:pPr>
        <w:sectPr>
          <w:pgSz w:w="11900" w:h="16838" w:orient="portrait"/>
          <w:cols w:equalWidth="0" w:num="2">
            <w:col w:w="1840" w:space="620"/>
            <w:col w:w="7759"/>
          </w:cols>
          <w:pgMar w:left="240" w:top="460" w:right="1440"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219"/>
          </w:cols>
          <w:pgMar w:left="240" w:top="460" w:right="1440"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420"/>
          </w:cols>
          <w:pgMar w:left="240" w:top="460" w:right="23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 1%)</w:t>
      </w:r>
    </w:p>
    <w:p>
      <w:pPr>
        <w:spacing w:after="0" w:line="32" w:lineRule="exact"/>
        <w:rPr>
          <w:sz w:val="20"/>
          <w:szCs w:val="20"/>
          <w:color w:val="auto"/>
        </w:rPr>
      </w:pPr>
    </w:p>
    <w:p>
      <w:pPr>
        <w:sectPr>
          <w:pgSz w:w="11900" w:h="16838" w:orient="portrait"/>
          <w:cols w:equalWidth="0" w:num="2">
            <w:col w:w="2160" w:space="720"/>
            <w:col w:w="8540"/>
          </w:cols>
          <w:pgMar w:left="240" w:top="460" w:right="239" w:bottom="1440" w:gutter="0" w:footer="0" w:header="0"/>
          <w:type w:val="continuous"/>
        </w:sectPr>
      </w:pPr>
    </w:p>
    <w:p>
      <w:pPr>
        <w:ind w:left="3020" w:hanging="135"/>
        <w:spacing w:after="0"/>
        <w:tabs>
          <w:tab w:leader="none" w:pos="3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35"/>
        <w:spacing w:after="0"/>
        <w:tabs>
          <w:tab w:leader="none" w:pos="3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2010. Unless terminated earlier as described below, our Investment Management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0" w:right="23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SBIC LP under its administration agreement.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fiscal years ended September 30, 2010, 2009 and 2008, the Investment Adviser and Administrator were reimbursed $2.1 million, $1.7 million and $2.0 million, respectively, from PennantPark Investment, including expenses it incurred on behalf of the Administrator for the services described above.</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fiscal year ended September 30, 2010, PennantPark Investment was reimbursed $0.1 million, from SPH expenses it incurred on behalf of the Administrator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2010. Unless terminated earlier as described below, our Administration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16,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using fair value as determined in good faith by our board of directors in consultation with our independent third party valuation firms.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4"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preliminary management’s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See “Risk Factors—Risks Related to Our Investments”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February 2, 2010 for a 12-month period), and our board of directors decides that such an offering is in the best interest of our common stockholders and we may undertake such an offering. See “Sales Of Common Stock Below Net Asset Value” for more information.</w:t>
      </w:r>
    </w:p>
    <w:p>
      <w:pPr>
        <w:spacing w:after="0" w:line="10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September 30, 2010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January 21, 2011 was $12.20 per share. As of January 21, 2011, we had 17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5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Amount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Us or for Our</w:t>
            </w:r>
          </w:p>
        </w:tc>
        <w:tc>
          <w:tcPr>
            <w:tcW w:w="64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5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Authorized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6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5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1"/>
              </w:rPr>
              <w:t>100,000,000</w:t>
            </w: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4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4"/>
              </w:rPr>
              <w:t>36,223,950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57" w:lineRule="auto"/>
        <w:rPr>
          <w:sz w:val="20"/>
          <w:szCs w:val="20"/>
          <w:color w:val="auto"/>
        </w:rPr>
      </w:pPr>
      <w:r>
        <w:rPr>
          <w:rFonts w:ascii="Arial" w:cs="Arial" w:eastAsia="Arial" w:hAnsi="Arial"/>
          <w:sz w:val="15"/>
          <w:szCs w:val="15"/>
          <w:color w:val="auto"/>
        </w:rPr>
        <w:t>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20"/>
          </w:cols>
          <w:pgMar w:left="240" w:top="460"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446"/>
        <w:spacing w:after="0" w:line="332"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00"/>
          </w:cols>
          <w:pgMar w:left="240" w:top="459" w:right="3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446"/>
        <w:spacing w:after="0" w:line="259"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446"/>
        <w:spacing w:after="0" w:line="318" w:lineRule="auto"/>
        <w:tabs>
          <w:tab w:leader="none" w:pos="9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446"/>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spacing w:after="0" w:line="59" w:lineRule="exact"/>
        <w:rPr>
          <w:rFonts w:ascii="Arial" w:cs="Arial" w:eastAsia="Arial" w:hAnsi="Arial"/>
          <w:sz w:val="18"/>
          <w:szCs w:val="18"/>
          <w:color w:val="auto"/>
        </w:rPr>
      </w:pPr>
    </w:p>
    <w:p>
      <w:pPr>
        <w:ind w:left="1480" w:right="540" w:hanging="567"/>
        <w:spacing w:after="0" w:line="259"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900" w:right="10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business development company, we are required to make available managerial assistance to our portfolio companies that constitute a qualifying asset within the meaning of Section 55 of the 1940 Act. However, if a business development company purchases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coverage. See “Risk Factors—Risks relating to our business and structure—Regulations governing our operation as a business development company will affect our ability to, and the way in which we, raise additional capital”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copies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You may obtain information about how we voted proxies by making a written request for proxy voting information to: Aviv Efrat, Chief Financial Officer and Treasurer, 590 Madison Avenue, 15 </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Report on Form 10-K (File No. 814-00736 on December 13, 2007.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Our chief compliance officer is responsible for administering such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10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consolidated financial statements contained in our periodic reports;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consolidated subsidiary, SBIC LP, is licensed under the SBA as a SBIC under Section 301(c) of the 1958 Act. SBIC LP received its license effective July 30, 2010 and its initial debenture commitment of $33.5 million effective August 5, 2010.</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required capitalization thresholds, and is subject to periodic audits and examinations among other regulations.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subsidiary is our wholly owned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an SBIC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financing terms of investments by SBICs in portfolio companies such as limiting the interest rate on debt securities and loans provided to portfolio companies of the SBIC. The SBA also limits fees, prepayment terms and other economic arrangements that are typically charged in lending arrangements.</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SBA also prohibits, without prior written approval, a “change in control” of an SBIC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90" w:lineRule="exact"/>
        <w:rPr>
          <w:sz w:val="20"/>
          <w:szCs w:val="20"/>
          <w:color w:val="auto"/>
        </w:rPr>
      </w:pPr>
    </w:p>
    <w:p>
      <w:pPr>
        <w:ind w:left="900" w:right="14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 This means that SBIC LP may access the maximum borrowing if it has $75 million in regulatory capital, which generally equates to the amount of its equity capital paid-in. However, we have capitalized SBIC LP with a lesser amount.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except as provided below,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20"/>
          </w:cols>
          <w:pgMar w:left="240" w:top="460"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PNC Global Investment Servicing,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16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9"/>
              </w:rPr>
              <w:t>INDEX TO FINANCIAL STATEMENTS</w:t>
            </w:r>
          </w:p>
        </w:tc>
        <w:tc>
          <w:tcPr>
            <w:tcW w:w="2040" w:type="dxa"/>
            <w:vAlign w:val="bottom"/>
          </w:tcPr>
          <w:p>
            <w:pPr>
              <w:spacing w:after="0"/>
              <w:rPr>
                <w:sz w:val="19"/>
                <w:szCs w:val="19"/>
                <w:color w:val="auto"/>
              </w:rPr>
            </w:pPr>
          </w:p>
        </w:tc>
      </w:tr>
      <w:tr>
        <w:trPr>
          <w:trHeight w:val="419"/>
        </w:trPr>
        <w:tc>
          <w:tcPr>
            <w:tcW w:w="9280" w:type="dxa"/>
            <w:vAlign w:val="bottom"/>
            <w:gridSpan w:val="10"/>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2040" w:type="dxa"/>
            <w:vAlign w:val="bottom"/>
          </w:tcPr>
          <w:p>
            <w:pPr>
              <w:spacing w:after="0"/>
              <w:rPr>
                <w:sz w:val="24"/>
                <w:szCs w:val="24"/>
                <w:color w:val="auto"/>
              </w:rPr>
            </w:pPr>
          </w:p>
        </w:tc>
      </w:tr>
      <w:tr>
        <w:trPr>
          <w:trHeight w:val="324"/>
        </w:trPr>
        <w:tc>
          <w:tcPr>
            <w:tcW w:w="9280" w:type="dxa"/>
            <w:vAlign w:val="bottom"/>
            <w:gridSpan w:val="10"/>
          </w:tcPr>
          <w:p>
            <w:pPr>
              <w:spacing w:after="0"/>
              <w:rPr>
                <w:sz w:val="20"/>
                <w:szCs w:val="20"/>
                <w:color w:val="auto"/>
              </w:rPr>
            </w:pPr>
            <w:r>
              <w:rPr>
                <w:rFonts w:ascii="Arial" w:cs="Arial" w:eastAsia="Arial" w:hAnsi="Arial"/>
                <w:sz w:val="18"/>
                <w:szCs w:val="18"/>
                <w:b w:val="1"/>
                <w:bCs w:val="1"/>
                <w:color w:val="auto"/>
              </w:rPr>
              <w:t>Annual Financial Statements</w:t>
            </w:r>
          </w:p>
        </w:tc>
        <w:tc>
          <w:tcPr>
            <w:tcW w:w="204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02">
              <w:r>
                <w:rPr>
                  <w:rFonts w:ascii="Arial" w:cs="Arial" w:eastAsia="Arial" w:hAnsi="Arial"/>
                  <w:sz w:val="18"/>
                  <w:szCs w:val="18"/>
                  <w:color w:val="0000EE"/>
                  <w:w w:val="89"/>
                </w:rPr>
                <w:t>Management’s Report on Internal Control over Financial Reporting</w:t>
              </w:r>
            </w:hyperlink>
          </w:p>
        </w:tc>
        <w:tc>
          <w:tcPr>
            <w:tcW w:w="4520" w:type="dxa"/>
            <w:vAlign w:val="bottom"/>
            <w:gridSpan w:val="7"/>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Report of Independent Registered Public Accounting Firm On Internal Control Over Financial Reporting</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7380" w:type="dxa"/>
            <w:vAlign w:val="bottom"/>
            <w:tcBorders>
              <w:top w:val="single" w:sz="8" w:color="0000EE"/>
            </w:tcBorders>
            <w:gridSpan w:val="8"/>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Consolidated Statements of Assets and Liabilities as of September 30, 2010 and 2009</w:t>
              </w:r>
            </w:hyperlink>
          </w:p>
        </w:tc>
        <w:tc>
          <w:tcPr>
            <w:tcW w:w="1900" w:type="dxa"/>
            <w:vAlign w:val="bottom"/>
            <w:gridSpan w:val="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34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Consolidated Statements of Operations for the years ended September 30, 2010, 2009 and 2008</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334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Consolidated Statements of Changes in Net Assets for the years ended September 30, 2010, 2009 and 2008</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6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208">
              <w:r>
                <w:rPr>
                  <w:rFonts w:ascii="Arial" w:cs="Arial" w:eastAsia="Arial" w:hAnsi="Arial"/>
                  <w:sz w:val="18"/>
                  <w:szCs w:val="18"/>
                  <w:color w:val="0000EE"/>
                  <w:w w:val="86"/>
                </w:rPr>
                <w:t>Consolidated Statements of Cash Flows for the years ended September 30, 2010, 2009 and 2008</w:t>
              </w:r>
            </w:hyperlink>
          </w:p>
        </w:tc>
        <w:tc>
          <w:tcPr>
            <w:tcW w:w="800" w:type="dxa"/>
            <w:vAlign w:val="bottom"/>
            <w:tcBorders>
              <w:top w:val="single" w:sz="8" w:color="0000EE"/>
            </w:tcBorders>
            <w:gridSpan w:val="2"/>
          </w:tcPr>
          <w:p>
            <w:pPr>
              <w:spacing w:after="0"/>
              <w:rPr>
                <w:sz w:val="24"/>
                <w:szCs w:val="24"/>
                <w:color w:val="auto"/>
              </w:rPr>
            </w:pPr>
          </w:p>
        </w:tc>
        <w:tc>
          <w:tcPr>
            <w:tcW w:w="1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53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09">
              <w:r>
                <w:rPr>
                  <w:rFonts w:ascii="Arial" w:cs="Arial" w:eastAsia="Arial" w:hAnsi="Arial"/>
                  <w:sz w:val="18"/>
                  <w:szCs w:val="18"/>
                  <w:color w:val="0000EE"/>
                  <w:w w:val="86"/>
                </w:rPr>
                <w:t>Consolidated Schedules of Investments as of September 30, 2010 and 2009</w:t>
              </w:r>
            </w:hyperlink>
          </w:p>
        </w:tc>
        <w:tc>
          <w:tcPr>
            <w:tcW w:w="3980" w:type="dxa"/>
            <w:vAlign w:val="bottom"/>
            <w:gridSpan w:val="6"/>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Notes to the Consolidated Financial Statements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F-16</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80" w:type="dxa"/>
            <w:vAlign w:val="bottom"/>
            <w:gridSpan w:val="6"/>
          </w:tcPr>
          <w:p>
            <w:pPr>
              <w:jc w:val="center"/>
              <w:ind w:right="3140"/>
              <w:spacing w:after="0"/>
              <w:rPr>
                <w:sz w:val="20"/>
                <w:szCs w:val="20"/>
                <w:color w:val="auto"/>
              </w:rPr>
            </w:pPr>
            <w:r>
              <w:rPr>
                <w:rFonts w:ascii="Arial" w:cs="Arial" w:eastAsia="Arial" w:hAnsi="Arial"/>
                <w:sz w:val="18"/>
                <w:szCs w:val="18"/>
                <w:color w:val="auto"/>
                <w:w w:val="88"/>
              </w:rPr>
              <w:t>F-1</w:t>
            </w:r>
          </w:p>
        </w:tc>
        <w:tc>
          <w:tcPr>
            <w:tcW w:w="204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2010.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2010,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2010.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2010 and 2009, and the related consolidated statements of operations, changes in net assets, and cash flows for the years ended September 30, 2010, 2009 and 2008.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2010 and 2009, and the results of their operations and their cash flows for the years ended September 30, 2010, 2009 and 2008, in conformity with U.S. generally accepted accounting principles.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17, 2010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2010,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prospectus on Form 10-K, and Item 9A., Controls and Procedures— 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2010 and 2009, and the related statements of operations, changes in net assets, and cash flows for the years ended September 30, 2010, 2009 and 2008, and our report dated November 17, 2010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(cost—$631,280,755 and $479,909,805,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641,290,626</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453,644,335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(cost—$17,427,648 and $17,378,081,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15,433,680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16,115,738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(cost—$8,000,100 and $0, respectively)</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(cost—$656,708,503 and $497,287,886,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664,724,406</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469,760,073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33,247,666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12,814,096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investments sold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30,254,774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512,381,369</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52,785,000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22,203,434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Credit facility payable (Cost: $233,100,000 and $225,100,000, respectively), (See Notes 5 and 11)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219,141,125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175,475,380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 $14,500,000 and $0, respectively),</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(See Notes 5 and 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215,135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2,239,011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324,918,623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211,801,101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w w:val="94"/>
              </w:rPr>
              <w:t>Common stock, par value $0.001 per share, 100,000,000 shares authorized and 36,158,772 and 25,368,772 shares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issued and outstanding,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428,675,184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327,062,304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1,800,646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(65,911,544)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(50,494,447)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8,015,903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(27,527,813)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13,958,875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386,575,223</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300,580,268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512,381,369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10.69</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57,467,862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43,613,233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38,405,757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1,069,514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154,311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1,358,031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60,139,757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45,118,771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39,810,962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11,618,773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7,715,615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7,136,580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8,018,309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5,683,388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3,672,444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4,628,564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6,308,933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2,328,210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2,329,110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2,052,530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2,136,303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27,966,846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22,399,856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21,675,689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color w:val="auto"/>
              </w:rPr>
              <w:t>Base management fee waiver</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(420,731)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98,294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expenses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28,065,140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22,399,856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21,254,958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32,074,617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22,718,915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18,556,004</w:t>
            </w:r>
          </w:p>
        </w:tc>
        <w:tc>
          <w:tcPr>
            <w:tcW w:w="0" w:type="dxa"/>
            <w:vAlign w:val="bottom"/>
          </w:tcPr>
          <w:p>
            <w:pPr>
              <w:spacing w:after="0"/>
              <w:rPr>
                <w:sz w:val="1"/>
                <w:szCs w:val="1"/>
                <w:color w:val="auto"/>
              </w:rPr>
            </w:pPr>
          </w:p>
        </w:tc>
      </w:tr>
      <w:tr>
        <w:trPr>
          <w:trHeight w:val="221"/>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w w:val="95"/>
              </w:rPr>
              <w:t>Realized and unrealized (loss) gain on investments, cash equivalents and credit facility:</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(15,417,097)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(39,243,879)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(11,154,735)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36,275,341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46,954,325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(49,052,812)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(731,625)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(2,455,952)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(35,665,745)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(122,029)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52,326,993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(48,104,208)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Net realized and unrealized (loss) gain from investments, cash equivalents and credit facility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(15,539,126)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13,083,114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(59,258,943)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16,535,491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35,802,029</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(40,702,939)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 (decrease) in net assets resulting from operations per common share (See Note 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32,074,617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22,718,915</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18,556,004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(15,417,097)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(39,243,879)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(11,154,735)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35,543,716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44,498,373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(48,104,208)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(35,665,745)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16,535,491</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35,802,029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(40,702,939)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(32,264,036)</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(20,226,021)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(18,961,895)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107,710,000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(5,986,500)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101,723,500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32,480,000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85,994,955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48,056,008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(59,664,834)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300,580,268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210,728,260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270,393,094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300,580,268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252,524,260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270,393,094</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End of period</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2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386,575,223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300,580,268</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210,728,260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(distributions in excess of) net investment income, at period end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1,800,646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1,890,235</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10,790,000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7"/>
              </w:rPr>
              <w:t>Years ended September 30,</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16,535,491</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(40,702,939)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Adjustments to reconcile net increase (decrease) in net assets resulting from operations to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Net change in net unrealized (appreciation) depreciation on investments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(35,543,716)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(44,498,373)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35,665,745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15,417,097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11,154,735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(4,203,920)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(309,455,078)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(112,693,490)</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(206,790,979)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(6,416,075)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145,237,359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(7,275,040)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(27,528,767)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payables for cash equivalents purchased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33,295,475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19,489,525</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15,872,049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6,331,385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interest payable on credit facility and SBA debentures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142,347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(652,529)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prepaid expenses and 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258,912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Increase (Decrease) in management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1,066,706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2,134,214</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1,385,131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(500,423)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555,556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(127,050,830)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(42,355,514)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(395,805,044)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107,710,000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(5,986,500)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(1,920,000)</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paid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(27,919,260)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(20,226,021)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(13,905,390)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 costs capitalized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(686,625)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256,000,000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(248,000,000)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(146,500,000)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(269,040,000)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95,617,615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35,353,979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178,094,610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(31,433,215)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(217,710,434)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40,249,201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257,959,635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 (See Note 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3,161,048</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98,294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41,796,000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Basis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3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Maturity</w:t>
            </w:r>
          </w:p>
        </w:tc>
        <w:tc>
          <w:tcPr>
            <w:tcW w:w="1000" w:type="dxa"/>
            <w:vAlign w:val="bottom"/>
          </w:tcPr>
          <w:p>
            <w:pPr>
              <w:spacing w:after="0"/>
              <w:rPr>
                <w:sz w:val="14"/>
                <w:szCs w:val="14"/>
                <w:color w:val="auto"/>
              </w:rPr>
            </w:pPr>
          </w:p>
        </w:tc>
        <w:tc>
          <w:tcPr>
            <w:tcW w:w="156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(4)</w:t>
            </w:r>
          </w:p>
        </w:tc>
        <w:tc>
          <w:tcPr>
            <w:tcW w:w="2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9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680" w:type="dxa"/>
            <w:vAlign w:val="bottom"/>
            <w:gridSpan w:val="3"/>
          </w:tcPr>
          <w:p>
            <w:pPr>
              <w:jc w:val="center"/>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96"/>
              </w:rPr>
              <w:t>Investments in Non-Controlled, Non-Affiliated Portfolio</w:t>
            </w:r>
          </w:p>
        </w:tc>
        <w:tc>
          <w:tcPr>
            <w:tcW w:w="3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Companies—165.9%</w:t>
            </w:r>
            <w:r>
              <w:rPr>
                <w:rFonts w:ascii="Arial" w:cs="Arial" w:eastAsia="Arial" w:hAnsi="Arial"/>
                <w:sz w:val="20"/>
                <w:szCs w:val="20"/>
                <w:b w:val="1"/>
                <w:bCs w:val="1"/>
                <w:color w:val="auto"/>
                <w:vertAlign w:val="superscript"/>
              </w:rPr>
              <w:t>(1),(2)</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Debt—59.3%</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Networks Solution, Inc.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08/27/2014</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$ 13,583,333</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$ 13,316,337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$ 13,447,500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Birch Communications,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06/21/2015</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16,363,636</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15,786,257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01/31/2011</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Telecommunications</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3,636,364</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10/01/2016</w:t>
            </w:r>
          </w:p>
        </w:tc>
        <w:tc>
          <w:tcPr>
            <w:tcW w:w="1000" w:type="dxa"/>
            <w:vAlign w:val="bottom"/>
          </w:tcPr>
          <w:p>
            <w:pPr>
              <w:spacing w:after="0"/>
              <w:rPr>
                <w:sz w:val="12"/>
                <w:szCs w:val="12"/>
                <w:color w:val="auto"/>
              </w:rPr>
            </w:pPr>
          </w:p>
        </w:tc>
        <w:tc>
          <w:tcPr>
            <w:tcW w:w="1560" w:type="dxa"/>
            <w:vAlign w:val="bottom"/>
            <w:gridSpan w:val="2"/>
          </w:tcPr>
          <w:p>
            <w:pPr>
              <w:jc w:val="center"/>
              <w:ind w:right="1020"/>
              <w:spacing w:after="0" w:line="149" w:lineRule="exact"/>
              <w:rPr>
                <w:sz w:val="20"/>
                <w:szCs w:val="20"/>
                <w:color w:val="auto"/>
              </w:rPr>
            </w:pPr>
            <w:r>
              <w:rPr>
                <w:rFonts w:ascii="Arial" w:cs="Arial" w:eastAsia="Arial" w:hAnsi="Arial"/>
                <w:sz w:val="14"/>
                <w:szCs w:val="14"/>
                <w:color w:val="auto"/>
                <w:w w:val="91"/>
              </w:rPr>
              <w:t>Logistics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7,305,603</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04/01/2018</w:t>
            </w:r>
          </w:p>
        </w:tc>
        <w:tc>
          <w:tcPr>
            <w:tcW w:w="10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020"/>
              <w:spacing w:after="0" w:line="149" w:lineRule="exact"/>
              <w:rPr>
                <w:sz w:val="20"/>
                <w:szCs w:val="20"/>
                <w:color w:val="auto"/>
              </w:rPr>
            </w:pPr>
            <w:r>
              <w:rPr>
                <w:rFonts w:ascii="Arial" w:cs="Arial" w:eastAsia="Arial" w:hAnsi="Arial"/>
                <w:sz w:val="14"/>
                <w:szCs w:val="14"/>
                <w:color w:val="auto"/>
                <w:w w:val="91"/>
              </w:rPr>
              <w:t>Logistics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987,774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1,045,000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07/31/2016</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9,250,000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8,765,468</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11/20/2014</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07/29/2013</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Fairway Group Acquisition Company</w:t>
            </w:r>
          </w:p>
        </w:tc>
        <w:tc>
          <w:tcPr>
            <w:tcW w:w="10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10/01/2014</w:t>
            </w:r>
          </w:p>
        </w:tc>
        <w:tc>
          <w:tcPr>
            <w:tcW w:w="100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040"/>
              <w:spacing w:after="0" w:line="138" w:lineRule="exact"/>
              <w:rPr>
                <w:sz w:val="20"/>
                <w:szCs w:val="20"/>
                <w:color w:val="auto"/>
              </w:rPr>
            </w:pPr>
            <w:r>
              <w:rPr>
                <w:rFonts w:ascii="Arial" w:cs="Arial" w:eastAsia="Arial" w:hAnsi="Arial"/>
                <w:sz w:val="14"/>
                <w:szCs w:val="14"/>
                <w:color w:val="auto"/>
                <w:w w:val="88"/>
              </w:rPr>
              <w:t>Grocery</w:t>
            </w: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P+850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11,905,025</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11,650,744</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03/08/2014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2.62%</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8,752,500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08/07/2014</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9"/>
              </w:rPr>
              <w:t>Printing and Publishing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24,875,000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104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02/07/2014</w:t>
            </w:r>
          </w:p>
        </w:tc>
        <w:tc>
          <w:tcPr>
            <w:tcW w:w="256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Home and Office Furnishings,</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2.71%</w:t>
            </w:r>
          </w:p>
        </w:tc>
        <w:tc>
          <w:tcPr>
            <w:tcW w:w="7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9,744,595</w:t>
            </w:r>
          </w:p>
        </w:tc>
        <w:tc>
          <w:tcPr>
            <w:tcW w:w="8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160" w:type="dxa"/>
            <w:vAlign w:val="bottom"/>
          </w:tcPr>
          <w:p>
            <w:pPr>
              <w:spacing w:after="0"/>
              <w:rPr>
                <w:sz w:val="11"/>
                <w:szCs w:val="11"/>
                <w:color w:val="auto"/>
              </w:rPr>
            </w:pPr>
          </w:p>
        </w:tc>
        <w:tc>
          <w:tcPr>
            <w:tcW w:w="8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gridSpan w:val="2"/>
          </w:tcPr>
          <w:p>
            <w:pPr>
              <w:jc w:val="center"/>
              <w:ind w:right="1040"/>
              <w:spacing w:after="0"/>
              <w:rPr>
                <w:sz w:val="20"/>
                <w:szCs w:val="20"/>
                <w:color w:val="auto"/>
              </w:rPr>
            </w:pPr>
            <w:r>
              <w:rPr>
                <w:rFonts w:ascii="Arial" w:cs="Arial" w:eastAsia="Arial" w:hAnsi="Arial"/>
                <w:sz w:val="14"/>
                <w:szCs w:val="14"/>
                <w:color w:val="auto"/>
                <w:w w:val="86"/>
              </w:rPr>
              <w:t>Products</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09/10/2015</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Chemicals, Plastics and Rubber</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80"/>
              <w:spacing w:after="0" w:line="150" w:lineRule="exact"/>
              <w:rPr>
                <w:sz w:val="20"/>
                <w:szCs w:val="20"/>
                <w:color w:val="auto"/>
              </w:rPr>
            </w:pPr>
            <w:r>
              <w:rPr>
                <w:rFonts w:ascii="Arial" w:cs="Arial" w:eastAsia="Arial" w:hAnsi="Arial"/>
                <w:sz w:val="11"/>
                <w:szCs w:val="11"/>
                <w:color w:val="auto"/>
              </w:rPr>
              <w:t>L+675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17,866,826</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04/27/2016</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Education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26,052,631</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10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01/18/2014</w:t>
            </w:r>
          </w:p>
        </w:tc>
        <w:tc>
          <w:tcPr>
            <w:tcW w:w="256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Home and Office Furnishings, Housewares</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2.54%</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3,844,931</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56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and Durable Consumer Products</w:t>
            </w: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08/01/2014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9,829,738</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12/16/2012</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66,801</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12/16/2012</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200,404</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09/23/2014</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28,756,343</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29,702,813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tcPr>
          <w:p>
            <w:pPr>
              <w:spacing w:after="0" w:line="138" w:lineRule="exact"/>
              <w:rPr>
                <w:sz w:val="20"/>
                <w:szCs w:val="20"/>
                <w:color w:val="auto"/>
              </w:rPr>
            </w:pPr>
            <w:r>
              <w:rPr>
                <w:rFonts w:ascii="Arial" w:cs="Arial" w:eastAsia="Arial" w:hAnsi="Arial"/>
                <w:sz w:val="14"/>
                <w:szCs w:val="14"/>
                <w:color w:val="auto"/>
              </w:rPr>
              <w:t>Three Rivers Pharmaceutical, L.L.C.</w:t>
            </w:r>
          </w:p>
        </w:tc>
        <w:tc>
          <w:tcPr>
            <w:tcW w:w="104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10/22/2011</w:t>
            </w:r>
          </w:p>
        </w:tc>
        <w:tc>
          <w:tcPr>
            <w:tcW w:w="256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15.25%</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L+1,300</w:t>
            </w:r>
            <w:r>
              <w:rPr>
                <w:rFonts w:ascii="Arial" w:cs="Arial" w:eastAsia="Arial" w:hAnsi="Arial"/>
                <w:sz w:val="15"/>
                <w:szCs w:val="15"/>
                <w:color w:val="auto"/>
                <w:vertAlign w:val="superscript"/>
              </w:rPr>
              <w:t>(8)</w:t>
            </w:r>
          </w:p>
        </w:tc>
        <w:tc>
          <w:tcPr>
            <w:tcW w:w="86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25,000,000</w:t>
            </w:r>
          </w:p>
        </w:tc>
        <w:tc>
          <w:tcPr>
            <w:tcW w:w="8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21,861,968</w:t>
            </w:r>
          </w:p>
        </w:tc>
        <w:tc>
          <w:tcPr>
            <w:tcW w:w="160" w:type="dxa"/>
            <w:vAlign w:val="bottom"/>
          </w:tcPr>
          <w:p>
            <w:pPr>
              <w:spacing w:after="0"/>
              <w:rPr>
                <w:sz w:val="11"/>
                <w:szCs w:val="11"/>
                <w:color w:val="auto"/>
              </w:rPr>
            </w:pPr>
          </w:p>
        </w:tc>
        <w:tc>
          <w:tcPr>
            <w:tcW w:w="8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P+1,200</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50"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07/15/2016</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231,907,418</w:t>
            </w:r>
          </w:p>
        </w:tc>
        <w:tc>
          <w:tcPr>
            <w:tcW w:w="160" w:type="dxa"/>
            <w:vAlign w:val="bottom"/>
          </w:tcPr>
          <w:p>
            <w:pPr>
              <w:spacing w:after="0"/>
              <w:rPr>
                <w:sz w:val="14"/>
                <w:szCs w:val="14"/>
                <w:color w:val="auto"/>
              </w:rPr>
            </w:pPr>
          </w:p>
        </w:tc>
        <w:tc>
          <w:tcPr>
            <w:tcW w:w="8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229,243,683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Debt—38.6%</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02/07/2015</w:t>
            </w:r>
          </w:p>
        </w:tc>
        <w:tc>
          <w:tcPr>
            <w:tcW w:w="2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6.43%</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13,216,845</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02/07/2015</w:t>
            </w:r>
          </w:p>
        </w:tc>
        <w:tc>
          <w:tcPr>
            <w:tcW w:w="25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7.39%</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11,776,589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10,410,000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07/29/2014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6,237,317</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6,237,317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10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04/30/2015</w:t>
            </w:r>
          </w:p>
        </w:tc>
        <w:tc>
          <w:tcPr>
            <w:tcW w:w="256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7.79%</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12,000,000</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11,958,469</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040"/>
              <w:spacing w:after="0"/>
              <w:rPr>
                <w:sz w:val="20"/>
                <w:szCs w:val="20"/>
                <w:color w:val="auto"/>
              </w:rPr>
            </w:pPr>
            <w:r>
              <w:rPr>
                <w:rFonts w:ascii="Arial" w:cs="Arial" w:eastAsia="Arial" w:hAnsi="Arial"/>
                <w:sz w:val="14"/>
                <w:szCs w:val="14"/>
                <w:color w:val="auto"/>
                <w:w w:val="87"/>
              </w:rPr>
              <w:t>Childcare</w:t>
            </w: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03/01/2014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Cargo Transport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2,570,357</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2,570,357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11/01/2017</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Hotels, Motels, Inns and Gaming</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12/15/2014</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3,219,319</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3,219,319</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12/15/2015</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Other Media</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1,773,703</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10/15/2017</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Buildings and Real Estate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05/15/2015</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Transportation</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05/15/2017</w:t>
            </w:r>
          </w:p>
        </w:tc>
        <w:tc>
          <w:tcPr>
            <w:tcW w:w="25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Transportation</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17,039,991</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10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06/15/2015</w:t>
            </w:r>
          </w:p>
        </w:tc>
        <w:tc>
          <w:tcPr>
            <w:tcW w:w="256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 and</w:t>
            </w:r>
          </w:p>
        </w:tc>
        <w:tc>
          <w:tcPr>
            <w:tcW w:w="84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6.05%</w:t>
            </w:r>
            <w:r>
              <w:rPr>
                <w:rFonts w:ascii="Arial" w:cs="Arial" w:eastAsia="Arial" w:hAnsi="Arial"/>
                <w:sz w:val="15"/>
                <w:szCs w:val="15"/>
                <w:color w:val="auto"/>
                <w:vertAlign w:val="superscript"/>
              </w:rPr>
              <w:t>(6)</w:t>
            </w:r>
          </w:p>
        </w:tc>
        <w:tc>
          <w:tcPr>
            <w:tcW w:w="7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L+575</w:t>
            </w:r>
          </w:p>
        </w:tc>
        <w:tc>
          <w:tcPr>
            <w:tcW w:w="86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21,500,000</w:t>
            </w:r>
          </w:p>
        </w:tc>
        <w:tc>
          <w:tcPr>
            <w:tcW w:w="8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19,211,412</w:t>
            </w:r>
          </w:p>
        </w:tc>
        <w:tc>
          <w:tcPr>
            <w:tcW w:w="1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19,887,500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040"/>
              <w:spacing w:after="0"/>
              <w:rPr>
                <w:sz w:val="20"/>
                <w:szCs w:val="20"/>
                <w:color w:val="auto"/>
              </w:rPr>
            </w:pPr>
            <w:r>
              <w:rPr>
                <w:rFonts w:ascii="Arial" w:cs="Arial" w:eastAsia="Arial" w:hAnsi="Arial"/>
                <w:sz w:val="14"/>
                <w:szCs w:val="14"/>
                <w:color w:val="auto"/>
                <w:w w:val="87"/>
              </w:rPr>
              <w:t>Childcare</w:t>
            </w: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12/15/2014</w:t>
            </w:r>
          </w:p>
        </w:tc>
        <w:tc>
          <w:tcPr>
            <w:tcW w:w="2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Chemical, Plastics and Rubber</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22,500,000</w:t>
            </w: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22,490,129</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06/15/2015</w:t>
            </w:r>
          </w:p>
        </w:tc>
        <w:tc>
          <w:tcPr>
            <w:tcW w:w="2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Financial Services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17,811,488</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151,611,934</w:t>
            </w:r>
          </w:p>
        </w:tc>
        <w:tc>
          <w:tcPr>
            <w:tcW w:w="160" w:type="dxa"/>
            <w:vAlign w:val="bottom"/>
          </w:tcPr>
          <w:p>
            <w:pPr>
              <w:spacing w:after="0"/>
              <w:rPr>
                <w:sz w:val="13"/>
                <w:szCs w:val="13"/>
                <w:color w:val="auto"/>
              </w:rPr>
            </w:pPr>
          </w:p>
        </w:tc>
        <w:tc>
          <w:tcPr>
            <w:tcW w:w="8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00" w:type="dxa"/>
            <w:vAlign w:val="bottom"/>
          </w:tcPr>
          <w:p>
            <w:pPr>
              <w:spacing w:after="0"/>
              <w:rPr>
                <w:sz w:val="12"/>
                <w:szCs w:val="12"/>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Maturity</w:t>
            </w:r>
          </w:p>
        </w:tc>
        <w:tc>
          <w:tcPr>
            <w:tcW w:w="960" w:type="dxa"/>
            <w:vAlign w:val="bottom"/>
          </w:tcPr>
          <w:p>
            <w:pPr>
              <w:spacing w:after="0"/>
              <w:rPr>
                <w:sz w:val="14"/>
                <w:szCs w:val="14"/>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4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76"/>
              </w:rPr>
              <w:t>Cost</w:t>
            </w:r>
          </w:p>
        </w:tc>
        <w:tc>
          <w:tcPr>
            <w:tcW w:w="180" w:type="dxa"/>
            <w:vAlign w:val="bottom"/>
          </w:tcPr>
          <w:p>
            <w:pPr>
              <w:spacing w:after="0"/>
              <w:rPr>
                <w:sz w:val="14"/>
                <w:szCs w:val="14"/>
                <w:color w:val="auto"/>
              </w:rPr>
            </w:pPr>
          </w:p>
        </w:tc>
        <w:tc>
          <w:tcPr>
            <w:tcW w:w="680" w:type="dxa"/>
            <w:vAlign w:val="bottom"/>
            <w:gridSpan w:val="3"/>
          </w:tcPr>
          <w:p>
            <w:pPr>
              <w:jc w:val="center"/>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6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Subordinated Debt/Corporate</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Notes—56.1%</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11/15/2015</w:t>
            </w: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2"/>
              </w:rPr>
              <w:t>$   9,855,000</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5"/>
              </w:rPr>
              <w:t>$   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12/15/2016</w:t>
            </w:r>
          </w:p>
        </w:tc>
        <w:tc>
          <w:tcPr>
            <w:tcW w:w="24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11.13%</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18,885,000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04/17/2015</w:t>
            </w:r>
          </w:p>
        </w:tc>
        <w:tc>
          <w:tcPr>
            <w:tcW w:w="24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8,109,468</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7,973,429</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03/22/2014</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20,720,892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140" w:type="dxa"/>
            <w:vAlign w:val="bottom"/>
            <w:gridSpan w:val="3"/>
          </w:tcPr>
          <w:p>
            <w:pPr>
              <w:jc w:val="right"/>
              <w:ind w:right="240"/>
              <w:spacing w:after="0" w:line="138" w:lineRule="exact"/>
              <w:rPr>
                <w:sz w:val="20"/>
                <w:szCs w:val="20"/>
                <w:color w:val="auto"/>
              </w:rPr>
            </w:pPr>
            <w:r>
              <w:rPr>
                <w:rFonts w:ascii="Arial" w:cs="Arial" w:eastAsia="Arial" w:hAnsi="Arial"/>
                <w:sz w:val="14"/>
                <w:szCs w:val="14"/>
                <w:color w:val="auto"/>
              </w:rPr>
              <w:t>04/01/2015</w:t>
            </w:r>
          </w:p>
        </w:tc>
        <w:tc>
          <w:tcPr>
            <w:tcW w:w="24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12.50%</w:t>
            </w:r>
          </w:p>
        </w:tc>
        <w:tc>
          <w:tcPr>
            <w:tcW w:w="46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25,000,000</w:t>
            </w:r>
          </w:p>
        </w:tc>
        <w:tc>
          <w:tcPr>
            <w:tcW w:w="7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24,379,843</w:t>
            </w:r>
          </w:p>
        </w:tc>
        <w:tc>
          <w:tcPr>
            <w:tcW w:w="160" w:type="dxa"/>
            <w:vAlign w:val="bottom"/>
          </w:tcPr>
          <w:p>
            <w:pPr>
              <w:spacing w:after="0"/>
              <w:rPr>
                <w:sz w:val="11"/>
                <w:szCs w:val="11"/>
                <w:color w:val="auto"/>
              </w:rPr>
            </w:pPr>
          </w:p>
        </w:tc>
        <w:tc>
          <w:tcPr>
            <w:tcW w:w="80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gridSpan w:val="2"/>
          </w:tcPr>
          <w:p>
            <w:pPr>
              <w:jc w:val="center"/>
              <w:ind w:right="1000"/>
              <w:spacing w:after="0" w:line="159" w:lineRule="exact"/>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06/06/2014</w:t>
            </w:r>
          </w:p>
        </w:tc>
        <w:tc>
          <w:tcPr>
            <w:tcW w:w="24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23,283,292</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06/30/2016</w:t>
            </w: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Education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3,947,368</w:t>
            </w:r>
          </w:p>
        </w:tc>
        <w:tc>
          <w:tcPr>
            <w:tcW w:w="94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3,194,611</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10/15/2016</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19,000,000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04/15/2015</w:t>
            </w:r>
          </w:p>
        </w:tc>
        <w:tc>
          <w:tcPr>
            <w:tcW w:w="24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9,055,731</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12/29/2015</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11,721,019</w:t>
            </w:r>
          </w:p>
        </w:tc>
        <w:tc>
          <w:tcPr>
            <w:tcW w:w="9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11,361,858</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10/01/2016</w:t>
            </w:r>
          </w:p>
        </w:tc>
        <w:tc>
          <w:tcPr>
            <w:tcW w:w="24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20,501,960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20,331,704</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02/08/2015</w:t>
            </w:r>
          </w:p>
        </w:tc>
        <w:tc>
          <w:tcPr>
            <w:tcW w:w="24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21,098,000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12/31/2015</w:t>
            </w: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15,000,000</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14,636,487</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(9),(7)</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12/31/2012</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12,000,000</w:t>
            </w:r>
          </w:p>
        </w:tc>
        <w:tc>
          <w:tcPr>
            <w:tcW w:w="94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11,700,000</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7"/>
              </w:rPr>
              <w:t>213,271,563</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217,081,074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Interests—2.0%</w:t>
            </w:r>
            <w:r>
              <w:rPr>
                <w:rFonts w:ascii="Arial" w:cs="Arial" w:eastAsia="Arial" w:hAnsi="Arial"/>
                <w:sz w:val="17"/>
                <w:szCs w:val="17"/>
                <w:b w:val="1"/>
                <w:bCs w:val="1"/>
                <w:color w:val="auto"/>
                <w:vertAlign w:val="superscript"/>
              </w:rPr>
              <w:t>(7)</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28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319</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318,896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797</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797,288</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9.00%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144,375</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144,376</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148,909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4,137,240</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28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686</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6.50%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1,312</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1,495,885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280" w:type="dxa"/>
            <w:vAlign w:val="bottom"/>
          </w:tcPr>
          <w:p>
            <w:pPr>
              <w:spacing w:after="0"/>
              <w:rPr>
                <w:sz w:val="14"/>
                <w:szCs w:val="14"/>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91,608</w:t>
            </w:r>
          </w:p>
        </w:tc>
        <w:tc>
          <w:tcPr>
            <w:tcW w:w="7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2,499,066</w:t>
            </w:r>
          </w:p>
        </w:tc>
        <w:tc>
          <w:tcPr>
            <w:tcW w:w="160" w:type="dxa"/>
            <w:vAlign w:val="bottom"/>
          </w:tcPr>
          <w:p>
            <w:pPr>
              <w:spacing w:after="0"/>
              <w:rPr>
                <w:sz w:val="14"/>
                <w:szCs w:val="14"/>
                <w:color w:val="auto"/>
              </w:rPr>
            </w:pPr>
          </w:p>
        </w:tc>
        <w:tc>
          <w:tcPr>
            <w:tcW w:w="80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495,851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160" w:type="dxa"/>
            <w:vAlign w:val="bottom"/>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Interests—9.9%</w:t>
            </w:r>
            <w:r>
              <w:rPr>
                <w:rFonts w:ascii="Arial" w:cs="Arial" w:eastAsia="Arial" w:hAnsi="Arial"/>
                <w:sz w:val="18"/>
                <w:szCs w:val="18"/>
                <w:b w:val="1"/>
                <w:bCs w:val="1"/>
                <w:color w:val="auto"/>
                <w:vertAlign w:val="superscript"/>
              </w:rPr>
              <w:t>(7)</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Broadcasting and Entertainment</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1,333</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280" w:type="dxa"/>
            <w:vAlign w:val="bottom"/>
          </w:tcPr>
          <w:p>
            <w:pPr>
              <w:spacing w:after="0"/>
              <w:rPr>
                <w:sz w:val="13"/>
                <w:szCs w:val="13"/>
                <w:color w:val="auto"/>
              </w:rPr>
            </w:pPr>
          </w:p>
        </w:tc>
        <w:tc>
          <w:tcPr>
            <w:tcW w:w="86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1,627</w:t>
            </w:r>
          </w:p>
        </w:tc>
        <w:tc>
          <w:tcPr>
            <w:tcW w:w="7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16,271</w:t>
            </w:r>
          </w:p>
        </w:tc>
        <w:tc>
          <w:tcPr>
            <w:tcW w:w="160" w:type="dxa"/>
            <w:vAlign w:val="bottom"/>
          </w:tcPr>
          <w:p>
            <w:pPr>
              <w:spacing w:after="0"/>
              <w:rPr>
                <w:sz w:val="13"/>
                <w:szCs w:val="13"/>
                <w:color w:val="auto"/>
              </w:rPr>
            </w:pPr>
          </w:p>
        </w:tc>
        <w:tc>
          <w:tcPr>
            <w:tcW w:w="8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387,012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center"/>
              <w:ind w:right="320"/>
              <w:spacing w:after="0" w:line="15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5,556</w:t>
            </w:r>
          </w:p>
        </w:tc>
        <w:tc>
          <w:tcPr>
            <w:tcW w:w="7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3,200,000</w:t>
            </w: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7,987,755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24,375</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1,506,076</w:t>
            </w:r>
          </w:p>
        </w:tc>
        <w:tc>
          <w:tcPr>
            <w:tcW w:w="1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1,998,008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Environmental Services</w:t>
            </w: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49,005</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3,027,906</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4,016,429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2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457,322</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454,030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A</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Healthcare, Education and</w:t>
            </w: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(Three Rivers Pharmaceutical, L.L.C.)</w:t>
            </w: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9"/>
              </w:rPr>
              <w:t>—</w:t>
            </w:r>
          </w:p>
        </w:tc>
        <w:tc>
          <w:tcPr>
            <w:tcW w:w="248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7"/>
              </w:rPr>
              <w:t>Childcare</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8,999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1,780,693</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1,780,693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Healthcare, Education and</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(Three Rivers Pharmaceutical, L.L.C.)</w:t>
            </w:r>
          </w:p>
        </w:tc>
        <w:tc>
          <w:tcPr>
            <w:tcW w:w="28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w:t>
            </w:r>
          </w:p>
        </w:tc>
        <w:tc>
          <w:tcPr>
            <w:tcW w:w="24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Childcare</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8,999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857,339</w:t>
            </w:r>
          </w:p>
        </w:tc>
        <w:tc>
          <w:tcPr>
            <w:tcW w:w="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857,339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Maturity</w:t>
            </w:r>
          </w:p>
        </w:tc>
        <w:tc>
          <w:tcPr>
            <w:tcW w:w="780" w:type="dxa"/>
            <w:vAlign w:val="bottom"/>
          </w:tcPr>
          <w:p>
            <w:pPr>
              <w:spacing w:after="0"/>
              <w:rPr>
                <w:sz w:val="14"/>
                <w:szCs w:val="14"/>
                <w:color w:val="auto"/>
              </w:rPr>
            </w:pPr>
          </w:p>
        </w:tc>
        <w:tc>
          <w:tcPr>
            <w:tcW w:w="14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Coupon</w:t>
            </w:r>
          </w:p>
        </w:tc>
        <w:tc>
          <w:tcPr>
            <w:tcW w:w="68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04/27/2020</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Education</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1,267</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633,308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1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1,055,932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2,464,999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4,350,440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340"/>
              <w:spacing w:after="0" w:line="159" w:lineRule="exact"/>
              <w:rPr>
                <w:sz w:val="20"/>
                <w:szCs w:val="20"/>
                <w:color w:val="auto"/>
              </w:rPr>
            </w:pPr>
            <w:r>
              <w:rPr>
                <w:rFonts w:ascii="Arial" w:cs="Arial" w:eastAsia="Arial" w:hAnsi="Arial"/>
                <w:sz w:val="14"/>
                <w:szCs w:val="14"/>
                <w:color w:val="auto"/>
                <w:w w:val="99"/>
              </w:rPr>
              <w:t>—</w:t>
            </w:r>
          </w:p>
        </w:tc>
        <w:tc>
          <w:tcPr>
            <w:tcW w:w="224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4,325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1,306,167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1,081,683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132,803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12/29/2019</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973,875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020" w:type="dxa"/>
            <w:vAlign w:val="bottom"/>
            <w:gridSpan w:val="3"/>
          </w:tcPr>
          <w:p>
            <w:pPr>
              <w:spacing w:after="0"/>
              <w:rPr>
                <w:sz w:val="20"/>
                <w:szCs w:val="20"/>
                <w:color w:val="auto"/>
              </w:rPr>
            </w:pPr>
            <w:r>
              <w:rPr>
                <w:rFonts w:ascii="Arial" w:cs="Arial" w:eastAsia="Arial" w:hAnsi="Arial"/>
                <w:sz w:val="14"/>
                <w:szCs w:val="14"/>
                <w:color w:val="auto"/>
              </w:rPr>
              <w:t>Transportation 100 Holdco, L.L.C.</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6"/>
              </w:rPr>
              <w:t>Cargo Transport</w:t>
            </w:r>
          </w:p>
        </w:tc>
        <w:tc>
          <w:tcPr>
            <w:tcW w:w="8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137,923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4,589,906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940"/>
              <w:spacing w:after="0" w:line="149" w:lineRule="exact"/>
              <w:rPr>
                <w:sz w:val="20"/>
                <w:szCs w:val="20"/>
                <w:color w:val="auto"/>
              </w:rPr>
            </w:pPr>
            <w:r>
              <w:rPr>
                <w:rFonts w:ascii="Arial" w:cs="Arial" w:eastAsia="Arial" w:hAnsi="Arial"/>
                <w:sz w:val="14"/>
                <w:szCs w:val="14"/>
                <w:color w:val="auto"/>
                <w:w w:val="84"/>
              </w:rPr>
              <w:t>Insurance</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1,688,629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1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Oil and Gas</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91,608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4,634,758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6"/>
              </w:rPr>
              <w:t>24,595,148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38,112,638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9"/>
              </w:rPr>
              <w:t>Investments in Non-Controlled, Non-Affiliated Portfolio Companies</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631,280,755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641,290,626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3"/>
              </w:rPr>
              <w:t>Investments in Non-Controlled, Affiliated Portfolio Companies—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4020" w:type="dxa"/>
            <w:vAlign w:val="bottom"/>
            <w:gridSpan w:val="3"/>
          </w:tcPr>
          <w:p>
            <w:pPr>
              <w:ind w:left="220"/>
              <w:spacing w:after="0" w:line="284" w:lineRule="exact"/>
              <w:rPr>
                <w:sz w:val="20"/>
                <w:szCs w:val="20"/>
                <w:color w:val="auto"/>
              </w:rPr>
            </w:pPr>
            <w:r>
              <w:rPr>
                <w:rFonts w:ascii="Arial" w:cs="Arial" w:eastAsia="Arial" w:hAnsi="Arial"/>
                <w:sz w:val="27"/>
                <w:szCs w:val="27"/>
                <w:b w:val="1"/>
                <w:bCs w:val="1"/>
                <w:color w:val="auto"/>
                <w:vertAlign w:val="subscript"/>
              </w:rPr>
              <w:t>4.0%</w:t>
            </w:r>
            <w:r>
              <w:rPr>
                <w:rFonts w:ascii="Arial" w:cs="Arial" w:eastAsia="Arial" w:hAnsi="Arial"/>
                <w:sz w:val="11"/>
                <w:szCs w:val="11"/>
                <w:b w:val="1"/>
                <w:bCs w:val="1"/>
                <w:color w:val="auto"/>
              </w:rPr>
              <w:t xml:space="preserve"> (1),(2)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Performance, Inc.</w:t>
            </w: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w w:val="96"/>
              </w:rPr>
              <w:t>01/16/2015</w:t>
            </w:r>
          </w:p>
        </w:tc>
        <w:tc>
          <w:tcPr>
            <w:tcW w:w="22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7.50%</w:t>
            </w:r>
          </w:p>
        </w:tc>
        <w:tc>
          <w:tcPr>
            <w:tcW w:w="68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3"/>
              </w:rPr>
              <w:t>8,000,000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7,584,000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07/16/2015</w:t>
            </w:r>
          </w:p>
        </w:tc>
        <w:tc>
          <w:tcPr>
            <w:tcW w:w="224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5,848,176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5,677,648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5,745,832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gridSpan w:val="3"/>
          </w:tcPr>
          <w:p>
            <w:pPr>
              <w:jc w:val="center"/>
              <w:ind w:right="180"/>
              <w:spacing w:after="0" w:line="155"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Common Equity/Partnership</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Interest—0.5%</w:t>
            </w:r>
            <w:r>
              <w:rPr>
                <w:rFonts w:ascii="Arial" w:cs="Arial" w:eastAsia="Arial" w:hAnsi="Arial"/>
                <w:sz w:val="20"/>
                <w:szCs w:val="20"/>
                <w:b w:val="1"/>
                <w:bCs w:val="1"/>
                <w:color w:val="auto"/>
                <w:vertAlign w:val="superscript"/>
              </w:rPr>
              <w:t>(7)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NCP-Performance (Performance Holdings, Inc.)</w:t>
            </w:r>
          </w:p>
        </w:tc>
        <w:tc>
          <w:tcPr>
            <w:tcW w:w="100" w:type="dxa"/>
            <w:vAlign w:val="bottom"/>
          </w:tcPr>
          <w:p>
            <w:pPr>
              <w:spacing w:after="0"/>
              <w:rPr>
                <w:sz w:val="13"/>
                <w:szCs w:val="13"/>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88"/>
              </w:rPr>
              <w:t>Leisure, Amusement, Motion</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3,750,000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2,103,848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40" w:type="dxa"/>
            <w:vAlign w:val="bottom"/>
            <w:gridSpan w:val="3"/>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Pictures and Entertainment</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Investments in Non-Controlled, Affiliated Portfolio Companies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6"/>
              </w:rPr>
              <w:t>17,427,648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15,433,680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Controlled, Affiliated Portfolio Companies—2.1%</w:t>
            </w:r>
            <w:r>
              <w:rPr>
                <w:rFonts w:ascii="Arial" w:cs="Arial" w:eastAsia="Arial" w:hAnsi="Arial"/>
                <w:sz w:val="14"/>
                <w:szCs w:val="14"/>
                <w:b w:val="1"/>
                <w:bCs w:val="1"/>
                <w:color w:val="auto"/>
                <w:vertAlign w:val="superscript"/>
              </w:rPr>
              <w:t>(1),</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(2)</w:t>
            </w:r>
          </w:p>
        </w:tc>
        <w:tc>
          <w:tcPr>
            <w:tcW w:w="3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06/30/2020</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4,800,000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06/30/2020</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1,200,000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1,142,398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340"/>
              <w:spacing w:after="0" w:line="149" w:lineRule="exact"/>
              <w:rPr>
                <w:sz w:val="20"/>
                <w:szCs w:val="20"/>
                <w:color w:val="auto"/>
              </w:rPr>
            </w:pPr>
            <w:r>
              <w:rPr>
                <w:rFonts w:ascii="Arial" w:cs="Arial" w:eastAsia="Arial" w:hAnsi="Arial"/>
                <w:sz w:val="14"/>
                <w:szCs w:val="14"/>
                <w:color w:val="auto"/>
                <w:w w:val="99"/>
              </w:rPr>
              <w:t>—</w:t>
            </w:r>
          </w:p>
        </w:tc>
        <w:tc>
          <w:tcPr>
            <w:tcW w:w="22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14.00%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1,505,602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4"/>
                <w:szCs w:val="14"/>
                <w:b w:val="1"/>
                <w:bCs w:val="1"/>
                <w:color w:val="auto"/>
                <w:w w:val="90"/>
              </w:rPr>
              <w:t>Current</w:t>
            </w:r>
          </w:p>
        </w:tc>
        <w:tc>
          <w:tcPr>
            <w:tcW w:w="24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040" w:type="dxa"/>
            <w:vAlign w:val="bottom"/>
          </w:tcPr>
          <w:p>
            <w:pPr>
              <w:spacing w:after="0"/>
              <w:rPr>
                <w:sz w:val="14"/>
                <w:szCs w:val="14"/>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Coupon</w:t>
            </w:r>
          </w:p>
        </w:tc>
        <w:tc>
          <w:tcPr>
            <w:tcW w:w="240" w:type="dxa"/>
            <w:vAlign w:val="bottom"/>
          </w:tcPr>
          <w:p>
            <w:pPr>
              <w:spacing w:after="0"/>
              <w:rPr>
                <w:sz w:val="14"/>
                <w:szCs w:val="14"/>
                <w:color w:val="auto"/>
              </w:rPr>
            </w:pPr>
          </w:p>
        </w:tc>
        <w:tc>
          <w:tcPr>
            <w:tcW w:w="4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80"/>
              <w:spacing w:after="0" w:line="162" w:lineRule="exact"/>
              <w:rPr>
                <w:sz w:val="20"/>
                <w:szCs w:val="20"/>
                <w:color w:val="auto"/>
              </w:rPr>
            </w:pPr>
            <w:r>
              <w:rPr>
                <w:rFonts w:ascii="Arial" w:cs="Arial" w:eastAsia="Arial" w:hAnsi="Arial"/>
                <w:sz w:val="12"/>
                <w:szCs w:val="12"/>
                <w:b w:val="1"/>
                <w:bCs w:val="1"/>
                <w:color w:val="auto"/>
                <w:w w:val="89"/>
              </w:rPr>
              <w:t>Value</w:t>
            </w:r>
            <w:r>
              <w:rPr>
                <w:rFonts w:ascii="Arial" w:cs="Arial" w:eastAsia="Arial" w:hAnsi="Arial"/>
                <w:sz w:val="18"/>
                <w:szCs w:val="18"/>
                <w:b w:val="1"/>
                <w:bCs w:val="1"/>
                <w:color w:val="auto"/>
                <w:w w:val="89"/>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520" w:type="dxa"/>
            <w:vAlign w:val="bottom"/>
            <w:gridSpan w:val="3"/>
          </w:tcPr>
          <w:p>
            <w:pPr>
              <w:jc w:val="center"/>
              <w:ind w:left="12"/>
              <w:spacing w:after="0" w:line="149" w:lineRule="exact"/>
              <w:rPr>
                <w:sz w:val="20"/>
                <w:szCs w:val="20"/>
                <w:color w:val="auto"/>
              </w:rPr>
            </w:pPr>
            <w:r>
              <w:rPr>
                <w:rFonts w:ascii="Arial" w:cs="Arial" w:eastAsia="Arial" w:hAnsi="Arial"/>
                <w:sz w:val="14"/>
                <w:szCs w:val="14"/>
                <w:color w:val="auto"/>
                <w:w w:val="83"/>
              </w:rPr>
              <w:t>Business Services</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2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Total Investments—172.0%</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4"/>
              </w:rPr>
              <w:t>656,708,503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9"/>
              </w:rPr>
              <w:t>664,724,406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Equivalents—0.5%</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3"/>
              </w:rPr>
              <w:t>1,814,451</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Total Investments and Cash</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gridSpan w:val="2"/>
          </w:tcPr>
          <w:p>
            <w:pPr>
              <w:ind w:left="200"/>
              <w:spacing w:after="0"/>
              <w:rPr>
                <w:sz w:val="20"/>
                <w:szCs w:val="20"/>
                <w:color w:val="auto"/>
              </w:rPr>
            </w:pPr>
            <w:r>
              <w:rPr>
                <w:rFonts w:ascii="Arial" w:cs="Arial" w:eastAsia="Arial" w:hAnsi="Arial"/>
                <w:sz w:val="14"/>
                <w:szCs w:val="14"/>
                <w:b w:val="1"/>
                <w:bCs w:val="1"/>
                <w:color w:val="auto"/>
              </w:rPr>
              <w:t>Equivalents—172.5%</w:t>
            </w: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84"/>
              </w:rPr>
              <w:t>658,522,954</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89"/>
              </w:rPr>
              <w:t>666,538,857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in Excess of Other Assets—(72.5%)</w:t>
            </w: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9"/>
              </w:rPr>
              <w:t>386,575,223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8"/>
              </w:rPr>
              <w:t>Above</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4"/>
                <w:szCs w:val="14"/>
                <w:color w:val="auto"/>
              </w:rPr>
            </w:pPr>
          </w:p>
        </w:tc>
        <w:tc>
          <w:tcPr>
            <w:tcW w:w="14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Coupon</w:t>
            </w:r>
          </w:p>
        </w:tc>
        <w:tc>
          <w:tcPr>
            <w:tcW w:w="50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w w:val="89"/>
              </w:rPr>
              <w:t>Investments in Non-Controlled, Non-Affiliated Portfolio Companies</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—150.9%</w:t>
            </w:r>
            <w:r>
              <w:rPr>
                <w:rFonts w:ascii="Arial" w:cs="Arial" w:eastAsia="Arial" w:hAnsi="Arial"/>
                <w:sz w:val="20"/>
                <w:szCs w:val="20"/>
                <w:b w:val="1"/>
                <w:bCs w:val="1"/>
                <w:color w:val="auto"/>
                <w:vertAlign w:val="superscript"/>
              </w:rPr>
              <w:t>(1),(2)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Debt—50.1%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restart"/>
          </w:tcPr>
          <w:p>
            <w:pPr>
              <w:jc w:val="right"/>
              <w:ind w:right="64"/>
              <w:spacing w:after="0"/>
              <w:rPr>
                <w:sz w:val="20"/>
                <w:szCs w:val="20"/>
                <w:color w:val="auto"/>
              </w:rPr>
            </w:pPr>
            <w:r>
              <w:rPr>
                <w:rFonts w:ascii="Arial" w:cs="Arial" w:eastAsia="Arial" w:hAnsi="Arial"/>
                <w:sz w:val="14"/>
                <w:szCs w:val="14"/>
                <w:color w:val="auto"/>
              </w:rPr>
              <w:t>P+295</w:t>
            </w:r>
            <w:r>
              <w:rPr>
                <w:rFonts w:ascii="Arial" w:cs="Arial" w:eastAsia="Arial" w:hAnsi="Arial"/>
                <w:sz w:val="22"/>
                <w:szCs w:val="22"/>
                <w:color w:val="auto"/>
                <w:vertAlign w:val="superscript"/>
              </w:rPr>
              <w:t>(8)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03/04/2015</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1"/>
              </w:rPr>
              <w:t>Distribution</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7.70%</w:t>
            </w:r>
          </w:p>
        </w:tc>
        <w:tc>
          <w:tcPr>
            <w:tcW w:w="760" w:type="dxa"/>
            <w:vAlign w:val="bottom"/>
            <w:gridSpan w:val="2"/>
            <w:vMerge w:val="continue"/>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$13,929,825</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w w:val="95"/>
              </w:rPr>
              <w:t>$ 11,941,660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$ 13,720,877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0" w:type="dxa"/>
            <w:vAlign w:val="bottom"/>
            <w:gridSpan w:val="2"/>
          </w:tcPr>
          <w:p>
            <w:pPr>
              <w:spacing w:after="0" w:line="122" w:lineRule="exact"/>
              <w:rPr>
                <w:sz w:val="20"/>
                <w:szCs w:val="20"/>
                <w:color w:val="auto"/>
              </w:rPr>
            </w:pPr>
            <w:r>
              <w:rPr>
                <w:rFonts w:ascii="Arial" w:cs="Arial" w:eastAsia="Arial" w:hAnsi="Arial"/>
                <w:sz w:val="14"/>
                <w:szCs w:val="14"/>
                <w:color w:val="auto"/>
              </w:rPr>
              <w:t>Burlington Coat Factory Warehouse Corp.</w:t>
            </w:r>
          </w:p>
        </w:tc>
        <w:tc>
          <w:tcPr>
            <w:tcW w:w="840" w:type="dxa"/>
            <w:vAlign w:val="bottom"/>
            <w:gridSpan w:val="3"/>
          </w:tcPr>
          <w:p>
            <w:pPr>
              <w:jc w:val="right"/>
              <w:ind w:right="140"/>
              <w:spacing w:after="0" w:line="122" w:lineRule="exact"/>
              <w:rPr>
                <w:sz w:val="20"/>
                <w:szCs w:val="20"/>
                <w:color w:val="auto"/>
              </w:rPr>
            </w:pPr>
            <w:r>
              <w:rPr>
                <w:rFonts w:ascii="Arial" w:cs="Arial" w:eastAsia="Arial" w:hAnsi="Arial"/>
                <w:sz w:val="14"/>
                <w:szCs w:val="14"/>
                <w:color w:val="auto"/>
                <w:w w:val="96"/>
              </w:rPr>
              <w:t>05/28/2013</w:t>
            </w:r>
          </w:p>
        </w:tc>
        <w:tc>
          <w:tcPr>
            <w:tcW w:w="2300" w:type="dxa"/>
            <w:vAlign w:val="bottom"/>
            <w:gridSpan w:val="3"/>
          </w:tcPr>
          <w:p>
            <w:pPr>
              <w:jc w:val="center"/>
              <w:ind w:right="60"/>
              <w:spacing w:after="0" w:line="122" w:lineRule="exact"/>
              <w:rPr>
                <w:sz w:val="20"/>
                <w:szCs w:val="20"/>
                <w:color w:val="auto"/>
              </w:rPr>
            </w:pPr>
            <w:r>
              <w:rPr>
                <w:rFonts w:ascii="Arial" w:cs="Arial" w:eastAsia="Arial" w:hAnsi="Arial"/>
                <w:sz w:val="14"/>
                <w:szCs w:val="14"/>
                <w:color w:val="auto"/>
                <w:w w:val="87"/>
              </w:rPr>
              <w:t>Retail Store</w:t>
            </w:r>
          </w:p>
        </w:tc>
        <w:tc>
          <w:tcPr>
            <w:tcW w:w="86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2.57%</w:t>
            </w:r>
          </w:p>
        </w:tc>
        <w:tc>
          <w:tcPr>
            <w:tcW w:w="760" w:type="dxa"/>
            <w:vAlign w:val="bottom"/>
            <w:gridSpan w:val="2"/>
          </w:tcPr>
          <w:p>
            <w:pPr>
              <w:jc w:val="right"/>
              <w:ind w:right="184"/>
              <w:spacing w:after="0" w:line="122"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2,837,374</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2,835,299</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2,578,464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10/01/2016</w:t>
            </w:r>
          </w:p>
        </w:tc>
        <w:tc>
          <w:tcPr>
            <w:tcW w:w="860" w:type="dxa"/>
            <w:vAlign w:val="bottom"/>
          </w:tcPr>
          <w:p>
            <w:pPr>
              <w:spacing w:after="0"/>
              <w:rPr>
                <w:sz w:val="15"/>
                <w:szCs w:val="15"/>
                <w:color w:val="auto"/>
              </w:rPr>
            </w:pPr>
          </w:p>
        </w:tc>
        <w:tc>
          <w:tcPr>
            <w:tcW w:w="1440" w:type="dxa"/>
            <w:vAlign w:val="bottom"/>
            <w:gridSpan w:val="2"/>
          </w:tcPr>
          <w:p>
            <w:pPr>
              <w:jc w:val="center"/>
              <w:ind w:right="940"/>
              <w:spacing w:after="0"/>
              <w:rPr>
                <w:sz w:val="20"/>
                <w:szCs w:val="20"/>
                <w:color w:val="auto"/>
              </w:rPr>
            </w:pPr>
            <w:r>
              <w:rPr>
                <w:rFonts w:ascii="Arial" w:cs="Arial" w:eastAsia="Arial" w:hAnsi="Arial"/>
                <w:sz w:val="14"/>
                <w:szCs w:val="14"/>
                <w:color w:val="auto"/>
                <w:w w:val="91"/>
              </w:rPr>
              <w:t>Logistics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11.63%</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64"/>
              <w:spacing w:after="0"/>
              <w:rPr>
                <w:sz w:val="20"/>
                <w:szCs w:val="20"/>
                <w:color w:val="auto"/>
              </w:rPr>
            </w:pPr>
            <w:r>
              <w:rPr>
                <w:rFonts w:ascii="Arial" w:cs="Arial" w:eastAsia="Arial" w:hAnsi="Arial"/>
                <w:sz w:val="11"/>
                <w:szCs w:val="11"/>
                <w:color w:val="auto"/>
                <w:w w:val="88"/>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7,500,000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7,284,525</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7,284,525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20" w:type="dxa"/>
            <w:vAlign w:val="bottom"/>
            <w:gridSpan w:val="3"/>
            <w:vMerge w:val="restart"/>
          </w:tcPr>
          <w:p>
            <w:pPr>
              <w:spacing w:after="0" w:line="122" w:lineRule="exact"/>
              <w:rPr>
                <w:sz w:val="20"/>
                <w:szCs w:val="20"/>
                <w:color w:val="auto"/>
              </w:rPr>
            </w:pPr>
            <w:r>
              <w:rPr>
                <w:rFonts w:ascii="Arial" w:cs="Arial" w:eastAsia="Arial" w:hAnsi="Arial"/>
                <w:sz w:val="14"/>
                <w:szCs w:val="14"/>
                <w:color w:val="auto"/>
              </w:rPr>
              <w:t>Chester Downs and Marina, LLC</w:t>
            </w:r>
          </w:p>
        </w:tc>
        <w:tc>
          <w:tcPr>
            <w:tcW w:w="840" w:type="dxa"/>
            <w:vAlign w:val="bottom"/>
            <w:gridSpan w:val="3"/>
            <w:vMerge w:val="restart"/>
          </w:tcPr>
          <w:p>
            <w:pPr>
              <w:jc w:val="right"/>
              <w:ind w:right="140"/>
              <w:spacing w:after="0" w:line="122" w:lineRule="exact"/>
              <w:rPr>
                <w:sz w:val="20"/>
                <w:szCs w:val="20"/>
                <w:color w:val="auto"/>
              </w:rPr>
            </w:pPr>
            <w:r>
              <w:rPr>
                <w:rFonts w:ascii="Arial" w:cs="Arial" w:eastAsia="Arial" w:hAnsi="Arial"/>
                <w:sz w:val="14"/>
                <w:szCs w:val="14"/>
                <w:color w:val="auto"/>
                <w:w w:val="96"/>
              </w:rPr>
              <w:t>07/31/2016</w:t>
            </w:r>
          </w:p>
        </w:tc>
        <w:tc>
          <w:tcPr>
            <w:tcW w:w="2300" w:type="dxa"/>
            <w:vAlign w:val="bottom"/>
            <w:gridSpan w:val="3"/>
            <w:vMerge w:val="restart"/>
          </w:tcPr>
          <w:p>
            <w:pPr>
              <w:jc w:val="center"/>
              <w:ind w:right="60"/>
              <w:spacing w:after="0" w:line="122"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vMerge w:val="restart"/>
          </w:tcPr>
          <w:p>
            <w:pPr>
              <w:jc w:val="right"/>
              <w:ind w:right="260"/>
              <w:spacing w:after="0" w:line="122" w:lineRule="exact"/>
              <w:rPr>
                <w:sz w:val="20"/>
                <w:szCs w:val="20"/>
                <w:color w:val="auto"/>
              </w:rPr>
            </w:pPr>
            <w:r>
              <w:rPr>
                <w:rFonts w:ascii="Arial" w:cs="Arial" w:eastAsia="Arial" w:hAnsi="Arial"/>
                <w:sz w:val="14"/>
                <w:szCs w:val="14"/>
                <w:color w:val="auto"/>
              </w:rPr>
              <w:t>12.38%</w:t>
            </w:r>
          </w:p>
        </w:tc>
        <w:tc>
          <w:tcPr>
            <w:tcW w:w="5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gridSpan w:val="3"/>
            <w:vMerge w:val="restart"/>
          </w:tcPr>
          <w:p>
            <w:pPr>
              <w:jc w:val="right"/>
              <w:ind w:right="60"/>
              <w:spacing w:after="0" w:line="122" w:lineRule="exact"/>
              <w:rPr>
                <w:sz w:val="20"/>
                <w:szCs w:val="20"/>
                <w:color w:val="auto"/>
              </w:rPr>
            </w:pPr>
            <w:r>
              <w:rPr>
                <w:rFonts w:ascii="Arial" w:cs="Arial" w:eastAsia="Arial" w:hAnsi="Arial"/>
                <w:sz w:val="14"/>
                <w:szCs w:val="14"/>
                <w:color w:val="auto"/>
              </w:rPr>
              <w:t>10,000,000</w:t>
            </w:r>
          </w:p>
        </w:tc>
        <w:tc>
          <w:tcPr>
            <w:tcW w:w="800" w:type="dxa"/>
            <w:vAlign w:val="bottom"/>
            <w:gridSpan w:val="4"/>
            <w:vMerge w:val="restart"/>
          </w:tcPr>
          <w:p>
            <w:pPr>
              <w:jc w:val="right"/>
              <w:spacing w:after="0" w:line="122" w:lineRule="exact"/>
              <w:rPr>
                <w:sz w:val="20"/>
                <w:szCs w:val="20"/>
                <w:color w:val="auto"/>
              </w:rPr>
            </w:pPr>
            <w:r>
              <w:rPr>
                <w:rFonts w:ascii="Arial" w:cs="Arial" w:eastAsia="Arial" w:hAnsi="Arial"/>
                <w:sz w:val="14"/>
                <w:szCs w:val="14"/>
                <w:color w:val="auto"/>
              </w:rPr>
              <w:t>9,421,220</w:t>
            </w:r>
          </w:p>
        </w:tc>
        <w:tc>
          <w:tcPr>
            <w:tcW w:w="80" w:type="dxa"/>
            <w:vAlign w:val="bottom"/>
          </w:tcPr>
          <w:p>
            <w:pPr>
              <w:spacing w:after="0"/>
              <w:rPr>
                <w:sz w:val="4"/>
                <w:szCs w:val="4"/>
                <w:color w:val="auto"/>
              </w:rPr>
            </w:pPr>
          </w:p>
        </w:tc>
        <w:tc>
          <w:tcPr>
            <w:tcW w:w="840" w:type="dxa"/>
            <w:vAlign w:val="bottom"/>
            <w:gridSpan w:val="4"/>
            <w:vMerge w:val="restart"/>
          </w:tcPr>
          <w:p>
            <w:pPr>
              <w:jc w:val="right"/>
              <w:spacing w:after="0" w:line="122" w:lineRule="exact"/>
              <w:rPr>
                <w:sz w:val="20"/>
                <w:szCs w:val="20"/>
                <w:color w:val="auto"/>
              </w:rPr>
            </w:pPr>
            <w:r>
              <w:rPr>
                <w:rFonts w:ascii="Arial" w:cs="Arial" w:eastAsia="Arial" w:hAnsi="Arial"/>
                <w:sz w:val="14"/>
                <w:szCs w:val="14"/>
                <w:color w:val="auto"/>
              </w:rPr>
              <w:t>10,050,000</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2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60" w:type="dxa"/>
            <w:vAlign w:val="bottom"/>
            <w:gridSpan w:val="2"/>
          </w:tcPr>
          <w:p>
            <w:pPr>
              <w:jc w:val="right"/>
              <w:ind w:right="184"/>
              <w:spacing w:after="0" w:line="68" w:lineRule="exact"/>
              <w:rPr>
                <w:sz w:val="20"/>
                <w:szCs w:val="20"/>
                <w:color w:val="auto"/>
              </w:rPr>
            </w:pPr>
            <w:r>
              <w:rPr>
                <w:rFonts w:ascii="Arial" w:cs="Arial" w:eastAsia="Arial" w:hAnsi="Arial"/>
                <w:sz w:val="7"/>
                <w:szCs w:val="7"/>
                <w:color w:val="auto"/>
              </w:rPr>
              <w:t>L+988</w:t>
            </w:r>
          </w:p>
        </w:tc>
        <w:tc>
          <w:tcPr>
            <w:tcW w:w="860" w:type="dxa"/>
            <w:vAlign w:val="bottom"/>
            <w:gridSpan w:val="3"/>
            <w:vMerge w:val="continue"/>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07/07/2012</w:t>
            </w:r>
          </w:p>
        </w:tc>
        <w:tc>
          <w:tcPr>
            <w:tcW w:w="2300" w:type="dxa"/>
            <w:vAlign w:val="bottom"/>
            <w:gridSpan w:val="3"/>
          </w:tcPr>
          <w:p>
            <w:pPr>
              <w:jc w:val="center"/>
              <w:ind w:right="60"/>
              <w:spacing w:after="0"/>
              <w:rPr>
                <w:sz w:val="20"/>
                <w:szCs w:val="20"/>
                <w:color w:val="auto"/>
              </w:rPr>
            </w:pPr>
            <w:r>
              <w:rPr>
                <w:rFonts w:ascii="Arial" w:cs="Arial" w:eastAsia="Arial" w:hAnsi="Arial"/>
                <w:sz w:val="14"/>
                <w:szCs w:val="14"/>
                <w:color w:val="auto"/>
                <w:w w:val="87"/>
              </w:rPr>
              <w:t>Environmental Services</w:t>
            </w:r>
          </w:p>
        </w:tc>
        <w:tc>
          <w:tcPr>
            <w:tcW w:w="86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11.00%</w:t>
            </w:r>
            <w:r>
              <w:rPr>
                <w:rFonts w:ascii="Arial" w:cs="Arial" w:eastAsia="Arial" w:hAnsi="Arial"/>
                <w:sz w:val="20"/>
                <w:szCs w:val="20"/>
                <w:color w:val="auto"/>
                <w:vertAlign w:val="superscript"/>
              </w:rPr>
              <w:t>(6)</w:t>
            </w:r>
          </w:p>
        </w:tc>
        <w:tc>
          <w:tcPr>
            <w:tcW w:w="760" w:type="dxa"/>
            <w:vAlign w:val="bottom"/>
            <w:gridSpan w:val="2"/>
          </w:tcPr>
          <w:p>
            <w:pPr>
              <w:jc w:val="right"/>
              <w:ind w:right="64"/>
              <w:spacing w:after="0" w:line="176" w:lineRule="exact"/>
              <w:rPr>
                <w:sz w:val="20"/>
                <w:szCs w:val="20"/>
                <w:color w:val="auto"/>
              </w:rPr>
            </w:pPr>
            <w:r>
              <w:rPr>
                <w:rFonts w:ascii="Arial" w:cs="Arial" w:eastAsia="Arial" w:hAnsi="Arial"/>
                <w:sz w:val="13"/>
                <w:szCs w:val="13"/>
                <w:color w:val="auto"/>
              </w:rPr>
              <w:t>P+775</w:t>
            </w:r>
            <w:r>
              <w:rPr>
                <w:rFonts w:ascii="Arial" w:cs="Arial" w:eastAsia="Arial" w:hAnsi="Arial"/>
                <w:sz w:val="20"/>
                <w:szCs w:val="20"/>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14,175,260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13,391,908</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12,715,207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03/08/2014</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2.49%</w:t>
            </w:r>
          </w:p>
        </w:tc>
        <w:tc>
          <w:tcPr>
            <w:tcW w:w="76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8,842,500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8,842,500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6,225,120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04/15/2014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2.88%</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L+250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020" w:type="dxa"/>
            <w:vAlign w:val="bottom"/>
            <w:gridSpan w:val="3"/>
          </w:tcPr>
          <w:p>
            <w:pPr>
              <w:spacing w:after="0"/>
              <w:rPr>
                <w:sz w:val="20"/>
                <w:szCs w:val="20"/>
                <w:color w:val="auto"/>
              </w:rPr>
            </w:pPr>
            <w:r>
              <w:rPr>
                <w:rFonts w:ascii="Arial" w:cs="Arial" w:eastAsia="Arial" w:hAnsi="Arial"/>
                <w:sz w:val="14"/>
                <w:szCs w:val="14"/>
                <w:color w:val="auto"/>
              </w:rPr>
              <w:t>Jacuzzi Brands Corp.</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02/07/2014</w:t>
            </w:r>
          </w:p>
        </w:tc>
        <w:tc>
          <w:tcPr>
            <w:tcW w:w="2300" w:type="dxa"/>
            <w:vAlign w:val="bottom"/>
            <w:gridSpan w:val="3"/>
          </w:tcPr>
          <w:p>
            <w:pPr>
              <w:jc w:val="center"/>
              <w:ind w:right="60"/>
              <w:spacing w:after="0"/>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2.53%</w:t>
            </w:r>
          </w:p>
        </w:tc>
        <w:tc>
          <w:tcPr>
            <w:tcW w:w="760" w:type="dxa"/>
            <w:vAlign w:val="bottom"/>
            <w:gridSpan w:val="2"/>
          </w:tcPr>
          <w:p>
            <w:pPr>
              <w:jc w:val="right"/>
              <w:ind w:right="184"/>
              <w:spacing w:after="0"/>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9,817,568</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9,817,568</w:t>
            </w:r>
          </w:p>
        </w:tc>
        <w:tc>
          <w:tcPr>
            <w:tcW w:w="8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4,810,608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gridSpan w:val="2"/>
          </w:tcPr>
          <w:p>
            <w:pPr>
              <w:jc w:val="center"/>
              <w:ind w:right="920"/>
              <w:spacing w:after="0" w:line="159" w:lineRule="exact"/>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Levlad,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03/08/2014</w:t>
            </w:r>
          </w:p>
        </w:tc>
        <w:tc>
          <w:tcPr>
            <w:tcW w:w="230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7.75%</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L+475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4,434,548</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4,434,548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1,064,292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Lyondell Chemical Co.</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12/15/2009</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Chemicals, Plastics and Rubber</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760" w:type="dxa"/>
            <w:vAlign w:val="bottom"/>
            <w:gridSpan w:val="2"/>
          </w:tcPr>
          <w:p>
            <w:pPr>
              <w:jc w:val="right"/>
              <w:ind w:right="64"/>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12,668,615</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12,965,067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13,169,026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Lyondell Chemical Co.</w:t>
            </w:r>
            <w:r>
              <w:rPr>
                <w:rFonts w:ascii="Arial" w:cs="Arial" w:eastAsia="Arial" w:hAnsi="Arial"/>
                <w:sz w:val="17"/>
                <w:szCs w:val="17"/>
                <w:color w:val="auto"/>
                <w:vertAlign w:val="superscript"/>
              </w:rPr>
              <w:t>(9)</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12/15/2009</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Chemicals, Plastics and Rubber</w:t>
            </w: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6,331,385</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6,458,897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6,581,474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w w:val="96"/>
              </w:rPr>
              <w:t>01/18/2014</w:t>
            </w:r>
          </w:p>
        </w:tc>
        <w:tc>
          <w:tcPr>
            <w:tcW w:w="230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2.55%</w:t>
            </w:r>
          </w:p>
        </w:tc>
        <w:tc>
          <w:tcPr>
            <w:tcW w:w="760" w:type="dxa"/>
            <w:vAlign w:val="bottom"/>
            <w:gridSpan w:val="2"/>
          </w:tcPr>
          <w:p>
            <w:pPr>
              <w:jc w:val="right"/>
              <w:ind w:right="184"/>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3,910,200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3,910,200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3,022,585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03/28/2014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2.31%</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L+200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1,910,204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1,910,204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1,687,346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w w:val="96"/>
              </w:rPr>
              <w:t>02/28/2013</w:t>
            </w:r>
          </w:p>
        </w:tc>
        <w:tc>
          <w:tcPr>
            <w:tcW w:w="230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8"/>
              </w:rPr>
              <w:t>Home and Office Furnishings,</w:t>
            </w: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2.26%</w:t>
            </w:r>
          </w:p>
        </w:tc>
        <w:tc>
          <w:tcPr>
            <w:tcW w:w="760" w:type="dxa"/>
            <w:vAlign w:val="bottom"/>
            <w:gridSpan w:val="2"/>
          </w:tcPr>
          <w:p>
            <w:pPr>
              <w:jc w:val="right"/>
              <w:ind w:right="184"/>
              <w:spacing w:after="0" w:line="138" w:lineRule="exact"/>
              <w:rPr>
                <w:sz w:val="20"/>
                <w:szCs w:val="20"/>
                <w:color w:val="auto"/>
              </w:rPr>
            </w:pPr>
            <w:r>
              <w:rPr>
                <w:rFonts w:ascii="Arial" w:cs="Arial" w:eastAsia="Arial" w:hAnsi="Arial"/>
                <w:sz w:val="14"/>
                <w:szCs w:val="14"/>
                <w:color w:val="auto"/>
              </w:rPr>
              <w:t>L+200</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6,825,000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6,829,243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6,142,500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Housewares and Durable Consumer</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4"/>
                <w:szCs w:val="14"/>
                <w:color w:val="auto"/>
                <w:w w:val="86"/>
              </w:rPr>
              <w:t>Products</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02/01/2013</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2.73%</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4,875,000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4,875,000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3,568,500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03/16/2014</w:t>
            </w:r>
          </w:p>
        </w:tc>
        <w:tc>
          <w:tcPr>
            <w:tcW w:w="23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w:t>
            </w:r>
          </w:p>
        </w:tc>
        <w:tc>
          <w:tcPr>
            <w:tcW w:w="76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L+200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1,426,506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1,426,506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1,148,337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05/04/2014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L+200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4,886,667</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4,886,667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2,912,600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020" w:type="dxa"/>
            <w:vAlign w:val="bottom"/>
            <w:gridSpan w:val="3"/>
          </w:tcPr>
          <w:p>
            <w:pPr>
              <w:spacing w:after="0"/>
              <w:rPr>
                <w:sz w:val="20"/>
                <w:szCs w:val="20"/>
                <w:color w:val="auto"/>
              </w:rPr>
            </w:pPr>
            <w:r>
              <w:rPr>
                <w:rFonts w:ascii="Arial" w:cs="Arial" w:eastAsia="Arial" w:hAnsi="Arial"/>
                <w:sz w:val="14"/>
                <w:szCs w:val="14"/>
                <w:color w:val="auto"/>
              </w:rPr>
              <w:t>Rexair, L.L.C.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06/30/2010</w:t>
            </w:r>
          </w:p>
        </w:tc>
        <w:tc>
          <w:tcPr>
            <w:tcW w:w="860" w:type="dxa"/>
            <w:vAlign w:val="bottom"/>
          </w:tcPr>
          <w:p>
            <w:pPr>
              <w:spacing w:after="0"/>
              <w:rPr>
                <w:sz w:val="22"/>
                <w:szCs w:val="22"/>
                <w:color w:val="auto"/>
              </w:rPr>
            </w:pPr>
          </w:p>
        </w:tc>
        <w:tc>
          <w:tcPr>
            <w:tcW w:w="1440" w:type="dxa"/>
            <w:vAlign w:val="bottom"/>
            <w:gridSpan w:val="2"/>
          </w:tcPr>
          <w:p>
            <w:pPr>
              <w:jc w:val="center"/>
              <w:ind w:right="920"/>
              <w:spacing w:after="0"/>
              <w:rPr>
                <w:sz w:val="20"/>
                <w:szCs w:val="20"/>
                <w:color w:val="auto"/>
              </w:rPr>
            </w:pPr>
            <w:r>
              <w:rPr>
                <w:rFonts w:ascii="Arial" w:cs="Arial" w:eastAsia="Arial" w:hAnsi="Arial"/>
                <w:sz w:val="14"/>
                <w:szCs w:val="14"/>
                <w:color w:val="auto"/>
                <w:w w:val="89"/>
              </w:rPr>
              <w:t>Retail</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4.50%</w:t>
            </w:r>
          </w:p>
        </w:tc>
        <w:tc>
          <w:tcPr>
            <w:tcW w:w="760" w:type="dxa"/>
            <w:vAlign w:val="bottom"/>
            <w:gridSpan w:val="2"/>
          </w:tcPr>
          <w:p>
            <w:pPr>
              <w:jc w:val="right"/>
              <w:ind w:right="184"/>
              <w:spacing w:after="0"/>
              <w:rPr>
                <w:sz w:val="20"/>
                <w:szCs w:val="20"/>
                <w:color w:val="auto"/>
              </w:rPr>
            </w:pPr>
            <w:r>
              <w:rPr>
                <w:rFonts w:ascii="Arial" w:cs="Arial" w:eastAsia="Arial" w:hAnsi="Arial"/>
                <w:sz w:val="14"/>
                <w:szCs w:val="14"/>
                <w:color w:val="auto"/>
              </w:rPr>
              <w:t>L+425</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6,695,795</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5,507,847</w:t>
            </w:r>
          </w:p>
        </w:tc>
        <w:tc>
          <w:tcPr>
            <w:tcW w:w="8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5,189,241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L.L.C.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07/19/2013</w:t>
            </w:r>
          </w:p>
        </w:tc>
        <w:tc>
          <w:tcPr>
            <w:tcW w:w="230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Manufacturing/Basic Industry</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L+200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2,887,881</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2,887,881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2,768,756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01/30/2014</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5.95%</w:t>
            </w:r>
          </w:p>
        </w:tc>
        <w:tc>
          <w:tcPr>
            <w:tcW w:w="76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L+550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2,682,328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2,682,328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2,226,332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09/23/2014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760" w:type="dxa"/>
            <w:vAlign w:val="bottom"/>
            <w:gridSpan w:val="2"/>
            <w:shd w:val="clear" w:color="auto" w:fill="CCEEFF"/>
          </w:tcPr>
          <w:p>
            <w:pPr>
              <w:jc w:val="right"/>
              <w:ind w:right="64"/>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19,203,528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U.S. Xpress Enterprises,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10/12/2014</w:t>
            </w:r>
          </w:p>
        </w:tc>
        <w:tc>
          <w:tcPr>
            <w:tcW w:w="2300" w:type="dxa"/>
            <w:vAlign w:val="bottom"/>
            <w:gridSpan w:val="3"/>
          </w:tcPr>
          <w:p>
            <w:pPr>
              <w:jc w:val="center"/>
              <w:ind w:right="60"/>
              <w:spacing w:after="0"/>
              <w:rPr>
                <w:sz w:val="20"/>
                <w:szCs w:val="20"/>
                <w:color w:val="auto"/>
              </w:rPr>
            </w:pPr>
            <w:r>
              <w:rPr>
                <w:rFonts w:ascii="Arial" w:cs="Arial" w:eastAsia="Arial" w:hAnsi="Arial"/>
                <w:sz w:val="14"/>
                <w:szCs w:val="14"/>
                <w:color w:val="auto"/>
                <w:w w:val="87"/>
              </w:rPr>
              <w:t>Cargo Transportation</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4.26%</w:t>
            </w:r>
          </w:p>
        </w:tc>
        <w:tc>
          <w:tcPr>
            <w:tcW w:w="760" w:type="dxa"/>
            <w:vAlign w:val="bottom"/>
            <w:gridSpan w:val="2"/>
          </w:tcPr>
          <w:p>
            <w:pPr>
              <w:jc w:val="right"/>
              <w:ind w:right="184"/>
              <w:spacing w:after="0"/>
              <w:rPr>
                <w:sz w:val="20"/>
                <w:szCs w:val="20"/>
                <w:color w:val="auto"/>
              </w:rPr>
            </w:pPr>
            <w:r>
              <w:rPr>
                <w:rFonts w:ascii="Arial" w:cs="Arial" w:eastAsia="Arial" w:hAnsi="Arial"/>
                <w:sz w:val="14"/>
                <w:szCs w:val="14"/>
                <w:color w:val="auto"/>
              </w:rPr>
              <w:t>L+400</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14,966,254</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10,315,732</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10,887,950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74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Color Press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07/21/2012</w:t>
            </w:r>
          </w:p>
        </w:tc>
        <w:tc>
          <w:tcPr>
            <w:tcW w:w="8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920"/>
              <w:spacing w:after="0" w:line="149" w:lineRule="exact"/>
              <w:rPr>
                <w:sz w:val="20"/>
                <w:szCs w:val="20"/>
                <w:color w:val="auto"/>
              </w:rPr>
            </w:pPr>
            <w:r>
              <w:rPr>
                <w:rFonts w:ascii="Arial" w:cs="Arial" w:eastAsia="Arial" w:hAnsi="Arial"/>
                <w:sz w:val="14"/>
                <w:szCs w:val="14"/>
                <w:color w:val="auto"/>
                <w:w w:val="92"/>
              </w:rPr>
              <w:t>Printing</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9.00%</w:t>
            </w:r>
          </w:p>
        </w:tc>
        <w:tc>
          <w:tcPr>
            <w:tcW w:w="760" w:type="dxa"/>
            <w:vAlign w:val="bottom"/>
            <w:gridSpan w:val="2"/>
            <w:shd w:val="clear" w:color="auto" w:fill="CCEEFF"/>
          </w:tcPr>
          <w:p>
            <w:pPr>
              <w:jc w:val="right"/>
              <w:ind w:right="64"/>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3,177,842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3,491,250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07/15/2016</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Hotels, Motels, Inns and Gaming</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4,857,698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5,200,000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164,863,868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150,607,490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02/07/2015</w:t>
            </w:r>
          </w:p>
        </w:tc>
        <w:tc>
          <w:tcPr>
            <w:tcW w:w="230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6.36%</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13,153,077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12,416,800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02/07/2015</w:t>
            </w:r>
          </w:p>
        </w:tc>
        <w:tc>
          <w:tcPr>
            <w:tcW w:w="23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Energy/Utilities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7.44%</w:t>
            </w:r>
          </w:p>
        </w:tc>
        <w:tc>
          <w:tcPr>
            <w:tcW w:w="760" w:type="dxa"/>
            <w:vAlign w:val="bottom"/>
            <w:gridSpan w:val="2"/>
          </w:tcPr>
          <w:p>
            <w:pPr>
              <w:jc w:val="right"/>
              <w:ind w:right="184"/>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11,735,965</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11,364,000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96"/>
              </w:rPr>
              <w:t>04/30/2015</w:t>
            </w:r>
          </w:p>
        </w:tc>
        <w:tc>
          <w:tcPr>
            <w:tcW w:w="2300" w:type="dxa"/>
            <w:vAlign w:val="bottom"/>
            <w:gridSpan w:val="3"/>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7"/>
              </w:rPr>
              <w:t>Healthcare, Education and</w:t>
            </w:r>
          </w:p>
        </w:tc>
        <w:tc>
          <w:tcPr>
            <w:tcW w:w="8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7.78%</w:t>
            </w:r>
          </w:p>
        </w:tc>
        <w:tc>
          <w:tcPr>
            <w:tcW w:w="760" w:type="dxa"/>
            <w:vAlign w:val="bottom"/>
            <w:gridSpan w:val="2"/>
            <w:shd w:val="clear" w:color="auto" w:fill="CCEEFF"/>
          </w:tcPr>
          <w:p>
            <w:pPr>
              <w:jc w:val="right"/>
              <w:ind w:right="184"/>
              <w:spacing w:after="0" w:line="138"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12,000,000</w:t>
            </w:r>
          </w:p>
        </w:tc>
        <w:tc>
          <w:tcPr>
            <w:tcW w:w="8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11,949,634</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87"/>
              </w:rPr>
              <w:t>Childcare</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4"/>
                <w:szCs w:val="14"/>
                <w:color w:val="auto"/>
              </w:rPr>
              <w:t>Greatwide Logistics Services, L.L.C.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03/01/2014</w:t>
            </w:r>
          </w:p>
        </w:tc>
        <w:tc>
          <w:tcPr>
            <w:tcW w:w="2300" w:type="dxa"/>
            <w:vAlign w:val="bottom"/>
            <w:gridSpan w:val="3"/>
          </w:tcPr>
          <w:p>
            <w:pPr>
              <w:jc w:val="center"/>
              <w:ind w:right="60"/>
              <w:spacing w:after="0"/>
              <w:rPr>
                <w:sz w:val="20"/>
                <w:szCs w:val="20"/>
                <w:color w:val="auto"/>
              </w:rPr>
            </w:pPr>
            <w:r>
              <w:rPr>
                <w:rFonts w:ascii="Arial" w:cs="Arial" w:eastAsia="Arial" w:hAnsi="Arial"/>
                <w:sz w:val="14"/>
                <w:szCs w:val="14"/>
                <w:color w:val="auto"/>
                <w:w w:val="86"/>
              </w:rPr>
              <w:t>Cargo Transport</w:t>
            </w:r>
          </w:p>
        </w:tc>
        <w:tc>
          <w:tcPr>
            <w:tcW w:w="860" w:type="dxa"/>
            <w:vAlign w:val="bottom"/>
            <w:gridSpan w:val="2"/>
          </w:tcPr>
          <w:p>
            <w:pPr>
              <w:jc w:val="right"/>
              <w:ind w:right="140"/>
              <w:spacing w:after="0" w:line="217" w:lineRule="exact"/>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60" w:type="dxa"/>
            <w:vAlign w:val="bottom"/>
            <w:gridSpan w:val="2"/>
          </w:tcPr>
          <w:p>
            <w:pPr>
              <w:jc w:val="right"/>
              <w:ind w:right="64"/>
              <w:spacing w:after="0" w:line="217" w:lineRule="exact"/>
              <w:rPr>
                <w:sz w:val="20"/>
                <w:szCs w:val="20"/>
                <w:color w:val="auto"/>
              </w:rPr>
            </w:pPr>
            <w:r>
              <w:rPr>
                <w:rFonts w:ascii="Arial" w:cs="Arial" w:eastAsia="Arial" w:hAnsi="Arial"/>
                <w:sz w:val="14"/>
                <w:szCs w:val="14"/>
                <w:color w:val="auto"/>
              </w:rPr>
              <w:t>L+700</w:t>
            </w:r>
            <w:r>
              <w:rPr>
                <w:rFonts w:ascii="Arial" w:cs="Arial" w:eastAsia="Arial" w:hAnsi="Arial"/>
                <w:sz w:val="22"/>
                <w:szCs w:val="22"/>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2,309,343</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2,309,344</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2,309,344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11/04/2014</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Other Media</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L+650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10/15/2017</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Buildings and Real Estate</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10,387,500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05/15/2015</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Transportation</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8.19%</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6"/>
              </w:rPr>
              <w:t>05/15/2017</w:t>
            </w:r>
          </w:p>
        </w:tc>
        <w:tc>
          <w:tcPr>
            <w:tcW w:w="23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Transportation</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16,890,972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w w:val="96"/>
              </w:rPr>
              <w:t>06/15/2015</w:t>
            </w:r>
          </w:p>
        </w:tc>
        <w:tc>
          <w:tcPr>
            <w:tcW w:w="2300" w:type="dxa"/>
            <w:vAlign w:val="bottom"/>
            <w:gridSpan w:val="3"/>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7"/>
              </w:rPr>
              <w:t>Healthcare, Education and</w:t>
            </w:r>
          </w:p>
        </w:tc>
        <w:tc>
          <w:tcPr>
            <w:tcW w:w="8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760" w:type="dxa"/>
            <w:vAlign w:val="bottom"/>
            <w:gridSpan w:val="2"/>
            <w:shd w:val="clear" w:color="auto" w:fill="CCEEFF"/>
          </w:tcPr>
          <w:p>
            <w:pPr>
              <w:jc w:val="right"/>
              <w:ind w:right="184"/>
              <w:spacing w:after="0" w:line="138" w:lineRule="exact"/>
              <w:rPr>
                <w:sz w:val="20"/>
                <w:szCs w:val="20"/>
                <w:color w:val="auto"/>
              </w:rPr>
            </w:pPr>
            <w:r>
              <w:rPr>
                <w:rFonts w:ascii="Arial" w:cs="Arial" w:eastAsia="Arial" w:hAnsi="Arial"/>
                <w:sz w:val="14"/>
                <w:szCs w:val="14"/>
                <w:color w:val="auto"/>
              </w:rPr>
              <w:t>L+575</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21,500,000</w:t>
            </w:r>
          </w:p>
        </w:tc>
        <w:tc>
          <w:tcPr>
            <w:tcW w:w="8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3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87"/>
              </w:rPr>
              <w:t>Childcare</w:t>
            </w: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Specialized Technology Resources, Inc.</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12/15/2014</w:t>
            </w:r>
          </w:p>
        </w:tc>
        <w:tc>
          <w:tcPr>
            <w:tcW w:w="230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Chemical, Plastics and Rubber</w:t>
            </w:r>
          </w:p>
        </w:tc>
        <w:tc>
          <w:tcPr>
            <w:tcW w:w="860" w:type="dxa"/>
            <w:vAlign w:val="bottom"/>
            <w:gridSpan w:val="2"/>
          </w:tcPr>
          <w:p>
            <w:pPr>
              <w:jc w:val="right"/>
              <w:ind w:right="140"/>
              <w:spacing w:after="0" w:line="217" w:lineRule="exact"/>
              <w:rPr>
                <w:sz w:val="20"/>
                <w:szCs w:val="20"/>
                <w:color w:val="auto"/>
              </w:rPr>
            </w:pPr>
            <w:r>
              <w:rPr>
                <w:rFonts w:ascii="Arial" w:cs="Arial" w:eastAsia="Arial" w:hAnsi="Arial"/>
                <w:sz w:val="14"/>
                <w:szCs w:val="14"/>
                <w:color w:val="auto"/>
              </w:rPr>
              <w:t>7.25%</w:t>
            </w:r>
            <w:r>
              <w:rPr>
                <w:rFonts w:ascii="Arial" w:cs="Arial" w:eastAsia="Arial" w:hAnsi="Arial"/>
                <w:sz w:val="22"/>
                <w:szCs w:val="22"/>
                <w:color w:val="auto"/>
                <w:vertAlign w:val="superscript"/>
              </w:rPr>
              <w:t>(6)</w:t>
            </w:r>
          </w:p>
        </w:tc>
        <w:tc>
          <w:tcPr>
            <w:tcW w:w="760" w:type="dxa"/>
            <w:vAlign w:val="bottom"/>
            <w:gridSpan w:val="2"/>
          </w:tcPr>
          <w:p>
            <w:pPr>
              <w:jc w:val="right"/>
              <w:ind w:right="184"/>
              <w:spacing w:after="0"/>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22,500,000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22,488,166</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06/15/2015</w:t>
            </w:r>
          </w:p>
        </w:tc>
        <w:tc>
          <w:tcPr>
            <w:tcW w:w="23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Financial Services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84"/>
              <w:spacing w:after="0" w:line="149" w:lineRule="exact"/>
              <w:rPr>
                <w:sz w:val="20"/>
                <w:szCs w:val="20"/>
                <w:color w:val="auto"/>
              </w:rPr>
            </w:pPr>
            <w:r>
              <w:rPr>
                <w:rFonts w:ascii="Arial" w:cs="Arial" w:eastAsia="Arial" w:hAnsi="Arial"/>
                <w:sz w:val="14"/>
                <w:szCs w:val="14"/>
                <w:color w:val="auto"/>
              </w:rPr>
              <w:t>L+675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16,792,105</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2"/>
              </w:rPr>
              <w:t>143,571,496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126,382,167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-4819015</wp:posOffset>
            </wp:positionV>
            <wp:extent cx="7246620" cy="946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-4630420</wp:posOffset>
            </wp:positionV>
            <wp:extent cx="7246620" cy="94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-4441825</wp:posOffset>
            </wp:positionV>
            <wp:extent cx="7246620" cy="946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Current</w:t>
            </w: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56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Industry</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Coupon</w:t>
            </w:r>
          </w:p>
        </w:tc>
        <w:tc>
          <w:tcPr>
            <w:tcW w:w="62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4"/>
                <w:szCs w:val="14"/>
                <w:color w:val="auto"/>
              </w:rPr>
            </w:pPr>
          </w:p>
        </w:tc>
        <w:tc>
          <w:tcPr>
            <w:tcW w:w="7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Notes—50.6%</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03/01/2012</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5"/>
              </w:rPr>
              <w:t>Consumer Products</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$23,572,133</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5"/>
              </w:rPr>
              <w:t>$ 22,930,475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$ 21,497,875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04/17/2015</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8,109,468</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7,952,769</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03/22/2014</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20,311,603</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19,875,880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20,463,940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04/01/2014</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Telecommunications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995,610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1,115,000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06/06/2014</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22,653,857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22,279,800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22,880,395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05/20/2012</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Auto Sector</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13.75%</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19,632,400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20,060,000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12/28/2015</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Education</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10,324,976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10,190,682</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10,324,976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04/15/2015</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Buildings and Real Estate</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12.38%</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8,921,187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5,525,000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10/01/2016</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Insurance</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20,197,856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20,010,210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20,652,308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Acquisitions Sub Inc.</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02/08/2015</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9"/>
              </w:rPr>
              <w:t>Oil and Gas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13.50%</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20,472,809</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21,420,000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153,261,822</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152,130,057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Interests—3.6%</w:t>
            </w:r>
            <w:r>
              <w:rPr>
                <w:rFonts w:ascii="Arial" w:cs="Arial" w:eastAsia="Arial" w:hAnsi="Arial"/>
                <w:sz w:val="17"/>
                <w:szCs w:val="17"/>
                <w:b w:val="1"/>
                <w:bCs w:val="1"/>
                <w:color w:val="auto"/>
                <w:vertAlign w:val="superscript"/>
              </w:rPr>
              <w:t>(7)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2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797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797,288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949,648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4,137,240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 (Trizetto Group, Inc.)</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(TZ Merger Sub, Inc.)</w:t>
            </w:r>
          </w:p>
        </w:tc>
        <w:tc>
          <w:tcPr>
            <w:tcW w:w="28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7"/>
              </w:rPr>
              <w:t>Insurance</w:t>
            </w:r>
          </w:p>
        </w:tc>
        <w:tc>
          <w:tcPr>
            <w:tcW w:w="84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 (Trizetto Group, Inc.)</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Insurance</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1,312,006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1,410,604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640" w:type="dxa"/>
            <w:vAlign w:val="bottom"/>
            <w:gridSpan w:val="3"/>
          </w:tcPr>
          <w:p>
            <w:pPr>
              <w:spacing w:after="0"/>
              <w:rPr>
                <w:sz w:val="20"/>
                <w:szCs w:val="20"/>
                <w:color w:val="auto"/>
              </w:rPr>
            </w:pPr>
            <w:r>
              <w:rPr>
                <w:rFonts w:ascii="Arial" w:cs="Arial" w:eastAsia="Arial" w:hAnsi="Arial"/>
                <w:sz w:val="14"/>
                <w:szCs w:val="14"/>
                <w:color w:val="auto"/>
              </w:rPr>
              <w:t>UP Holdings Inc., Class A-1 (UP Acquisitions Sub Inc.)</w:t>
            </w:r>
          </w:p>
        </w:tc>
        <w:tc>
          <w:tcPr>
            <w:tcW w:w="280" w:type="dxa"/>
            <w:vAlign w:val="bottom"/>
          </w:tcPr>
          <w:p>
            <w:pPr>
              <w:spacing w:after="0"/>
              <w:rPr>
                <w:sz w:val="23"/>
                <w:szCs w:val="2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Oil and Gas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8.00%</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91,608</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2,499,067</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3,094,252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LLC (Advanstar Inc.)</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319</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9,750,317</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10,934,053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Interests—4.5%</w:t>
            </w:r>
            <w:r>
              <w:rPr>
                <w:rFonts w:ascii="Arial" w:cs="Arial" w:eastAsia="Arial" w:hAnsi="Arial"/>
                <w:sz w:val="17"/>
                <w:szCs w:val="17"/>
                <w:b w:val="1"/>
                <w:bCs w:val="1"/>
                <w:color w:val="auto"/>
                <w:vertAlign w:val="superscript"/>
              </w:rPr>
              <w:t>(7)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640" w:type="dxa"/>
            <w:vAlign w:val="bottom"/>
            <w:gridSpan w:val="3"/>
          </w:tcPr>
          <w:p>
            <w:pPr>
              <w:spacing w:after="0"/>
              <w:rPr>
                <w:sz w:val="20"/>
                <w:szCs w:val="20"/>
                <w:color w:val="auto"/>
              </w:rPr>
            </w:pPr>
            <w:r>
              <w:rPr>
                <w:rFonts w:ascii="Arial" w:cs="Arial" w:eastAsia="Arial" w:hAnsi="Arial"/>
                <w:sz w:val="14"/>
                <w:szCs w:val="14"/>
                <w:color w:val="auto"/>
              </w:rPr>
              <w:t>AHC Mezzanine (Advanstar Inc.)</w:t>
            </w:r>
          </w:p>
        </w:tc>
        <w:tc>
          <w:tcPr>
            <w:tcW w:w="280" w:type="dxa"/>
            <w:vAlign w:val="bottom"/>
          </w:tcPr>
          <w:p>
            <w:pPr>
              <w:spacing w:after="0"/>
              <w:rPr>
                <w:sz w:val="22"/>
                <w:szCs w:val="2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rPr>
                <w:sz w:val="20"/>
                <w:szCs w:val="20"/>
                <w:color w:val="auto"/>
              </w:rPr>
            </w:pPr>
            <w:r>
              <w:rPr>
                <w:rFonts w:ascii="Arial" w:cs="Arial" w:eastAsia="Arial" w:hAnsi="Arial"/>
                <w:sz w:val="14"/>
                <w:szCs w:val="14"/>
                <w:color w:val="auto"/>
                <w:w w:val="90"/>
              </w:rPr>
              <w:t>Other Media</w:t>
            </w: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3,000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3,005,163</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CFHC Holdings, Inc. (Consolidated Foundries, Inc.)</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1,627</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16,271</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215,547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5"/>
              </w:rPr>
              <w:t>Business Services</w:t>
            </w:r>
          </w:p>
        </w:tc>
        <w:tc>
          <w:tcPr>
            <w:tcW w:w="84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5,556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3,200,000</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6,696,281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Aerospace and Defense</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457,322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280" w:type="dxa"/>
            <w:vAlign w:val="bottom"/>
          </w:tcPr>
          <w:p>
            <w:pPr>
              <w:spacing w:after="0"/>
              <w:rPr>
                <w:sz w:val="13"/>
                <w:szCs w:val="13"/>
                <w:color w:val="auto"/>
              </w:rPr>
            </w:pPr>
          </w:p>
        </w:tc>
        <w:tc>
          <w:tcPr>
            <w:tcW w:w="7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8"/>
              </w:rPr>
              <w:t>Cargo Transport</w:t>
            </w:r>
          </w:p>
        </w:tc>
        <w:tc>
          <w:tcPr>
            <w:tcW w:w="84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106,299</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1,779,455</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2,391,463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Insurance</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2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Oil and Gas</w:t>
            </w: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91,608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916</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1,656,350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VSS-AHC Holdings, Inc. (Advanstar, Inc.) (Warrant)</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11/06/2018</w:t>
            </w:r>
          </w:p>
        </w:tc>
        <w:tc>
          <w:tcPr>
            <w:tcW w:w="16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Other Media</w:t>
            </w:r>
          </w:p>
        </w:tc>
        <w:tc>
          <w:tcPr>
            <w:tcW w:w="8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8,462,302</w:t>
            </w: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13,590,568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479,909,805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453,644,335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Companies—5.4%</w:t>
            </w:r>
            <w:r>
              <w:rPr>
                <w:rFonts w:ascii="Arial" w:cs="Arial" w:eastAsia="Arial" w:hAnsi="Arial"/>
                <w:sz w:val="18"/>
                <w:szCs w:val="18"/>
                <w:b w:val="1"/>
                <w:bCs w:val="1"/>
                <w:color w:val="auto"/>
                <w:vertAlign w:val="superscript"/>
              </w:rPr>
              <w:t>(1),(2)</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100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07/02/2014</w:t>
            </w:r>
          </w:p>
        </w:tc>
        <w:tc>
          <w:tcPr>
            <w:tcW w:w="16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6"/>
              </w:rPr>
              <w:t>Leisure, Amusement,</w:t>
            </w:r>
          </w:p>
        </w:tc>
        <w:tc>
          <w:tcPr>
            <w:tcW w:w="840" w:type="dxa"/>
            <w:vAlign w:val="bottom"/>
            <w:gridSpan w:val="2"/>
          </w:tcPr>
          <w:p>
            <w:pPr>
              <w:jc w:val="right"/>
              <w:ind w:right="12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620" w:type="dxa"/>
            <w:vAlign w:val="bottom"/>
            <w:gridSpan w:val="2"/>
          </w:tcPr>
          <w:p>
            <w:pPr>
              <w:ind w:left="28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5,077,822</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4,878,081</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4,988,960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Motion Pictures,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9"/>
              </w:rPr>
              <w:t>Entertainment</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Debt—2.7%</w:t>
            </w: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100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07/02/2013</w:t>
            </w:r>
          </w:p>
        </w:tc>
        <w:tc>
          <w:tcPr>
            <w:tcW w:w="16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6"/>
              </w:rPr>
              <w:t>Leisure, Amusement,</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6.24%</w:t>
            </w:r>
          </w:p>
        </w:tc>
        <w:tc>
          <w:tcPr>
            <w:tcW w:w="62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L+575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8,750,000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8,750,000</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8,019,375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Motion Pictures,</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9"/>
              </w:rPr>
              <w:t>Entertainment</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4"/>
                <w:szCs w:val="14"/>
                <w:b w:val="1"/>
                <w:bCs w:val="1"/>
                <w:color w:val="auto"/>
                <w:w w:val="90"/>
              </w:rPr>
              <w:t>Current</w:t>
            </w:r>
          </w:p>
        </w:tc>
        <w:tc>
          <w:tcPr>
            <w:tcW w:w="24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42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Industry</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Coupon</w:t>
            </w:r>
          </w:p>
        </w:tc>
        <w:tc>
          <w:tcPr>
            <w:tcW w:w="240" w:type="dxa"/>
            <w:vAlign w:val="bottom"/>
          </w:tcPr>
          <w:p>
            <w:pPr>
              <w:spacing w:after="0"/>
              <w:rPr>
                <w:sz w:val="14"/>
                <w:szCs w:val="14"/>
                <w:color w:val="auto"/>
              </w:rPr>
            </w:pPr>
          </w:p>
        </w:tc>
        <w:tc>
          <w:tcPr>
            <w:tcW w:w="4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Shares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6"/>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jc w:val="right"/>
              <w:ind w:right="26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Interest—1.0%</w:t>
            </w:r>
            <w:r>
              <w:rPr>
                <w:rFonts w:ascii="Arial" w:cs="Arial" w:eastAsia="Arial" w:hAnsi="Arial"/>
                <w:sz w:val="17"/>
                <w:szCs w:val="17"/>
                <w:b w:val="1"/>
                <w:bCs w:val="1"/>
                <w:color w:val="auto"/>
                <w:vertAlign w:val="superscript"/>
              </w:rPr>
              <w:t>(7)</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58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1"/>
                <w:szCs w:val="11"/>
                <w:color w:val="auto"/>
              </w:rPr>
            </w:pPr>
          </w:p>
        </w:tc>
        <w:tc>
          <w:tcPr>
            <w:tcW w:w="900" w:type="dxa"/>
            <w:vAlign w:val="bottom"/>
            <w:gridSpan w:val="2"/>
          </w:tcPr>
          <w:p>
            <w:pPr>
              <w:jc w:val="center"/>
              <w:ind w:right="360"/>
              <w:spacing w:after="0" w:line="138" w:lineRule="exact"/>
              <w:rPr>
                <w:sz w:val="20"/>
                <w:szCs w:val="20"/>
                <w:color w:val="auto"/>
              </w:rPr>
            </w:pPr>
            <w:r>
              <w:rPr>
                <w:rFonts w:ascii="Arial" w:cs="Arial" w:eastAsia="Arial" w:hAnsi="Arial"/>
                <w:sz w:val="14"/>
                <w:szCs w:val="14"/>
                <w:color w:val="auto"/>
                <w:w w:val="84"/>
              </w:rPr>
              <w:t>Leisure,</w:t>
            </w:r>
          </w:p>
        </w:tc>
        <w:tc>
          <w:tcPr>
            <w:tcW w:w="480" w:type="dxa"/>
            <w:vAlign w:val="bottom"/>
          </w:tcPr>
          <w:p>
            <w:pPr>
              <w:ind w:left="26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480" w:type="dxa"/>
            <w:vAlign w:val="bottom"/>
          </w:tcPr>
          <w:p>
            <w:pPr>
              <w:ind w:left="28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$37,500</w:t>
            </w:r>
          </w:p>
        </w:tc>
        <w:tc>
          <w:tcPr>
            <w:tcW w:w="10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   3,750,000</w:t>
            </w:r>
          </w:p>
        </w:tc>
        <w:tc>
          <w:tcPr>
            <w:tcW w:w="10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   3,107,403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Amusement,</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Motion</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4"/>
              </w:rPr>
              <w:t>Pictures,</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17,378,081</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16,115,738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Total Investments—156.3%</w:t>
            </w: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497,287,886</w:t>
            </w:r>
          </w:p>
        </w:tc>
        <w:tc>
          <w:tcPr>
            <w:tcW w:w="240" w:type="dxa"/>
            <w:vAlign w:val="bottom"/>
          </w:tcPr>
          <w:p>
            <w:pPr>
              <w:spacing w:after="0"/>
              <w:rPr>
                <w:sz w:val="23"/>
                <w:szCs w:val="23"/>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469,760,073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Equivalents—11.1%</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33,247,666</w:t>
            </w:r>
          </w:p>
        </w:tc>
        <w:tc>
          <w:tcPr>
            <w:tcW w:w="18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33,247,666</w:t>
            </w:r>
          </w:p>
        </w:tc>
        <w:tc>
          <w:tcPr>
            <w:tcW w:w="24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33,247,666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Equivalents—167.4%</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530,535,552</w:t>
            </w:r>
          </w:p>
        </w:tc>
        <w:tc>
          <w:tcPr>
            <w:tcW w:w="10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503,007,739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Assets—(67.4%)</w:t>
            </w: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gridSpan w:val="5"/>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300,580,268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663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Except where the context suggests otherwise, the terms “we,” “us,” “our” or “PennantPark Investment” refer to PennantPark Investment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(“BDC”), under the Investment Company Act of 1940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We are externally managed by PennantPark Investment Advisers, LLC (the “Investment Adviser” or “PennantPark Investment Advisers”). PennantPark Investment Administration, LLC (the “Administrator” or “PennantPark Investment Administration”) provides the administrative services necessary for us to operate.</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PennantPark SBIC LP (the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(“SBA”) to operate as a Small Business Investment Company (“SBIC”) effective July 30, 2010 under Section 301(c) of the Small Business Investment Act of 1958 (the “1958 Act”). Both SBIC LP and SBIC GP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 See Note 13 for subsequent events regarding SBIC LP.</w:t>
      </w:r>
    </w:p>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PennantPark Investment completed its initial public offering of common stock in 2007 and issued 21.0 million shares raising $294.1 million in net proceeds. For the year ended September 30, 2009, we sold 4.3 million shares of common stock through a follow-on public offering at a price less than the then current net asset value, resulting in net proceeds of $32.5 million. For the year ended September 30, 2010, we sold 10.8 million shares of common stock through follow-on public offerings at a price less than the then current net asset value, resulting in net proceeds of $101.7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Certain prior period amounts have been reclassified to conform to current period presentation. All intercompany balances and transactions have been eliminated. References to the Accounting Standards Codification (“ASC”), serve as a single source of accounting literature and are not intended to change accounting literature. Subsequent events are evaluated and disclosed as appropriate for events occurring subsequently through the date the consolidated financial statements are issued.</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are prepared in accordance with GAAP and pursuant to the requirements for reporting on Form 10-K and Article 6 or 10 of Regulation S-X, as appropriate. In accordance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with Article 6-09 of Regulation S-X under the Exchange Act, we are providing a Consolidated Statement of Changes in Net Assets in lieu of a Consolidated Statement of Changes in Stockholders’ Equity.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and its Subsidiaries are:</w:t>
      </w:r>
    </w:p>
    <w:p>
      <w:pPr>
        <w:spacing w:after="0" w:line="90" w:lineRule="exact"/>
        <w:rPr>
          <w:sz w:val="20"/>
          <w:szCs w:val="20"/>
          <w:color w:val="auto"/>
        </w:rPr>
      </w:pPr>
    </w:p>
    <w:p>
      <w:pPr>
        <w:ind w:left="1480" w:hanging="567"/>
        <w:spacing w:after="0"/>
        <w:tabs>
          <w:tab w:leader="none" w:pos="148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62" w:lineRule="exact"/>
        <w:rPr>
          <w:sz w:val="20"/>
          <w:szCs w:val="20"/>
          <w:color w:val="auto"/>
        </w:rPr>
      </w:pPr>
    </w:p>
    <w:p>
      <w:pPr>
        <w:ind w:left="1480" w:hanging="479"/>
        <w:spacing w:after="0"/>
        <w:tabs>
          <w:tab w:leader="none" w:pos="148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Since May 1, 2007, PennantPark Investment has complied with the requirements of Subchapter M of the Internal Revenue Code of 1986, as amended, (the “Code”) and expects to be subject to tax as a regulated investment company (“RIC”). As a RIC, PennantPark Investment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pay an excise tax of $0.1 million for the fiscal year ended September 30, 2010. 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109"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character of income and gain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distributions are determined in accordance with income tax regulations that may differ from accounting principles generally accepted in the United States of America. See Note 8 to the consolidated financial statements.</w:t>
      </w:r>
    </w:p>
    <w:p>
      <w:pPr>
        <w:spacing w:after="0" w:line="254" w:lineRule="exact"/>
        <w:rPr>
          <w:sz w:val="20"/>
          <w:szCs w:val="20"/>
          <w:color w:val="auto"/>
        </w:rPr>
      </w:pPr>
    </w:p>
    <w:p>
      <w:pPr>
        <w:ind w:left="1480" w:hanging="479"/>
        <w:spacing w:after="0"/>
        <w:tabs>
          <w:tab w:leader="none" w:pos="14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72" w:lineRule="exact"/>
        <w:rPr>
          <w:sz w:val="20"/>
          <w:szCs w:val="20"/>
          <w:color w:val="auto"/>
        </w:rPr>
      </w:pPr>
    </w:p>
    <w:p>
      <w:pPr>
        <w:ind w:left="1480" w:hanging="567"/>
        <w:spacing w:after="0"/>
        <w:tabs>
          <w:tab w:leader="none" w:pos="148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147" w:lineRule="exact"/>
        <w:rPr>
          <w:sz w:val="20"/>
          <w:szCs w:val="20"/>
          <w:color w:val="auto"/>
        </w:rPr>
      </w:pPr>
    </w:p>
    <w:p>
      <w:pPr>
        <w:ind w:left="1480" w:hanging="567"/>
        <w:spacing w:after="0"/>
        <w:tabs>
          <w:tab w:leader="none" w:pos="148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2010, the FASB issued ASU 2010-06, Fair Value Measurements and Disclosures, to clarify and amend ASC 820-10. In particular, it requires additional disclosures with regards to transfers into and out of Levels 1 and 2. It also requires that entities disclose on a gross basis purchases, sales, issuances, and settlements within the Level 3 fair value roll-forward. ASU 2010-06 also clarifies existing fair value disclosures about the level of disaggregation as well as inputs and valuation techniques for both recurring and nonrecurring fair value measurements that fall into Level 2 or 3. The new disclosures and clarifications of existing disclosures are effective for interim and annual reporting periods beginning after December 15, 2009, except for the disclosures about purchases, sales and settlements in the roll-forward of activity in Level 3 fair value measurements, which are effective for fiscal years beginning after December 15, 2010, and for interim periods within those fiscal years. The adoption of the additional disclosure requirements of ASU 2010-06 did not materially impact our consolidated financial statements. The disclosures regarding the disaggregation of purchases, sales and settlements in the roll-forward of activity in Level 3 fair value measurements is not expected to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PennantPark Investment, through the Investment Adviser, manages day-to-day operations of and provides investment advisory services to SBIC LP under its investment management agreement. The SBIC LP investment management agreement does not affect the management or incentive fees of PennantPark Investment. For providing these services, the Investment Adviser receives a fee from PennantPark Investment, consisting of two components—a base management fee and an incentive fee (collectively, “Management Fees”).</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base management fee is calculated at an annual rate of 2.00% on PennantPark Investment’s gross assets (net of U.S. Treasury Bills and/or temporary draws on the credit facility or “average adjusted gross assets”, if any, see Note 11). Although the base management fee is 2.00% of our average adjusted gross assets,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w:t>
      </w:r>
    </w:p>
    <w:p>
      <w:pPr>
        <w:ind w:right="40"/>
        <w:spacing w:after="0" w:line="254" w:lineRule="auto"/>
        <w:rPr>
          <w:sz w:val="20"/>
          <w:szCs w:val="20"/>
          <w:color w:val="auto"/>
        </w:rPr>
      </w:pPr>
      <w:r>
        <w:rPr>
          <w:rFonts w:ascii="Arial" w:cs="Arial" w:eastAsia="Arial" w:hAnsi="Arial"/>
          <w:sz w:val="18"/>
          <w:szCs w:val="18"/>
          <w:color w:val="auto"/>
        </w:rPr>
        <w:t>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2010, 2009 and 2008, the Investment Adviser earned a net base management fee of $11.6 million, $7.7 million and $6.7 million, respectively, from us.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2010, 2009 and 2008, the Investment Adviser received an incentive fee of $8.0 million, $5.7 million and $3.8 million, respectively, from us.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Investment has also entered into an Administration Agreement with the Administrator, which was reapproved by our board of directors including a majority of our directors who are not interested persons of PennantPark Investment in February 2010. Under this agreement PennantPark Investment Administration provides administrative services for PennantPark Investment. PennantPark Investment, through the Administrator, provides similar services to SBIC LP under its administration agreement with us. For providing these services, facilities and personnel, PennantPark Investment reimburses the Administrator for PennantPark Investment’s allocable portion of overhead and other expenses incurred by the Administrator in performing 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statement of operations. For the fiscal years ended September 30, 2010, 2009 and 2008, the Investment Adviser and Administrator, collectively, were reimbursed $2.1 million, $1.7 million and $2.0 million, respectively, from us, including expenses it incurred on behalf of the Administrator, for services described above.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SuttonPark Holdings, Inc. and its subsidiaries (“SPH”). Under the administration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 ended September 30, 2010, the PennantPark Investment was reimbursed $0.1 million,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2010, 2009 and 2008 totaled $315.8 million, $117.4 million and $209.2 million, respectively. Sales and repayments of long-term investments for the fiscal years ended September 30, 2010, 2009 and 2008 totaled $145.2 million, $28.0 million and $70.1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0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September 30, 2010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2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$ 236,707,418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$ 234,595,683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164,863,868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150,607,490</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3120" w:type="dxa"/>
            <w:vAlign w:val="bottom"/>
            <w:gridSpan w:val="3"/>
          </w:tcPr>
          <w:p>
            <w:pPr>
              <w:jc w:val="right"/>
              <w:ind w:right="420"/>
              <w:spacing w:after="0"/>
              <w:rPr>
                <w:sz w:val="20"/>
                <w:szCs w:val="20"/>
                <w:color w:val="auto"/>
              </w:rPr>
            </w:pPr>
            <w:r>
              <w:rPr>
                <w:rFonts w:ascii="Arial" w:cs="Arial" w:eastAsia="Arial" w:hAnsi="Arial"/>
                <w:sz w:val="18"/>
                <w:szCs w:val="18"/>
                <w:color w:val="auto"/>
              </w:rPr>
              <w:t>159,611,934</w:t>
            </w:r>
          </w:p>
        </w:tc>
        <w:tc>
          <w:tcPr>
            <w:tcW w:w="1040" w:type="dxa"/>
            <w:vAlign w:val="bottom"/>
          </w:tcPr>
          <w:p>
            <w:pPr>
              <w:jc w:val="right"/>
              <w:spacing w:after="0"/>
              <w:rPr>
                <w:sz w:val="20"/>
                <w:szCs w:val="20"/>
                <w:color w:val="auto"/>
              </w:rPr>
            </w:pPr>
            <w:r>
              <w:rPr>
                <w:rFonts w:ascii="Arial" w:cs="Arial" w:eastAsia="Arial" w:hAnsi="Arial"/>
                <w:sz w:val="18"/>
                <w:szCs w:val="18"/>
                <w:color w:val="auto"/>
              </w:rPr>
              <w:t>156,671,151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152,321,496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134,401,542</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220,149,211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223,969,304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158,139,903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157,119,017</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3120" w:type="dxa"/>
            <w:vAlign w:val="bottom"/>
            <w:gridSpan w:val="3"/>
          </w:tcPr>
          <w:p>
            <w:pPr>
              <w:jc w:val="right"/>
              <w:ind w:right="420"/>
              <w:spacing w:after="0"/>
              <w:rPr>
                <w:sz w:val="20"/>
                <w:szCs w:val="20"/>
                <w:color w:val="auto"/>
              </w:rPr>
            </w:pPr>
            <w:r>
              <w:rPr>
                <w:rFonts w:ascii="Arial" w:cs="Arial" w:eastAsia="Arial" w:hAnsi="Arial"/>
                <w:sz w:val="18"/>
                <w:szCs w:val="18"/>
                <w:color w:val="auto"/>
              </w:rPr>
              <w:t>11,894,692</w:t>
            </w:r>
          </w:p>
        </w:tc>
        <w:tc>
          <w:tcPr>
            <w:tcW w:w="1040" w:type="dxa"/>
            <w:vAlign w:val="bottom"/>
          </w:tcPr>
          <w:p>
            <w:pPr>
              <w:jc w:val="right"/>
              <w:spacing w:after="0"/>
              <w:rPr>
                <w:sz w:val="20"/>
                <w:szCs w:val="20"/>
                <w:color w:val="auto"/>
              </w:rPr>
            </w:pPr>
            <w:r>
              <w:rPr>
                <w:rFonts w:ascii="Arial" w:cs="Arial" w:eastAsia="Arial" w:hAnsi="Arial"/>
                <w:sz w:val="18"/>
                <w:szCs w:val="18"/>
                <w:color w:val="auto"/>
              </w:rPr>
              <w:t>9,271,682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9,750,317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10,934,053</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28,345,248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12,212,302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16,697,971</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$ 658,522,954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$ 666,538,857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530,535,552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503,007,739</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2010 and September 30, 2009.</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34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gridSpan w:val="3"/>
            <w:vMerge w:val="continue"/>
          </w:tcPr>
          <w:p>
            <w:pPr>
              <w:spacing w:after="0"/>
              <w:rPr>
                <w:sz w:val="12"/>
                <w:szCs w:val="12"/>
                <w:color w:val="auto"/>
              </w:rPr>
            </w:pPr>
          </w:p>
        </w:tc>
        <w:tc>
          <w:tcPr>
            <w:tcW w:w="3400" w:type="dxa"/>
            <w:vAlign w:val="bottom"/>
          </w:tcPr>
          <w:p>
            <w:pPr>
              <w:spacing w:after="0"/>
              <w:rPr>
                <w:sz w:val="12"/>
                <w:szCs w:val="12"/>
                <w:color w:val="auto"/>
              </w:rPr>
            </w:pPr>
          </w:p>
        </w:tc>
        <w:tc>
          <w:tcPr>
            <w:tcW w:w="4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2010</w:t>
            </w:r>
          </w:p>
        </w:tc>
        <w:tc>
          <w:tcPr>
            <w:tcW w:w="880" w:type="dxa"/>
            <w:vAlign w:val="bottom"/>
          </w:tcPr>
          <w:p>
            <w:pPr>
              <w:spacing w:after="0"/>
              <w:rPr>
                <w:sz w:val="12"/>
                <w:szCs w:val="12"/>
                <w:color w:val="auto"/>
              </w:rPr>
            </w:pPr>
          </w:p>
        </w:tc>
        <w:tc>
          <w:tcPr>
            <w:tcW w:w="4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20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8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w w:val="79"/>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8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w w:val="79"/>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80" w:type="dxa"/>
            <w:vAlign w:val="bottom"/>
            <w:gridSpan w:val="3"/>
          </w:tcPr>
          <w:p>
            <w:pPr>
              <w:jc w:val="right"/>
              <w:ind w:right="3492"/>
              <w:spacing w:after="0"/>
              <w:rPr>
                <w:sz w:val="20"/>
                <w:szCs w:val="20"/>
                <w:color w:val="auto"/>
              </w:rPr>
            </w:pPr>
            <w:r>
              <w:rPr>
                <w:rFonts w:ascii="Arial" w:cs="Arial" w:eastAsia="Arial" w:hAnsi="Arial"/>
                <w:sz w:val="18"/>
                <w:szCs w:val="18"/>
                <w:color w:val="auto"/>
              </w:rPr>
              <w:t>F-21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88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260" w:type="dxa"/>
            <w:vAlign w:val="bottom"/>
            <w:tcBorders>
              <w:right w:val="single" w:sz="8" w:color="CCEEFF"/>
            </w:tcBorders>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Diversified/Conglomerate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8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Grocery</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 Entertainment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1260" w:type="dxa"/>
            <w:vAlign w:val="bottom"/>
            <w:gridSpan w:val="2"/>
          </w:tcPr>
          <w:p>
            <w:pPr>
              <w:jc w:val="right"/>
              <w:ind w:right="91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1260" w:type="dxa"/>
            <w:vAlign w:val="bottom"/>
            <w:tcBorders>
              <w:right w:val="single" w:sz="8" w:color="CCEEFF"/>
            </w:tcBorders>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right w:val="single" w:sz="8" w:color="CCEEFF"/>
            </w:tcBorders>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October 1, 2008, we adopted ASC 820, Fair Value Measurements for all financial instruments.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At September 30, 2010 and 2009,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8"/>
              </w:rPr>
              <w:t>Fair Value Measurements using at September 30, 2010</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$ 615,236,138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$ 615,236,138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49,488,268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4,350,440</w:t>
            </w: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45,137,828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664,724,406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4,350,440</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660,373,966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1,814,451</w:t>
            </w: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666,538,857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6,164,891</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660,373,966</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3"/>
            <w:vMerge w:val="continue"/>
          </w:tcPr>
          <w:p>
            <w:pPr>
              <w:spacing w:after="0"/>
              <w:rPr>
                <w:sz w:val="18"/>
                <w:szCs w:val="18"/>
                <w:color w:val="auto"/>
              </w:rPr>
            </w:pPr>
          </w:p>
        </w:tc>
        <w:tc>
          <w:tcPr>
            <w:tcW w:w="19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(213,941,125)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760"/>
              <w:spacing w:after="0"/>
              <w:rPr>
                <w:sz w:val="20"/>
                <w:szCs w:val="20"/>
                <w:color w:val="auto"/>
              </w:rPr>
            </w:pPr>
            <w:r>
              <w:rPr>
                <w:rFonts w:ascii="Arial" w:cs="Arial" w:eastAsia="Arial" w:hAnsi="Arial"/>
                <w:sz w:val="18"/>
                <w:szCs w:val="18"/>
                <w:color w:val="auto"/>
              </w:rPr>
              <w:t>$ —</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(213,941,125)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88"/>
              </w:rPr>
              <w:t>Fair Value Measurements using at September 30, 2009</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$ 442,128,049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 —</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8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469,760,073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33,247,666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33,247,666</w:t>
            </w:r>
          </w:p>
        </w:tc>
        <w:tc>
          <w:tcPr>
            <w:tcW w:w="380" w:type="dxa"/>
            <w:vAlign w:val="bottom"/>
          </w:tcPr>
          <w:p>
            <w:pPr>
              <w:spacing w:after="0"/>
              <w:rPr>
                <w:sz w:val="18"/>
                <w:szCs w:val="18"/>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33,247,666</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3"/>
            <w:vMerge w:val="continue"/>
          </w:tcPr>
          <w:p>
            <w:pPr>
              <w:spacing w:after="0"/>
              <w:rPr>
                <w:sz w:val="18"/>
                <w:szCs w:val="18"/>
                <w:color w:val="auto"/>
              </w:rPr>
            </w:pPr>
          </w:p>
        </w:tc>
        <w:tc>
          <w:tcPr>
            <w:tcW w:w="19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760"/>
              <w:spacing w:after="0"/>
              <w:rPr>
                <w:sz w:val="20"/>
                <w:szCs w:val="20"/>
                <w:color w:val="auto"/>
              </w:rPr>
            </w:pPr>
            <w:r>
              <w:rPr>
                <w:rFonts w:ascii="Arial" w:cs="Arial" w:eastAsia="Arial" w:hAnsi="Arial"/>
                <w:sz w:val="18"/>
                <w:szCs w:val="18"/>
                <w:color w:val="auto"/>
              </w:rPr>
              <w:t>$ —</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F-23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years ended September 30,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Year ended September 30, 2010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Loan and debt</w:t>
            </w:r>
          </w:p>
        </w:tc>
        <w:tc>
          <w:tcPr>
            <w:tcW w:w="480" w:type="dxa"/>
            <w:vAlign w:val="bottom"/>
          </w:tcPr>
          <w:p>
            <w:pPr>
              <w:spacing w:after="0"/>
              <w:rPr>
                <w:sz w:val="11"/>
                <w:szCs w:val="11"/>
                <w:color w:val="auto"/>
              </w:rPr>
            </w:pPr>
          </w:p>
        </w:tc>
        <w:tc>
          <w:tcPr>
            <w:tcW w:w="14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investments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442,128,049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$ 27,632,024</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(12,411,934)</w:t>
            </w:r>
          </w:p>
        </w:tc>
        <w:tc>
          <w:tcPr>
            <w:tcW w:w="1920" w:type="dxa"/>
            <w:vAlign w:val="bottom"/>
            <w:gridSpan w:val="3"/>
          </w:tcPr>
          <w:p>
            <w:pPr>
              <w:jc w:val="right"/>
              <w:ind w:right="440"/>
              <w:spacing w:after="0"/>
              <w:rPr>
                <w:sz w:val="20"/>
                <w:szCs w:val="20"/>
                <w:color w:val="auto"/>
              </w:rPr>
            </w:pPr>
            <w:r>
              <w:rPr>
                <w:rFonts w:ascii="Arial" w:cs="Arial" w:eastAsia="Arial" w:hAnsi="Arial"/>
                <w:sz w:val="18"/>
                <w:szCs w:val="18"/>
                <w:color w:val="auto"/>
              </w:rPr>
              <w:t>(3,005,163)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31,964,795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1,693,480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33,658,275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304,625,814</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12,984,260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317,610,074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(138,765,449)</w:t>
            </w:r>
          </w:p>
        </w:tc>
        <w:tc>
          <w:tcPr>
            <w:tcW w:w="1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(6,922)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(138,772,371)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Non-cash exchanges, including settled delayed draws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(12,305,137)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5,840,149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(6,464,988)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Transfers in and /or out of Level 3</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3"/>
          </w:tcPr>
          <w:p>
            <w:pPr>
              <w:spacing w:after="0"/>
              <w:rPr>
                <w:sz w:val="20"/>
                <w:szCs w:val="20"/>
                <w:color w:val="auto"/>
              </w:rPr>
            </w:pPr>
            <w:r>
              <w:rPr>
                <w:rFonts w:ascii="Arial" w:cs="Arial" w:eastAsia="Arial" w:hAnsi="Arial"/>
                <w:sz w:val="18"/>
                <w:szCs w:val="18"/>
                <w:color w:val="auto"/>
              </w:rPr>
              <w:t>Ending Balance, September 30, 2010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615,236,138</w:t>
            </w: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45,137,828</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660,373,966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Net change in unrealized appreciation (depreciation) for the period above within the net change</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unrealized appreciation on investments in our consolidated statement of operations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15,408,002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(1,311,683)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14,096,319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Year ended September 30, 2009</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Loan and debt</w:t>
            </w:r>
          </w:p>
        </w:tc>
        <w:tc>
          <w:tcPr>
            <w:tcW w:w="48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investments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349,260,104</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$ 22,887,716</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(losses)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(39,243,879)</w:t>
            </w:r>
          </w:p>
        </w:tc>
        <w:tc>
          <w:tcPr>
            <w:tcW w:w="4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42,008,505</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2,489,868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118,059,327</w:t>
            </w: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2,254,440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120,313,767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(27,956,008)</w:t>
            </w: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(27,956,008)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Transfers in and /or out of Level 3</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442,128,049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$ 27,632,024</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469,760,073</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w w:val="95"/>
              </w:rPr>
              <w:t>Net change in unrealized depreciation for the period above within the net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w w:val="94"/>
              </w:rPr>
              <w:t>depreciation on investments in our statement of operations attributable to our Level 3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30,141,081</w:t>
            </w:r>
          </w:p>
        </w:tc>
        <w:tc>
          <w:tcPr>
            <w:tcW w:w="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2,489,868</w:t>
            </w:r>
          </w:p>
        </w:tc>
        <w:tc>
          <w:tcPr>
            <w:tcW w:w="5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32,630,949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vMerge w:val="restart"/>
          </w:tcPr>
          <w:p>
            <w:pPr>
              <w:ind w:left="4820"/>
              <w:spacing w:after="0"/>
              <w:rPr>
                <w:sz w:val="20"/>
                <w:szCs w:val="20"/>
                <w:color w:val="auto"/>
              </w:rPr>
            </w:pPr>
            <w:r>
              <w:rPr>
                <w:rFonts w:ascii="Arial" w:cs="Arial" w:eastAsia="Arial" w:hAnsi="Arial"/>
                <w:sz w:val="18"/>
                <w:szCs w:val="18"/>
                <w:color w:val="auto"/>
              </w:rPr>
              <w:t>F-24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fiscal years ended September 30, 2010 and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September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(Cost—$218,100,000)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168,475,380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35,665,745</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177,700,000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(167,900,000)</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Ending balance of long-term credit facility at fair value,</w:t>
            </w:r>
          </w:p>
        </w:tc>
        <w:tc>
          <w:tcPr>
            <w:tcW w:w="1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920" w:type="dxa"/>
            <w:vAlign w:val="bottom"/>
          </w:tcPr>
          <w:p>
            <w:pPr>
              <w:spacing w:after="0"/>
              <w:rPr>
                <w:sz w:val="20"/>
                <w:szCs w:val="20"/>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(Cost—$227,900,000)</w:t>
            </w:r>
          </w:p>
        </w:tc>
        <w:tc>
          <w:tcPr>
            <w:tcW w:w="1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213,941,125</w:t>
            </w: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Temporary draw outstanding, at cost</w:t>
            </w:r>
          </w:p>
        </w:tc>
        <w:tc>
          <w:tcPr>
            <w:tcW w:w="1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00" w:type="dxa"/>
            <w:vAlign w:val="bottom"/>
            <w:shd w:val="clear" w:color="auto" w:fill="CCEEFF"/>
          </w:tcPr>
          <w:p>
            <w:pPr>
              <w:spacing w:after="0"/>
              <w:rPr>
                <w:sz w:val="18"/>
                <w:szCs w:val="18"/>
                <w:color w:val="auto"/>
              </w:rPr>
            </w:pPr>
          </w:p>
        </w:tc>
      </w:tr>
      <w:tr>
        <w:trPr>
          <w:trHeight w:val="221"/>
        </w:trPr>
        <w:tc>
          <w:tcPr>
            <w:tcW w:w="9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credit facility, September 30, 2010 (Cost—$233,100,000)</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219,141,125</w:t>
            </w: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(Cost—$162,000,000)</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162,000,000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(41,796,000)</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108,200,000</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(52,100,000)</w:t>
            </w:r>
          </w:p>
        </w:tc>
      </w:tr>
      <w:tr>
        <w:trPr>
          <w:trHeight w:val="223"/>
        </w:trPr>
        <w:tc>
          <w:tcPr>
            <w:tcW w:w="920" w:type="dxa"/>
            <w:vAlign w:val="bottom"/>
          </w:tcPr>
          <w:p>
            <w:pPr>
              <w:spacing w:after="0"/>
              <w:rPr>
                <w:sz w:val="19"/>
                <w:szCs w:val="19"/>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Transfers in and/or out of Level 3</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of long-term credit facility at fair value,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(Cost—$218,100,000)</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168,475,380</w:t>
            </w:r>
          </w:p>
        </w:tc>
      </w:tr>
      <w:tr>
        <w:trPr>
          <w:trHeight w:val="216"/>
        </w:trPr>
        <w:tc>
          <w:tcPr>
            <w:tcW w:w="92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Temporary draw outstanding, at cost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16"/>
        </w:trPr>
        <w:tc>
          <w:tcPr>
            <w:tcW w:w="9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credit facility, September 30, 2009 (Cost—$225,100,000)</w:t>
            </w: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175,475,380</w:t>
            </w:r>
          </w:p>
        </w:tc>
      </w:tr>
      <w:tr>
        <w:trPr>
          <w:trHeight w:val="20"/>
        </w:trPr>
        <w:tc>
          <w:tcPr>
            <w:tcW w:w="9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PennantPark Investment’s financial liabilities approximates fair value. Effective October 1, 2008, we adopted ASC 825-10, which provides companies with an option to report selected financial assets and liabilities at fair value, and made an irrevocable election to apply ASC 825-10 to its long-term credit facility. PennantPark Investment elected to use the fair value option for its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including the SBA debentures. For the years ended September 30, 2010 and 2009, our credit facility had a net change in unrealized (appreciation) depreciation of $(35.7) million and $7.8 million, respectively. As of September 30, 2010 and 2009, net unrealized depreciation on our long-term credit facility totaled $13.9 million and $49.6 million, respectively, which included the cumulative effect of adoption of ASC 825-10 on our credit facility of $41.8 million. PennantPark Investment uses a nationally recognized independent valuation services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 affiliated company is a company in which the PennantPark Investment has ownership of 5% or more of the portfolio company’s voting securities. Advances to and distributions from affiliates are included in the consolidated statement of cash flows purchases and sales. Transactions with affiliates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Advances to</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 of Investment</w:t>
            </w:r>
          </w:p>
        </w:tc>
        <w:tc>
          <w:tcPr>
            <w:tcW w:w="16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2009</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affiliates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from affiliates</w:t>
            </w: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Received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7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$8,000,100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16,115,738</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750,000</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1,313,772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15,433,680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Total Controlled and</w:t>
            </w:r>
          </w:p>
        </w:tc>
        <w:tc>
          <w:tcPr>
            <w:tcW w:w="1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Affiliates</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16,115,738</w:t>
            </w:r>
          </w:p>
        </w:tc>
        <w:tc>
          <w:tcPr>
            <w:tcW w:w="122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8,000,100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750,000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1,523,772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23,433,780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Years ended September 30,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16,535,491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35,802,029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(40,702,939)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29,546,772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21,092,334*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21,068,772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and diluted net increase (decrease) in net assets per share resulting from operations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Denominator for diluted weighted average shares is 21,094,745 based the over allotment exercised subsequent to September 30,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2010 and 2009:</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(98,294)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(Increase) in accumulated net realized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(87,991)</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98,294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September 30, 2010 and 2009, the cost of investments for federal income tax purposes was $659.4 million and $497.3 million, respectively, resulting in a gross unrealized appreciation of $28.8 million and $19.4 million, respectively, and depreciation of $23.5 million and $46.9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16,535,491</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35,802,029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realized loss on investments not taxable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15,417,097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5"/>
              </w:rPr>
              <w:t>39,243,879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 (depreciation) on investments and credit facility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(52,326,993)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temporary book-to-tax differences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(305,849)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841,335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deductible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(13,808)</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ind w:left="460"/>
              <w:spacing w:after="0"/>
              <w:rPr>
                <w:sz w:val="20"/>
                <w:szCs w:val="20"/>
                <w:color w:val="auto"/>
              </w:rPr>
            </w:pPr>
            <w:r>
              <w:rPr>
                <w:rFonts w:ascii="Arial" w:cs="Arial" w:eastAsia="Arial" w:hAnsi="Arial"/>
                <w:sz w:val="18"/>
                <w:szCs w:val="18"/>
                <w:color w:val="auto"/>
              </w:rPr>
              <w:t>Taxable income before deductions for distributions</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gridSpan w:val="3"/>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31,752,812</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23,546,442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780" w:type="dxa"/>
            <w:vAlign w:val="bottom"/>
            <w:gridSpan w:val="9"/>
          </w:tcPr>
          <w:p>
            <w:pPr>
              <w:ind w:left="460"/>
              <w:spacing w:after="0"/>
              <w:rPr>
                <w:sz w:val="20"/>
                <w:szCs w:val="20"/>
                <w:color w:val="auto"/>
              </w:rPr>
            </w:pPr>
            <w:r>
              <w:rPr>
                <w:rFonts w:ascii="Arial" w:cs="Arial" w:eastAsia="Arial" w:hAnsi="Arial"/>
                <w:sz w:val="18"/>
                <w:szCs w:val="18"/>
                <w:color w:val="auto"/>
                <w:w w:val="93"/>
              </w:rPr>
              <w:t>The components of accumulated losses on tax basis and reconciliation to accumulated losses on a book basis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11,451,782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Total undistributed net earnings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11,451,782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4"/>
              </w:rPr>
              <w:t>(54,591,911)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(11,250,568)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(8,645,354)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(39,331,872)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payable and other temporary differences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(9,651,137)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(5,638,469)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19,300,499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22,096,807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deficit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4"/>
              </w:rPr>
              <w:t>(42,136,121)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(26,505,872)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of September 30, 2010, the capital loss carry forward of $54.6 million expires, if not utilized against future capital gains, as follows: $0.2 million in 2016, $11.0 million in 2017 and $43.3 million expires in 2018.</w:t>
      </w:r>
    </w:p>
    <w:p>
      <w:pPr>
        <w:ind w:left="460" w:hanging="452"/>
        <w:spacing w:after="0"/>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18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2010 and 2009 were solely from ordinary income, and totaled $32.3 million or $1.09 per share, and $20.2 million or $0.96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 funds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 As of September 30, 2010, cash equivalents consisted of $1.8 million in money market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highlights for the respective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2"/>
              </w:rPr>
              <w:t>Year ended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2"/>
                <w:szCs w:val="12"/>
                <w:color w:val="auto"/>
              </w:rPr>
            </w:pP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11.99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realized and unrealized losses</w:t>
            </w:r>
            <w:r>
              <w:rPr>
                <w:rFonts w:ascii="Arial" w:cs="Arial" w:eastAsia="Arial" w:hAnsi="Arial"/>
                <w:sz w:val="11"/>
                <w:szCs w:val="11"/>
                <w:color w:val="auto"/>
              </w:rPr>
              <w:t>(2)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0.62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net assets resulting from</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r>
              <w:rPr>
                <w:rFonts w:ascii="Arial" w:cs="Arial" w:eastAsia="Arial" w:hAnsi="Arial"/>
                <w:sz w:val="11"/>
                <w:szCs w:val="11"/>
                <w:color w:val="auto"/>
              </w:rPr>
              <w:t>(2)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(0.96)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Offering Costs</w:t>
            </w:r>
            <w:r>
              <w:rPr>
                <w:rFonts w:ascii="Arial" w:cs="Arial" w:eastAsia="Arial" w:hAnsi="Arial"/>
                <w:sz w:val="11"/>
                <w:szCs w:val="11"/>
                <w:color w:val="auto"/>
              </w:rPr>
              <w:t>(2)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common stock issuance</w:t>
            </w:r>
            <w:r>
              <w:rPr>
                <w:rFonts w:ascii="Arial" w:cs="Arial" w:eastAsia="Arial" w:hAnsi="Arial"/>
                <w:sz w:val="11"/>
                <w:szCs w:val="11"/>
                <w:color w:val="auto"/>
              </w:rPr>
              <w:t>(2)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20" w:type="dxa"/>
            <w:vAlign w:val="bottom"/>
            <w:gridSpan w:val="2"/>
            <w:vMerge w:val="continue"/>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11.85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8.11</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r>
              <w:rPr>
                <w:rFonts w:ascii="Arial" w:cs="Arial" w:eastAsia="Arial" w:hAnsi="Arial"/>
                <w:sz w:val="18"/>
                <w:szCs w:val="18"/>
                <w:color w:val="auto"/>
              </w:rPr>
              <w:t xml:space="preserve"> *</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30.39%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36,158,772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25,368,772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operating expenses to average net assets</w:t>
            </w:r>
            <w:r>
              <w:rPr>
                <w:rFonts w:ascii="Arial" w:cs="Arial" w:eastAsia="Arial" w:hAnsi="Arial"/>
                <w:sz w:val="11"/>
                <w:szCs w:val="11"/>
                <w:color w:val="auto"/>
                <w:w w:val="98"/>
              </w:rPr>
              <w:t>(5)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Ratio of credit facility related expenses to average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1.93%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6"/>
              </w:rPr>
              <w:t>Ratio of net investment income to average net assets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9.49%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300,580,268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246,216,548</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182,490,685</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8.65</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Not annualized for a period of less than a year.</w:t>
      </w:r>
    </w:p>
    <w:p>
      <w:pPr>
        <w:spacing w:after="0" w:line="15" w:lineRule="exact"/>
        <w:rPr>
          <w:sz w:val="20"/>
          <w:szCs w:val="20"/>
          <w:color w:val="auto"/>
        </w:rPr>
      </w:pPr>
    </w:p>
    <w:p>
      <w:pPr>
        <w:ind w:left="460" w:right="400" w:hanging="452"/>
        <w:spacing w:after="0" w:line="300" w:lineRule="auto"/>
        <w:tabs>
          <w:tab w:leader="none" w:pos="4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54"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and may differ from amounts determined under U.S. generally accepted accounting principles.</w:t>
      </w:r>
    </w:p>
    <w:p>
      <w:pPr>
        <w:ind w:left="460" w:right="20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46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2010 and 2009, the ratios were 7.95% and 9.32%, respectively. The ratios before management fee waiver were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2010 and 2009, the ratios were 9.15% and 11.75%.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Includes the SBA debentures outstanding.</w:t>
      </w:r>
    </w:p>
    <w:p>
      <w:pPr>
        <w:spacing w:after="0" w:line="23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2010 and 2009, there was $233.1 million and $225.1 million in outstanding borrowings under the credit facility (including a $5.2 million and a $7.0 million temporary draw), with a weighted average interest rate at the time of 1.34% and 1.31% exclusive of the fee on undrawn commitment of 0.20%,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 million at any one time outstanding. The credit facility is a five-year revolving facility (with a stated maturity date of June 25, 2012) and pricing is set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basis points over LIBOR. The credit facility contains customary affirmative and negative covenants, including the maintenance of a minimum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equity, the maintenance of a ratio not less than 200% of total assets (less total liabilities other than indebtedness) to total indebtedness, and restrictions on certain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payments and issuance of debt. For a complete list of such covenants, see our report on Form 8-K, filed June 28, 2007 and on Form 10-Q, filed May 5, 2010.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September 30, 2010, we were in compliance with our covenants relating to our credit facility.</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SBIC LP is able to borrow funds from the SBA against regulatory capital that is paid-in, subject to customary regulatory requirements including but not limited to an examination by the SBA. As of September 30, 2010, we have committed $50.0 million to SBIC LP, funded it with equity capital of $14.5 million and had SBA debentures outstanding of $14.5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 This means that SBIC LP may access the maximum borrowing if it has $75 million in regulatory capital.</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August 5, 2010, SBIC LP received a SBA debenture commitment of $33.5 million. As of September 30, 2010, $14.5 million of the $33.5 million debt commitment was drawn with a weighted average interest rate of 0.93% exclusive of the 3.43% in upfront fees. Of the $14.5 million of SBA debentures outstanding, $0.5 million is fixed for 10-years with a rate of 3.50% (inclusive of the SBA annual fee) and $14.0 million is temporary financing currently bearing a rate of 0.84% that will reset to a market-driven rate in March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required capitalization thresholds and is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In addition, the SBA can revoke or suspend a license for willful or repeated violation of, or willful or repeated failure to observe, any provision of the Small Business Investment Act of 1958 or any rule or regulation promulgated thereunder. These actions by the SBA would, in turn, negatively affect us because our SBIC subsidiary is our wholly owned subsidiary. As of September 30, 2010, SBIC LP was in compliance with our requirements relating to our SBA debentures.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filing of its SBA license application, PennantPark Investment applied for exemptive relief from the SEC to permit us to exclude the debt of SBIC LP from our consolidated asset coverage ratio. There can be no assurance that we will be able to capitalize SBIC LP with sufficient regulatory capital to access the maximum borrowing amount available or that we will receive an exemptive relief from the SEC with respect to the SBA-guaranteed debentures.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we are granted exemptive relief, our ratio of total assets on a consolidated basis to outstanding to indebtedness may be greater than 200%, which while providing increased investment flexibility, would also increase our exposure to risks associated with leverage. See Note 13 for subsequent events.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of the covenants we made when we entered into, including the ratio of total assets to total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 and subordinated debt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4, 2010, SBIC LP received a debt commitment from the SBA for an additional $66.5 million bringing its total debt commitment from the SBA to $100.0 million. Subsequent to September 30, 2010, SBIC LP completed its SBA examination in order to gain access to the full SBA commitment subject to customary regulatory requirements.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503555</wp:posOffset>
            </wp:positionV>
            <wp:extent cx="2470150" cy="523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8,000,000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551180</wp:posOffset>
            </wp:positionV>
            <wp:extent cx="34048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198755</wp:posOffset>
            </wp:positionV>
            <wp:extent cx="34048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Bookrunners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Morgan Stanley</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J.P. Morgan</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Stifel Nicolaus Weisel</w:t>
      </w:r>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11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FBR Capital Markets</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Keefe, Bruyette &amp; Woods</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Ladenburg Thalmann &amp; Co. Inc.</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RBC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February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1)"/>
      <w:numFmt w:val="decimal"/>
      <w:start w:val="1"/>
    </w:lvl>
  </w:abstractNum>
  <w:abstractNum w:abstractNumId="4">
    <w:nsid w:val="4AD084E9"/>
    <w:multiLevelType w:val="hybridMultilevel"/>
    <w:lvl w:ilvl="0">
      <w:lvlJc w:val="left"/>
      <w:lvlText w:val="(%1)"/>
      <w:numFmt w:val="decimal"/>
      <w:start w:val="7"/>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1)"/>
      <w:numFmt w:val="decimal"/>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1)"/>
      <w:numFmt w:val="decimal"/>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1)"/>
      <w:numFmt w:val="decimal"/>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1)"/>
      <w:numFmt w:val="decimal"/>
      <w:start w:val="1"/>
    </w:lvl>
  </w:abstractNum>
  <w:abstractNum w:abstractNumId="14">
    <w:nsid w:val="6B94764"/>
    <w:multiLevelType w:val="hybridMultilevel"/>
    <w:lvl w:ilvl="0">
      <w:lvlJc w:val="left"/>
      <w:lvlText w:val="(%1)"/>
      <w:numFmt w:val="upperLetter"/>
      <w:start w:val="2"/>
    </w:lvl>
  </w:abstractNum>
  <w:abstractNum w:abstractNumId="15">
    <w:nsid w:val="42C296BD"/>
    <w:multiLevelType w:val="hybridMultilevel"/>
    <w:lvl w:ilvl="0">
      <w:lvlJc w:val="left"/>
      <w:lvlText w:val="(%1)"/>
      <w:numFmt w:val="decimal"/>
      <w:start w:val="1"/>
    </w:lvl>
  </w:abstractNum>
  <w:abstractNum w:abstractNumId="16">
    <w:nsid w:val="168E121F"/>
    <w:multiLevelType w:val="hybridMultilevel"/>
    <w:lvl w:ilvl="0">
      <w:lvlJc w:val="left"/>
      <w:lvlText w:val="(%1)"/>
      <w:numFmt w:val="decimal"/>
      <w:start w:val="3"/>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1)"/>
      <w:numFmt w:val="decimal"/>
      <w:start w:val="1"/>
    </w:lvl>
  </w:abstractNum>
  <w:abstractNum w:abstractNumId="19">
    <w:nsid w:val="5DC79EA8"/>
    <w:multiLevelType w:val="hybridMultilevel"/>
    <w:lvl w:ilvl="0">
      <w:lvlJc w:val="left"/>
      <w:lvlText w:val="(%1)"/>
      <w:numFmt w:val="decimal"/>
      <w:start w:val="5"/>
    </w:lvl>
  </w:abstractNum>
  <w:abstractNum w:abstractNumId="20">
    <w:nsid w:val="540A471C"/>
    <w:multiLevelType w:val="hybridMultilevel"/>
    <w:lvl w:ilvl="0">
      <w:lvlJc w:val="left"/>
      <w:lvlText w:val="(%1)"/>
      <w:numFmt w:val="decimal"/>
      <w:start w:val="1"/>
    </w:lvl>
  </w:abstractNum>
  <w:abstractNum w:abstractNumId="21">
    <w:nsid w:val="7BD3EE7B"/>
    <w:multiLevelType w:val="hybridMultilevel"/>
    <w:lvl w:ilvl="0">
      <w:lvlJc w:val="left"/>
      <w:lvlText w:val="(%1)"/>
      <w:numFmt w:val="decimal"/>
      <w:start w:val="1"/>
    </w:lvl>
  </w:abstractNum>
  <w:abstractNum w:abstractNumId="22">
    <w:nsid w:val="51D9C564"/>
    <w:multiLevelType w:val="hybridMultilevel"/>
    <w:lvl w:ilvl="0">
      <w:lvlJc w:val="left"/>
      <w:lvlText w:val="%1"/>
      <w:numFmt w:val="lowerLetter"/>
      <w:start w:val="1"/>
    </w:lvl>
    <w:lvl w:ilvl="1">
      <w:lvlJc w:val="left"/>
      <w:lvlText w:val="(%2)"/>
      <w:numFmt w:val="decimal"/>
      <w:start w:val="2"/>
    </w:lvl>
  </w:abstractNum>
  <w:abstractNum w:abstractNumId="23">
    <w:nsid w:val="613EFDC5"/>
    <w:multiLevelType w:val="hybridMultilevel"/>
    <w:lvl w:ilvl="0">
      <w:lvlJc w:val="left"/>
      <w:lvlText w:val="(%1)"/>
      <w:numFmt w:val="lowerLetter"/>
      <w:start w:val="2"/>
    </w:lvl>
    <w:lvl w:ilvl="1">
      <w:lvlJc w:val="left"/>
      <w:lvlText w:val="%2"/>
      <w:numFmt w:val="decimal"/>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1)"/>
      <w:numFmt w:val="decimal"/>
      <w:start w:val="1"/>
    </w:lvl>
  </w:abstractNum>
  <w:abstractNum w:abstractNumId="26">
    <w:nsid w:val="42963E5A"/>
    <w:multiLevelType w:val="hybridMultilevel"/>
    <w:lvl w:ilvl="0">
      <w:lvlJc w:val="left"/>
      <w:lvlText w:val="%1."/>
      <w:numFmt w:val="decimal"/>
      <w:start w:val="10"/>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1)"/>
      <w:numFmt w:val="lowerLetter"/>
      <w:start w:val="2"/>
    </w:lvl>
    <w:lvl w:ilvl="1">
      <w:lvlJc w:val="left"/>
      <w:lvlText w:val="•"/>
      <w:numFmt w:val="bullet"/>
      <w:start w:val="1"/>
    </w:lvl>
  </w:abstractNum>
  <w:abstractNum w:abstractNumId="30">
    <w:nsid w:val="3B0FD379"/>
    <w:multiLevelType w:val="hybridMultilevel"/>
    <w:lvl w:ilvl="0">
      <w:lvlJc w:val="left"/>
      <w:lvlText w:val="(%1)"/>
      <w:numFmt w:val="decimal"/>
      <w:start w:val="1"/>
    </w:lvl>
  </w:abstractNum>
  <w:abstractNum w:abstractNumId="31">
    <w:nsid w:val="68EB2F63"/>
    <w:multiLevelType w:val="hybridMultilevel"/>
    <w:lvl w:ilvl="0">
      <w:lvlJc w:val="left"/>
      <w:lvlText w:val="(%1)"/>
      <w:numFmt w:val="decimal"/>
      <w:start w:val="7"/>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1)"/>
      <w:numFmt w:val="decimal"/>
      <w:start w:val="1"/>
    </w:lvl>
  </w:abstractNum>
  <w:abstractNum w:abstractNumId="36">
    <w:nsid w:val="7FFFCA11"/>
    <w:multiLevelType w:val="hybridMultilevel"/>
    <w:lvl w:ilvl="0">
      <w:lvlJc w:val="left"/>
      <w:lvlText w:val="(%1)"/>
      <w:numFmt w:val="decimal"/>
      <w:start w:val="2"/>
    </w:lvl>
  </w:abstractNum>
  <w:abstractNum w:abstractNumId="37">
    <w:nsid w:val="1A27709E"/>
    <w:multiLevelType w:val="hybridMultilevel"/>
    <w:lvl w:ilvl="0">
      <w:lvlJc w:val="left"/>
      <w:lvlText w:val="•"/>
      <w:numFmt w:val="bullet"/>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1)"/>
      <w:numFmt w:val="decimal"/>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1)"/>
      <w:numFmt w:val="decimal"/>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1)"/>
      <w:numFmt w:val="decimal"/>
      <w:start w:val="1"/>
    </w:lvl>
  </w:abstractNum>
  <w:abstractNum w:abstractNumId="51">
    <w:nsid w:val="68EBC550"/>
    <w:multiLevelType w:val="hybridMultilevel"/>
    <w:lvl w:ilvl="0">
      <w:lvlJc w:val="left"/>
      <w:lvlText w:val="(%1)"/>
      <w:numFmt w:val="decimal"/>
      <w:start w:val="4"/>
    </w:lvl>
  </w:abstractNum>
  <w:abstractNum w:abstractNumId="52">
    <w:nsid w:val="2DF6D648"/>
    <w:multiLevelType w:val="hybridMultilevel"/>
    <w:lvl w:ilvl="0">
      <w:lvlJc w:val="left"/>
      <w:lvlText w:val="(%1)"/>
      <w:numFmt w:val="decimal"/>
      <w:start w:val="1"/>
    </w:lvl>
  </w:abstractNum>
  <w:abstractNum w:abstractNumId="53">
    <w:nsid w:val="46B7D447"/>
    <w:multiLevelType w:val="hybridMultilevel"/>
    <w:lvl w:ilvl="0">
      <w:lvlJc w:val="left"/>
      <w:lvlText w:val="%1."/>
      <w:numFmt w:val="decimal"/>
      <w:start w:val="10"/>
    </w:lvl>
  </w:abstractNum>
  <w:abstractNum w:abstractNumId="54">
    <w:nsid w:val="4A2AC315"/>
    <w:multiLevelType w:val="hybridMultilevel"/>
    <w:lvl w:ilvl="0">
      <w:lvlJc w:val="left"/>
      <w:lvlText w:val="(%1)"/>
      <w:numFmt w:val="upperLetter"/>
      <w:start w:val="2"/>
    </w:lvl>
  </w:abstractNum>
  <w:abstractNum w:abstractNumId="55">
    <w:nsid w:val="39EE015C"/>
    <w:multiLevelType w:val="hybridMultilevel"/>
    <w:lvl w:ilvl="0">
      <w:lvlJc w:val="left"/>
      <w:lvlText w:val="(%1)"/>
      <w:numFmt w:val="decimal"/>
      <w:start w:val="1"/>
    </w:lvl>
  </w:abstractNum>
  <w:abstractNum w:abstractNumId="56">
    <w:nsid w:val="57FC4FBB"/>
    <w:multiLevelType w:val="hybridMultilevel"/>
    <w:lvl w:ilvl="0">
      <w:lvlJc w:val="left"/>
      <w:lvlText w:val="(%1)"/>
      <w:numFmt w:val="decimal"/>
      <w:start w:val="2"/>
    </w:lvl>
  </w:abstractNum>
  <w:abstractNum w:abstractNumId="57">
    <w:nsid w:val="CC1016F"/>
    <w:multiLevelType w:val="hybridMultilevel"/>
    <w:lvl w:ilvl="0">
      <w:lvlJc w:val="left"/>
      <w:lvlText w:val="(%1)"/>
      <w:numFmt w:val="decimal"/>
      <w:start w:val="1"/>
    </w:lvl>
  </w:abstractNum>
  <w:abstractNum w:abstractNumId="58">
    <w:nsid w:val="43F18422"/>
    <w:multiLevelType w:val="hybridMultilevel"/>
    <w:lvl w:ilvl="0">
      <w:lvlJc w:val="left"/>
      <w:lvlText w:val="(%1)"/>
      <w:numFmt w:val="decimal"/>
      <w:start w:val="1"/>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
      <w:numFmt w:val="bullet"/>
      <w:start w:val="1"/>
    </w:lvl>
  </w:abstractNum>
  <w:abstractNum w:abstractNumId="62">
    <w:nsid w:val="49DA307D"/>
    <w:multiLevelType w:val="hybridMultilevel"/>
    <w:lvl w:ilvl="0">
      <w:lvlJc w:val="left"/>
      <w:lvlText w:val="(%1)"/>
      <w:numFmt w:val="decimal"/>
      <w:start w:val="1"/>
    </w:lvl>
  </w:abstractNum>
  <w:abstractNum w:abstractNumId="63">
    <w:nsid w:val="7055A5F5"/>
    <w:multiLevelType w:val="hybridMultilevel"/>
    <w:lvl w:ilvl="0">
      <w:lvlJc w:val="left"/>
      <w:lvlText w:val="(%1)"/>
      <w:numFmt w:val="decimal"/>
      <w:start w:val="1"/>
    </w:lvl>
  </w:abstractNum>
  <w:abstractNum w:abstractNumId="64">
    <w:nsid w:val="5FB8370B"/>
    <w:multiLevelType w:val="hybridMultilevel"/>
    <w:lvl w:ilvl="0">
      <w:lvlJc w:val="left"/>
      <w:lvlText w:val="(%1)"/>
      <w:numFmt w:val="decimal"/>
      <w:start w:val="3"/>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1)"/>
      <w:numFmt w:val="lowerLetter"/>
      <w:start w:val="2"/>
    </w:lvl>
    <w:lvl w:ilvl="1">
      <w:lvlJc w:val="left"/>
      <w:lvlText w:val="•"/>
      <w:numFmt w:val="bullet"/>
      <w:start w:val="1"/>
    </w:lvl>
  </w:abstractNum>
  <w:abstractNum w:abstractNumId="67">
    <w:nsid w:val="5FB8011C"/>
    <w:multiLevelType w:val="hybridMultilevel"/>
    <w:lvl w:ilvl="0">
      <w:lvlJc w:val="left"/>
      <w:lvlText w:val="•"/>
      <w:numFmt w:val="bullet"/>
      <w:start w:val="1"/>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
      <w:numFmt w:val="bullet"/>
      <w:start w:val="1"/>
    </w:lvl>
  </w:abstractNum>
  <w:abstractNum w:abstractNumId="70">
    <w:nsid w:val="6FC75AF8"/>
    <w:multiLevelType w:val="hybridMultilevel"/>
    <w:lvl w:ilvl="0">
      <w:lvlJc w:val="left"/>
      <w:lvlText w:val="•"/>
      <w:numFmt w:val="bullet"/>
      <w:start w:val="1"/>
    </w:lvl>
  </w:abstractNum>
  <w:abstractNum w:abstractNumId="71">
    <w:nsid w:val="6A5F7029"/>
    <w:multiLevelType w:val="hybridMultilevel"/>
    <w:lvl w:ilvl="0">
      <w:lvlJc w:val="left"/>
      <w:lvlText w:val="(%1)"/>
      <w:numFmt w:val="decimal"/>
      <w:start w:val="1"/>
    </w:lvl>
  </w:abstractNum>
  <w:abstractNum w:abstractNumId="72">
    <w:nsid w:val="7D5E18F8"/>
    <w:multiLevelType w:val="hybridMultilevel"/>
    <w:lvl w:ilvl="0">
      <w:lvlJc w:val="left"/>
      <w:lvlText w:val="(%1)"/>
      <w:numFmt w:val="decimal"/>
      <w:start w:val="1"/>
    </w:lvl>
  </w:abstractNum>
  <w:abstractNum w:abstractNumId="73">
    <w:nsid w:val="5F3534A4"/>
    <w:multiLevelType w:val="hybridMultilevel"/>
    <w:lvl w:ilvl="0">
      <w:lvlJc w:val="left"/>
      <w:lvlText w:val="(%1)"/>
      <w:numFmt w:val="decimal"/>
      <w:start w:val="1"/>
    </w:lvl>
  </w:abstractNum>
  <w:abstractNum w:abstractNumId="74">
    <w:nsid w:val="73A1821B"/>
    <w:multiLevelType w:val="hybridMultilevel"/>
    <w:lvl w:ilvl="0">
      <w:lvlJc w:val="left"/>
      <w:lvlText w:val="(%1)"/>
      <w:numFmt w:val="decimal"/>
      <w:start w:val="1"/>
    </w:lvl>
  </w:abstractNum>
  <w:abstractNum w:abstractNumId="75">
    <w:nsid w:val="7DE67713"/>
    <w:multiLevelType w:val="hybridMultilevel"/>
    <w:lvl w:ilvl="0">
      <w:lvlJc w:val="left"/>
      <w:lvlText w:val="*"/>
      <w:numFmt w:val="bullet"/>
      <w:start w:val="1"/>
    </w:lvl>
  </w:abstractNum>
  <w:abstractNum w:abstractNumId="76">
    <w:nsid w:val="555C55B5"/>
    <w:multiLevelType w:val="hybridMultilevel"/>
    <w:lvl w:ilvl="0">
      <w:lvlJc w:val="left"/>
      <w:lvlText w:val="(%1)"/>
      <w:numFmt w:val="decimal"/>
      <w:start w:val="1"/>
    </w:lvl>
  </w:abstractNum>
  <w:abstractNum w:abstractNumId="77">
    <w:nsid w:val="3FA62ACA"/>
    <w:multiLevelType w:val="hybridMultilevel"/>
    <w:lvl w:ilvl="0">
      <w:lvlJc w:val="left"/>
      <w:lvlText w:val="•"/>
      <w:numFmt w:val="bullet"/>
      <w:start w:val="1"/>
    </w:lvl>
  </w:abstractNum>
  <w:abstractNum w:abstractNumId="78">
    <w:nsid w:val="14FCE74E"/>
    <w:multiLevelType w:val="hybridMultilevel"/>
    <w:lvl w:ilvl="0">
      <w:lvlJc w:val="left"/>
      <w:lvlText w:val="="/>
      <w:numFmt w:val="bullet"/>
      <w:start w:val="1"/>
    </w:lvl>
  </w:abstractNum>
  <w:abstractNum w:abstractNumId="79">
    <w:nsid w:val="6A3DD3E8"/>
    <w:multiLevelType w:val="hybridMultilevel"/>
    <w:lvl w:ilvl="0">
      <w:lvlJc w:val="left"/>
      <w:lvlText w:val="(*)"/>
      <w:numFmt w:val="bullet"/>
      <w:start w:val="1"/>
    </w:lvl>
    <w:lvl w:ilvl="1">
      <w:lvlJc w:val="left"/>
      <w:lvlText w:val="="/>
      <w:numFmt w:val="bullet"/>
      <w:start w:val="1"/>
    </w:lvl>
  </w:abstractNum>
  <w:abstractNum w:abstractNumId="80">
    <w:nsid w:val="71C91298"/>
    <w:multiLevelType w:val="hybridMultilevel"/>
    <w:lvl w:ilvl="0">
      <w:lvlJc w:val="left"/>
      <w:lvlText w:val="(%1)"/>
      <w:numFmt w:val="decimal"/>
      <w:start w:val="1"/>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
      <w:numFmt w:val="bullet"/>
      <w:start w:val="1"/>
    </w:lvl>
  </w:abstractNum>
  <w:abstractNum w:abstractNumId="83">
    <w:nsid w:val="1FBFE8E0"/>
    <w:multiLevelType w:val="hybridMultilevel"/>
    <w:lvl w:ilvl="0">
      <w:lvlJc w:val="left"/>
      <w:lvlText w:val="•"/>
      <w:numFmt w:val="bullet"/>
      <w:start w:val="1"/>
    </w:lvl>
  </w:abstractNum>
  <w:abstractNum w:abstractNumId="84">
    <w:nsid w:val="5092CA79"/>
    <w:multiLevelType w:val="hybridMultilevel"/>
    <w:lvl w:ilvl="0">
      <w:lvlJc w:val="left"/>
      <w:lvlText w:val="•"/>
      <w:numFmt w:val="bullet"/>
      <w:start w:val="1"/>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abstractNum>
  <w:abstractNum w:abstractNumId="87">
    <w:nsid w:val="288F1A34"/>
    <w:multiLevelType w:val="hybridMultilevel"/>
    <w:lvl w:ilvl="0">
      <w:lvlJc w:val="left"/>
      <w:lvlText w:val="•"/>
      <w:numFmt w:val="bullet"/>
      <w:start w:val="1"/>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
      <w:numFmt w:val="bullet"/>
      <w:start w:val="1"/>
    </w:lvl>
  </w:abstractNum>
  <w:abstractNum w:abstractNumId="91">
    <w:nsid w:val="51088277"/>
    <w:multiLevelType w:val="hybridMultilevel"/>
    <w:lvl w:ilvl="0">
      <w:lvlJc w:val="left"/>
      <w:lvlText w:val="•"/>
      <w:numFmt w:val="bullet"/>
      <w:start w:val="1"/>
    </w:lvl>
  </w:abstractNum>
  <w:abstractNum w:abstractNumId="92">
    <w:nsid w:val="1CA0C5FA"/>
    <w:multiLevelType w:val="hybridMultilevel"/>
    <w:lvl w:ilvl="0">
      <w:lvlJc w:val="left"/>
      <w:lvlText w:val="•"/>
      <w:numFmt w:val="bullet"/>
      <w:start w:val="1"/>
    </w:lvl>
  </w:abstractNum>
  <w:abstractNum w:abstractNumId="93">
    <w:nsid w:val="53584BCB"/>
    <w:multiLevelType w:val="hybridMultilevel"/>
    <w:lvl w:ilvl="0">
      <w:lvlJc w:val="left"/>
      <w:lvlText w:val="•"/>
      <w:numFmt w:val="bullet"/>
      <w:start w:val="1"/>
    </w:lvl>
  </w:abstractNum>
  <w:abstractNum w:abstractNumId="94">
    <w:nsid w:val="415E286C"/>
    <w:multiLevelType w:val="hybridMultilevel"/>
    <w:lvl w:ilvl="0">
      <w:lvlJc w:val="left"/>
      <w:lvlText w:val="•"/>
      <w:numFmt w:val="bullet"/>
      <w:start w:val="1"/>
    </w:lvl>
  </w:abstractNum>
  <w:abstractNum w:abstractNumId="95">
    <w:nsid w:val="7C58FD05"/>
    <w:multiLevelType w:val="hybridMultilevel"/>
    <w:lvl w:ilvl="0">
      <w:lvlJc w:val="left"/>
      <w:lvlText w:val="•"/>
      <w:numFmt w:val="bullet"/>
      <w:start w:val="1"/>
    </w:lvl>
  </w:abstractNum>
  <w:abstractNum w:abstractNumId="96">
    <w:nsid w:val="23D86AAC"/>
    <w:multiLevelType w:val="hybridMultilevel"/>
    <w:lvl w:ilvl="0">
      <w:lvlJc w:val="left"/>
      <w:lvlText w:val="•"/>
      <w:numFmt w:val="bullet"/>
      <w:start w:val="1"/>
    </w:lvl>
  </w:abstractNum>
  <w:abstractNum w:abstractNumId="97">
    <w:nsid w:val="45E6D486"/>
    <w:multiLevelType w:val="hybridMultilevel"/>
    <w:lvl w:ilvl="0">
      <w:lvlJc w:val="left"/>
      <w:lvlText w:val="•"/>
      <w:numFmt w:val="bullet"/>
      <w:start w:val="1"/>
    </w:lvl>
  </w:abstractNum>
  <w:abstractNum w:abstractNumId="98">
    <w:nsid w:val="5C10FE21"/>
    <w:multiLevelType w:val="hybridMultilevel"/>
    <w:lvl w:ilvl="0">
      <w:lvlJc w:val="left"/>
      <w:lvlText w:val="•"/>
      <w:numFmt w:val="bullet"/>
      <w:start w:val="1"/>
    </w:lvl>
  </w:abstractNum>
  <w:abstractNum w:abstractNumId="99">
    <w:nsid w:val="E7FFA2B"/>
    <w:multiLevelType w:val="hybridMultilevel"/>
    <w:lvl w:ilvl="0">
      <w:lvlJc w:val="left"/>
      <w:lvlText w:val="•"/>
      <w:numFmt w:val="bullet"/>
      <w:start w:val="1"/>
    </w:lvl>
  </w:abstractNum>
  <w:abstractNum w:abstractNumId="100">
    <w:nsid w:val="3C5991AA"/>
    <w:multiLevelType w:val="hybridMultilevel"/>
    <w:lvl w:ilvl="0">
      <w:lvlJc w:val="left"/>
      <w:lvlText w:val="•"/>
      <w:numFmt w:val="bullet"/>
      <w:start w:val="1"/>
    </w:lvl>
  </w:abstractNum>
  <w:abstractNum w:abstractNumId="101">
    <w:nsid w:val="4BD8591A"/>
    <w:multiLevelType w:val="hybridMultilevel"/>
    <w:lvl w:ilvl="0">
      <w:lvlJc w:val="left"/>
      <w:lvlText w:val="•"/>
      <w:numFmt w:val="bullet"/>
      <w:start w:val="1"/>
    </w:lvl>
  </w:abstractNum>
  <w:abstractNum w:abstractNumId="102">
    <w:nsid w:val="78DF6A55"/>
    <w:multiLevelType w:val="hybridMultilevel"/>
    <w:lvl w:ilvl="0">
      <w:lvlJc w:val="left"/>
      <w:lvlText w:val="•"/>
      <w:numFmt w:val="bullet"/>
      <w:start w:val="1"/>
    </w:lvl>
  </w:abstractNum>
  <w:abstractNum w:abstractNumId="103">
    <w:nsid w:val="39B7AAA2"/>
    <w:multiLevelType w:val="hybridMultilevel"/>
    <w:lvl w:ilvl="0">
      <w:lvlJc w:val="left"/>
      <w:lvlText w:val="•"/>
      <w:numFmt w:val="bullet"/>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1)"/>
      <w:numFmt w:val="decimal"/>
      <w:start w:val="1"/>
    </w:lvl>
    <w:lvl w:ilvl="1">
      <w:lvlJc w:val="left"/>
      <w:lvlText w:val="(%2)"/>
      <w:numFmt w:val="lowerLetter"/>
      <w:start w:val="1"/>
    </w:lvl>
  </w:abstractNum>
  <w:abstractNum w:abstractNumId="107">
    <w:nsid w:val="69E373"/>
    <w:multiLevelType w:val="hybridMultilevel"/>
    <w:lvl w:ilvl="0">
      <w:lvlJc w:val="left"/>
      <w:lvlText w:val="(%1)"/>
      <w:numFmt w:val="decimal"/>
      <w:start w:val="4"/>
    </w:lvl>
  </w:abstractNum>
  <w:abstractNum w:abstractNumId="108">
    <w:nsid w:val="2C27173B"/>
    <w:multiLevelType w:val="hybridMultilevel"/>
    <w:lvl w:ilvl="0">
      <w:lvlJc w:val="left"/>
      <w:lvlText w:val="•"/>
      <w:numFmt w:val="bullet"/>
      <w:start w:val="1"/>
    </w:lvl>
  </w:abstractNum>
  <w:abstractNum w:abstractNumId="109">
    <w:nsid w:val="4C9B0904"/>
    <w:multiLevelType w:val="hybridMultilevel"/>
    <w:lvl w:ilvl="0">
      <w:lvlJc w:val="left"/>
      <w:lvlText w:val="•"/>
      <w:numFmt w:val="bullet"/>
      <w:start w:val="1"/>
    </w:lvl>
  </w:abstractNum>
  <w:abstractNum w:abstractNumId="110">
    <w:nsid w:val="6AA7B75C"/>
    <w:multiLevelType w:val="hybridMultilevel"/>
    <w:lvl w:ilvl="0">
      <w:lvlJc w:val="left"/>
      <w:lvlText w:val="•"/>
      <w:numFmt w:val="bullet"/>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1)"/>
      <w:numFmt w:val="decimal"/>
      <w:start w:val="1"/>
    </w:lvl>
  </w:abstractNum>
  <w:abstractNum w:abstractNumId="113">
    <w:nsid w:val="3DD15094"/>
    <w:multiLevelType w:val="hybridMultilevel"/>
    <w:lvl w:ilvl="0">
      <w:lvlJc w:val="left"/>
      <w:lvlText w:val="•"/>
      <w:numFmt w:val="bullet"/>
      <w:start w:val="1"/>
    </w:lvl>
    <w:lvl w:ilvl="1">
      <w:lvlJc w:val="left"/>
      <w:lvlText w:val="%2)"/>
      <w:numFmt w:val="decimal"/>
      <w:start w:val="1"/>
    </w:lvl>
  </w:abstractNum>
  <w:abstractNum w:abstractNumId="114">
    <w:nsid w:val="3DB012B3"/>
    <w:multiLevelType w:val="hybridMultilevel"/>
    <w:lvl w:ilvl="0">
      <w:lvlJc w:val="left"/>
      <w:lvlText w:val="(%1)"/>
      <w:numFmt w:val="decimal"/>
      <w:start w:val="3"/>
    </w:lvl>
  </w:abstractNum>
  <w:abstractNum w:abstractNumId="115">
    <w:nsid w:val="2708C9AF"/>
    <w:multiLevelType w:val="hybridMultilevel"/>
    <w:lvl w:ilvl="0">
      <w:lvlJc w:val="left"/>
      <w:lvlText w:val="•"/>
      <w:numFmt w:val="bullet"/>
      <w:start w:val="1"/>
    </w:lvl>
  </w:abstractNum>
  <w:abstractNum w:abstractNumId="116">
    <w:nsid w:val="5B25ACE2"/>
    <w:multiLevelType w:val="hybridMultilevel"/>
    <w:lvl w:ilvl="0">
      <w:lvlJc w:val="left"/>
      <w:lvlText w:val="(%1)"/>
      <w:numFmt w:val="decimal"/>
      <w:start w:val="1"/>
    </w:lvl>
  </w:abstractNum>
  <w:abstractNum w:abstractNumId="117">
    <w:nsid w:val="175DFCF0"/>
    <w:multiLevelType w:val="hybridMultilevel"/>
    <w:lvl w:ilvl="0">
      <w:lvlJc w:val="left"/>
      <w:lvlText w:val="(%1)"/>
      <w:numFmt w:val="decimal"/>
      <w:start w:val="1"/>
    </w:lvl>
  </w:abstractNum>
  <w:abstractNum w:abstractNumId="118">
    <w:nsid w:val="4F97E3E4"/>
    <w:multiLevelType w:val="hybridMultilevel"/>
    <w:lvl w:ilvl="0">
      <w:lvlJc w:val="left"/>
      <w:lvlText w:val="(%1)"/>
      <w:numFmt w:val="lowerLetter"/>
      <w:start w:val="1"/>
    </w:lvl>
  </w:abstractNum>
  <w:abstractNum w:abstractNumId="119">
    <w:nsid w:val="53B0A9E"/>
    <w:multiLevelType w:val="hybridMultilevel"/>
    <w:lvl w:ilvl="0">
      <w:lvlJc w:val="left"/>
      <w:lvlText w:val="(%1)"/>
      <w:numFmt w:val="decimal"/>
      <w:start w:val="1"/>
    </w:lvl>
  </w:abstractNum>
  <w:abstractNum w:abstractNumId="120">
    <w:nsid w:val="34FD6B4F"/>
    <w:multiLevelType w:val="hybridMultilevel"/>
    <w:lvl w:ilvl="0">
      <w:lvlJc w:val="left"/>
      <w:lvlText w:val="(%1)"/>
      <w:numFmt w:val="lowerLetter"/>
      <w:start w:val="2"/>
    </w:lvl>
  </w:abstractNum>
  <w:abstractNum w:abstractNumId="121">
    <w:nsid w:val="5915FF32"/>
    <w:multiLevelType w:val="hybridMultilevel"/>
    <w:lvl w:ilvl="0">
      <w:lvlJc w:val="left"/>
      <w:lvlText w:val="(%1)"/>
      <w:numFmt w:val="lowerLetter"/>
      <w:start w:val="3"/>
    </w:lvl>
  </w:abstractNum>
  <w:abstractNum w:abstractNumId="122">
    <w:nsid w:val="56438D15"/>
    <w:multiLevelType w:val="hybridMultilevel"/>
    <w:lvl w:ilvl="0">
      <w:lvlJc w:val="left"/>
      <w:lvlText w:val="(%1)"/>
      <w:numFmt w:val="lowerLetter"/>
      <w:start w:val="4"/>
    </w:lvl>
  </w:abstractNum>
  <w:abstractNum w:abstractNumId="123">
    <w:nsid w:val="519E3149"/>
    <w:multiLevelType w:val="hybridMultilevel"/>
    <w:lvl w:ilvl="0">
      <w:lvlJc w:val="left"/>
      <w:lvlText w:val="(%1)"/>
      <w:numFmt w:val="lowerLetter"/>
      <w:start w:val="5"/>
    </w:lvl>
  </w:abstractNum>
  <w:abstractNum w:abstractNumId="124">
    <w:nsid w:val="2C6E4AFD"/>
    <w:multiLevelType w:val="hybridMultilevel"/>
    <w:lvl w:ilvl="0">
      <w:lvlJc w:val="left"/>
      <w:lvlText w:val="(%1)"/>
      <w:numFmt w:val="lowerLetter"/>
      <w:start w:val="6"/>
    </w:lvl>
  </w:abstractNum>
  <w:abstractNum w:abstractNumId="125">
    <w:nsid w:val="17A1B582"/>
    <w:multiLevelType w:val="hybridMultilevel"/>
    <w:lvl w:ilvl="0">
      <w:lvlJc w:val="left"/>
      <w:lvlText w:val="(%1)"/>
      <w:numFmt w:val="decimal"/>
      <w:start w:val="1"/>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2019-12-11T04:19:47Z</dcterms:created>
  <dcterms:modified xsi:type="dcterms:W3CDTF">2019-12-11T04:19:47Z</dcterms:modified>
</cp:coreProperties>
</file>