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8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22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-7620</wp:posOffset>
            </wp:positionV>
            <wp:extent cx="905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jc w:val="center"/>
              <w:ind w:left="759"/>
              <w:spacing w:after="0"/>
              <w:rPr>
                <w:sz w:val="20"/>
                <w:szCs w:val="20"/>
                <w:color w:val="auto"/>
              </w:rPr>
            </w:pPr>
            <w:r>
              <w:rPr>
                <w:rFonts w:ascii="Arial" w:cs="Arial" w:eastAsia="Arial" w:hAnsi="Arial"/>
                <w:sz w:val="18"/>
                <w:szCs w:val="18"/>
                <w:b w:val="1"/>
                <w:bCs w:val="1"/>
                <w:color w:val="auto"/>
              </w:rPr>
              <w:t>MARYLAND</w:t>
            </w:r>
          </w:p>
        </w:tc>
        <w:tc>
          <w:tcPr>
            <w:tcW w:w="2560" w:type="dxa"/>
            <w:vAlign w:val="bottom"/>
          </w:tcPr>
          <w:p>
            <w:pPr>
              <w:spacing w:after="0"/>
              <w:rPr>
                <w:sz w:val="20"/>
                <w:szCs w:val="20"/>
                <w:color w:val="auto"/>
              </w:rPr>
            </w:pPr>
          </w:p>
        </w:tc>
        <w:tc>
          <w:tcPr>
            <w:tcW w:w="3860" w:type="dxa"/>
            <w:vAlign w:val="bottom"/>
          </w:tcPr>
          <w:p>
            <w:pPr>
              <w:jc w:val="right"/>
              <w:ind w:right="2179"/>
              <w:spacing w:after="0"/>
              <w:rPr>
                <w:sz w:val="20"/>
                <w:szCs w:val="20"/>
                <w:color w:val="auto"/>
              </w:rPr>
            </w:pPr>
            <w:r>
              <w:rPr>
                <w:rFonts w:ascii="Arial" w:cs="Arial" w:eastAsia="Arial" w:hAnsi="Arial"/>
                <w:sz w:val="18"/>
                <w:szCs w:val="18"/>
                <w:b w:val="1"/>
                <w:bCs w:val="1"/>
                <w:color w:val="auto"/>
              </w:rPr>
              <w:t>20-8250744</w:t>
            </w:r>
          </w:p>
        </w:tc>
      </w:tr>
      <w:tr>
        <w:trPr>
          <w:trHeight w:val="190"/>
        </w:trPr>
        <w:tc>
          <w:tcPr>
            <w:tcW w:w="4820" w:type="dxa"/>
            <w:vAlign w:val="bottom"/>
          </w:tcPr>
          <w:p>
            <w:pPr>
              <w:jc w:val="center"/>
              <w:ind w:left="73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560" w:type="dxa"/>
            <w:vAlign w:val="bottom"/>
          </w:tcPr>
          <w:p>
            <w:pPr>
              <w:spacing w:after="0"/>
              <w:rPr>
                <w:sz w:val="16"/>
                <w:szCs w:val="16"/>
                <w:color w:val="auto"/>
              </w:rPr>
            </w:pPr>
          </w:p>
        </w:tc>
        <w:tc>
          <w:tcPr>
            <w:tcW w:w="3860" w:type="dxa"/>
            <w:vAlign w:val="bottom"/>
          </w:tcPr>
          <w:p>
            <w:pPr>
              <w:jc w:val="center"/>
              <w:ind w:right="14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12"/>
        </w:trPr>
        <w:tc>
          <w:tcPr>
            <w:tcW w:w="4820" w:type="dxa"/>
            <w:vAlign w:val="bottom"/>
          </w:tcPr>
          <w:p>
            <w:pPr>
              <w:jc w:val="center"/>
              <w:ind w:left="739"/>
              <w:spacing w:after="0"/>
              <w:rPr>
                <w:sz w:val="20"/>
                <w:szCs w:val="20"/>
                <w:color w:val="auto"/>
              </w:rPr>
            </w:pPr>
            <w:r>
              <w:rPr>
                <w:rFonts w:ascii="Arial" w:cs="Arial" w:eastAsia="Arial" w:hAnsi="Arial"/>
                <w:sz w:val="18"/>
                <w:szCs w:val="18"/>
                <w:b w:val="1"/>
                <w:bCs w:val="1"/>
                <w:color w:val="auto"/>
                <w:w w:val="91"/>
              </w:rPr>
              <w:t>590 Madison Avenue, 15</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25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12"/>
        </w:trPr>
        <w:tc>
          <w:tcPr>
            <w:tcW w:w="4820" w:type="dxa"/>
            <w:vAlign w:val="bottom"/>
          </w:tcPr>
          <w:p>
            <w:pPr>
              <w:jc w:val="center"/>
              <w:ind w:left="739"/>
              <w:spacing w:after="0"/>
              <w:rPr>
                <w:sz w:val="20"/>
                <w:szCs w:val="20"/>
                <w:color w:val="auto"/>
              </w:rPr>
            </w:pPr>
            <w:r>
              <w:rPr>
                <w:rFonts w:ascii="Arial" w:cs="Arial" w:eastAsia="Arial" w:hAnsi="Arial"/>
                <w:sz w:val="18"/>
                <w:szCs w:val="18"/>
                <w:b w:val="1"/>
                <w:bCs w:val="1"/>
                <w:color w:val="auto"/>
                <w:w w:val="94"/>
              </w:rPr>
              <w:t>New York, N.Y.</w:t>
            </w:r>
          </w:p>
        </w:tc>
        <w:tc>
          <w:tcPr>
            <w:tcW w:w="2560" w:type="dxa"/>
            <w:vAlign w:val="bottom"/>
          </w:tcPr>
          <w:p>
            <w:pPr>
              <w:spacing w:after="0"/>
              <w:rPr>
                <w:sz w:val="18"/>
                <w:szCs w:val="18"/>
                <w:color w:val="auto"/>
              </w:rPr>
            </w:pPr>
          </w:p>
        </w:tc>
        <w:tc>
          <w:tcPr>
            <w:tcW w:w="3860" w:type="dxa"/>
            <w:vAlign w:val="bottom"/>
          </w:tcPr>
          <w:p>
            <w:pPr>
              <w:jc w:val="right"/>
              <w:ind w:right="2379"/>
              <w:spacing w:after="0"/>
              <w:rPr>
                <w:sz w:val="20"/>
                <w:szCs w:val="20"/>
                <w:color w:val="auto"/>
              </w:rPr>
            </w:pPr>
            <w:r>
              <w:rPr>
                <w:rFonts w:ascii="Arial" w:cs="Arial" w:eastAsia="Arial" w:hAnsi="Arial"/>
                <w:sz w:val="18"/>
                <w:szCs w:val="18"/>
                <w:b w:val="1"/>
                <w:bCs w:val="1"/>
                <w:color w:val="auto"/>
              </w:rPr>
              <w:t>10022</w:t>
            </w:r>
          </w:p>
        </w:tc>
      </w:tr>
      <w:tr>
        <w:trPr>
          <w:trHeight w:val="186"/>
        </w:trPr>
        <w:tc>
          <w:tcPr>
            <w:tcW w:w="4820" w:type="dxa"/>
            <w:vAlign w:val="bottom"/>
          </w:tcPr>
          <w:p>
            <w:pPr>
              <w:jc w:val="center"/>
              <w:ind w:left="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60" w:type="dxa"/>
            <w:vAlign w:val="bottom"/>
          </w:tcPr>
          <w:p>
            <w:pPr>
              <w:spacing w:after="0"/>
              <w:rPr>
                <w:sz w:val="16"/>
                <w:szCs w:val="16"/>
                <w:color w:val="auto"/>
              </w:rPr>
            </w:pPr>
          </w:p>
        </w:tc>
        <w:tc>
          <w:tcPr>
            <w:tcW w:w="3860" w:type="dxa"/>
            <w:vAlign w:val="bottom"/>
          </w:tcPr>
          <w:p>
            <w:pPr>
              <w:jc w:val="center"/>
              <w:ind w:right="1439"/>
              <w:spacing w:after="0"/>
              <w:rPr>
                <w:sz w:val="20"/>
                <w:szCs w:val="20"/>
                <w:color w:val="auto"/>
              </w:rPr>
            </w:pPr>
            <w:r>
              <w:rPr>
                <w:rFonts w:ascii="Arial" w:cs="Arial" w:eastAsia="Arial" w:hAnsi="Arial"/>
                <w:sz w:val="14"/>
                <w:szCs w:val="14"/>
                <w:b w:val="1"/>
                <w:bCs w:val="1"/>
                <w:color w:val="auto"/>
                <w:w w:val="95"/>
              </w:rPr>
              <w:t>(Zip Code)</w:t>
            </w:r>
          </w:p>
        </w:tc>
      </w:tr>
      <w:tr>
        <w:trPr>
          <w:trHeight w:val="192"/>
        </w:trPr>
        <w:tc>
          <w:tcPr>
            <w:tcW w:w="4820" w:type="dxa"/>
            <w:vAlign w:val="bottom"/>
          </w:tcPr>
          <w:p>
            <w:pPr>
              <w:spacing w:after="0"/>
              <w:rPr>
                <w:sz w:val="16"/>
                <w:szCs w:val="16"/>
                <w:color w:val="auto"/>
              </w:rPr>
            </w:pPr>
          </w:p>
        </w:tc>
        <w:tc>
          <w:tcPr>
            <w:tcW w:w="2560" w:type="dxa"/>
            <w:vAlign w:val="bottom"/>
          </w:tcPr>
          <w:p>
            <w:pPr>
              <w:jc w:val="center"/>
              <w:ind w:right="861"/>
              <w:spacing w:after="0"/>
              <w:rPr>
                <w:sz w:val="20"/>
                <w:szCs w:val="20"/>
                <w:color w:val="auto"/>
              </w:rPr>
            </w:pPr>
            <w:r>
              <w:rPr>
                <w:rFonts w:ascii="Arial" w:cs="Arial" w:eastAsia="Arial" w:hAnsi="Arial"/>
                <w:sz w:val="14"/>
                <w:szCs w:val="14"/>
                <w:b w:val="1"/>
                <w:bCs w:val="1"/>
                <w:color w:val="auto"/>
                <w:w w:val="93"/>
              </w:rPr>
              <w:t>(212) 905-1000</w:t>
            </w:r>
          </w:p>
        </w:tc>
        <w:tc>
          <w:tcPr>
            <w:tcW w:w="3860" w:type="dxa"/>
            <w:vAlign w:val="bottom"/>
          </w:tcPr>
          <w:p>
            <w:pPr>
              <w:spacing w:after="0"/>
              <w:rPr>
                <w:sz w:val="16"/>
                <w:szCs w:val="16"/>
                <w:color w:val="auto"/>
              </w:rPr>
            </w:pPr>
          </w:p>
        </w:tc>
      </w:tr>
      <w:tr>
        <w:trPr>
          <w:trHeight w:val="186"/>
        </w:trPr>
        <w:tc>
          <w:tcPr>
            <w:tcW w:w="7380" w:type="dxa"/>
            <w:vAlign w:val="bottom"/>
            <w:gridSpan w:val="2"/>
          </w:tcPr>
          <w:p>
            <w:pPr>
              <w:jc w:val="center"/>
              <w:ind w:left="377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3860" w:type="dxa"/>
            <w:vAlign w:val="bottom"/>
          </w:tcPr>
          <w:p>
            <w:pPr>
              <w:spacing w:after="0"/>
              <w:rPr>
                <w:sz w:val="16"/>
                <w:szCs w:val="16"/>
                <w:color w:val="auto"/>
              </w:rPr>
            </w:pPr>
          </w:p>
        </w:tc>
      </w:tr>
      <w:tr>
        <w:trPr>
          <w:trHeight w:val="66"/>
        </w:trPr>
        <w:tc>
          <w:tcPr>
            <w:tcW w:w="482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r>
      <w:tr>
        <w:trPr>
          <w:trHeight w:val="200"/>
        </w:trPr>
        <w:tc>
          <w:tcPr>
            <w:tcW w:w="4820" w:type="dxa"/>
            <w:vAlign w:val="bottom"/>
          </w:tcPr>
          <w:p>
            <w:pPr>
              <w:ind w:left="500"/>
              <w:spacing w:after="0"/>
              <w:rPr>
                <w:sz w:val="20"/>
                <w:szCs w:val="20"/>
                <w:color w:val="auto"/>
              </w:rPr>
            </w:pPr>
            <w:r>
              <w:rPr>
                <w:rFonts w:ascii="Arial" w:cs="Arial" w:eastAsia="Arial" w:hAnsi="Arial"/>
                <w:sz w:val="16"/>
                <w:szCs w:val="16"/>
                <w:color w:val="auto"/>
              </w:rPr>
              <w:t>Securities registered pursuant to Section 12(b) of the Act:</w:t>
            </w:r>
          </w:p>
        </w:tc>
        <w:tc>
          <w:tcPr>
            <w:tcW w:w="256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70"/>
        </w:trPr>
        <w:tc>
          <w:tcPr>
            <w:tcW w:w="4820" w:type="dxa"/>
            <w:vAlign w:val="bottom"/>
          </w:tcPr>
          <w:p>
            <w:pPr>
              <w:jc w:val="center"/>
              <w:ind w:right="999"/>
              <w:spacing w:after="0"/>
              <w:rPr>
                <w:sz w:val="20"/>
                <w:szCs w:val="20"/>
                <w:color w:val="auto"/>
              </w:rPr>
            </w:pPr>
            <w:r>
              <w:rPr>
                <w:rFonts w:ascii="Arial" w:cs="Arial" w:eastAsia="Arial" w:hAnsi="Arial"/>
                <w:sz w:val="16"/>
                <w:szCs w:val="16"/>
                <w:b w:val="1"/>
                <w:bCs w:val="1"/>
                <w:color w:val="auto"/>
                <w:w w:val="91"/>
              </w:rPr>
              <w:t>Title of Each Class</w:t>
            </w:r>
          </w:p>
        </w:tc>
        <w:tc>
          <w:tcPr>
            <w:tcW w:w="2560" w:type="dxa"/>
            <w:vAlign w:val="bottom"/>
          </w:tcPr>
          <w:p>
            <w:pPr>
              <w:jc w:val="center"/>
              <w:ind w:right="881"/>
              <w:spacing w:after="0"/>
              <w:rPr>
                <w:sz w:val="20"/>
                <w:szCs w:val="20"/>
                <w:color w:val="auto"/>
              </w:rPr>
            </w:pPr>
            <w:r>
              <w:rPr>
                <w:rFonts w:ascii="Arial" w:cs="Arial" w:eastAsia="Arial" w:hAnsi="Arial"/>
                <w:sz w:val="16"/>
                <w:szCs w:val="16"/>
                <w:b w:val="1"/>
                <w:bCs w:val="1"/>
                <w:color w:val="auto"/>
                <w:w w:val="91"/>
              </w:rPr>
              <w:t>Trading Symbol(s)</w:t>
            </w:r>
          </w:p>
        </w:tc>
        <w:tc>
          <w:tcPr>
            <w:tcW w:w="3860" w:type="dxa"/>
            <w:vAlign w:val="bottom"/>
          </w:tcPr>
          <w:p>
            <w:pPr>
              <w:jc w:val="center"/>
              <w:ind w:left="39"/>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2"/>
        </w:trPr>
        <w:tc>
          <w:tcPr>
            <w:tcW w:w="4820" w:type="dxa"/>
            <w:vAlign w:val="bottom"/>
          </w:tcPr>
          <w:p>
            <w:pPr>
              <w:jc w:val="center"/>
              <w:ind w:right="979"/>
              <w:spacing w:after="0"/>
              <w:rPr>
                <w:sz w:val="20"/>
                <w:szCs w:val="20"/>
                <w:color w:val="auto"/>
              </w:rPr>
            </w:pPr>
            <w:r>
              <w:rPr>
                <w:rFonts w:ascii="Arial" w:cs="Arial" w:eastAsia="Arial" w:hAnsi="Arial"/>
                <w:sz w:val="16"/>
                <w:szCs w:val="16"/>
                <w:color w:val="auto"/>
                <w:w w:val="90"/>
              </w:rPr>
              <w:t>Common Stock, par value $0.001 per share</w:t>
            </w:r>
          </w:p>
        </w:tc>
        <w:tc>
          <w:tcPr>
            <w:tcW w:w="2560" w:type="dxa"/>
            <w:vAlign w:val="bottom"/>
          </w:tcPr>
          <w:p>
            <w:pPr>
              <w:jc w:val="center"/>
              <w:ind w:right="901"/>
              <w:spacing w:after="0"/>
              <w:rPr>
                <w:sz w:val="20"/>
                <w:szCs w:val="20"/>
                <w:color w:val="auto"/>
              </w:rPr>
            </w:pPr>
            <w:r>
              <w:rPr>
                <w:rFonts w:ascii="Arial" w:cs="Arial" w:eastAsia="Arial" w:hAnsi="Arial"/>
                <w:sz w:val="16"/>
                <w:szCs w:val="16"/>
                <w:color w:val="auto"/>
                <w:w w:val="96"/>
              </w:rPr>
              <w:t>PNNT</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3"/>
              </w:rPr>
              <w:t>The Nasdaq Stock Market LLC</w:t>
            </w:r>
          </w:p>
        </w:tc>
      </w:tr>
      <w:tr>
        <w:trPr>
          <w:trHeight w:val="206"/>
        </w:trPr>
        <w:tc>
          <w:tcPr>
            <w:tcW w:w="4820" w:type="dxa"/>
            <w:vAlign w:val="bottom"/>
          </w:tcPr>
          <w:p>
            <w:pPr>
              <w:jc w:val="center"/>
              <w:ind w:right="979"/>
              <w:spacing w:after="0"/>
              <w:rPr>
                <w:sz w:val="20"/>
                <w:szCs w:val="20"/>
                <w:color w:val="auto"/>
              </w:rPr>
            </w:pPr>
            <w:r>
              <w:rPr>
                <w:rFonts w:ascii="Arial" w:cs="Arial" w:eastAsia="Arial" w:hAnsi="Arial"/>
                <w:sz w:val="16"/>
                <w:szCs w:val="16"/>
                <w:color w:val="auto"/>
                <w:w w:val="90"/>
              </w:rPr>
              <w:t>5.50% Notes due 2024</w:t>
            </w:r>
          </w:p>
        </w:tc>
        <w:tc>
          <w:tcPr>
            <w:tcW w:w="2560" w:type="dxa"/>
            <w:vAlign w:val="bottom"/>
          </w:tcPr>
          <w:p>
            <w:pPr>
              <w:jc w:val="center"/>
              <w:ind w:right="901"/>
              <w:spacing w:after="0"/>
              <w:rPr>
                <w:sz w:val="20"/>
                <w:szCs w:val="20"/>
                <w:color w:val="auto"/>
              </w:rPr>
            </w:pPr>
            <w:r>
              <w:rPr>
                <w:rFonts w:ascii="Arial" w:cs="Arial" w:eastAsia="Arial" w:hAnsi="Arial"/>
                <w:sz w:val="16"/>
                <w:szCs w:val="16"/>
                <w:color w:val="auto"/>
                <w:w w:val="96"/>
              </w:rPr>
              <w:t>PNNTG</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3"/>
              </w:rPr>
              <w:t>The Nasdaq Stock Market LLC</w:t>
            </w:r>
          </w:p>
        </w:tc>
      </w:tr>
    </w:tbl>
    <w:p>
      <w:pPr>
        <w:spacing w:after="0" w:line="77" w:lineRule="exact"/>
        <w:rPr>
          <w:sz w:val="24"/>
          <w:szCs w:val="24"/>
          <w:color w:val="auto"/>
        </w:rPr>
      </w:pPr>
    </w:p>
    <w:p>
      <w:pPr>
        <w:ind w:right="180" w:firstLine="496"/>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firstLine="496"/>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496"/>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59" w:lineRule="exact"/>
        <w:rPr>
          <w:sz w:val="24"/>
          <w:szCs w:val="24"/>
          <w:color w:val="auto"/>
        </w:rPr>
      </w:pPr>
    </w:p>
    <w:p>
      <w:pPr>
        <w:jc w:val="both"/>
        <w:ind w:right="80" w:firstLine="496"/>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jc w:val="both"/>
        <w:ind w:left="500" w:right="222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of the registrant’s common stock, $0.001 par value per share, outstanding as of May 5, 2021 was 67,045,105.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146050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 w:name="page2"/>
    <w:bookmarkEnd w:id="1"/>
    <w:p>
      <w:pPr>
        <w:jc w:val="center"/>
        <w:ind w:left="460"/>
        <w:spacing w:after="0"/>
        <w:rPr>
          <w:sz w:val="20"/>
          <w:szCs w:val="20"/>
          <w:color w:val="auto"/>
        </w:rPr>
      </w:pPr>
      <w:r>
        <w:rPr>
          <w:rFonts w:ascii="Arial" w:cs="Arial" w:eastAsia="Arial" w:hAnsi="Arial"/>
          <w:sz w:val="14"/>
          <w:szCs w:val="14"/>
          <w:b w:val="1"/>
          <w:bCs w:val="1"/>
          <w:color w:val="auto"/>
        </w:rPr>
        <w:t>PENNANTPARK INVESTMENT CORPORATION</w:t>
      </w:r>
    </w:p>
    <w:p>
      <w:pPr>
        <w:jc w:val="center"/>
        <w:ind w:left="460"/>
        <w:spacing w:after="0" w:line="226" w:lineRule="auto"/>
        <w:rPr>
          <w:sz w:val="20"/>
          <w:szCs w:val="20"/>
          <w:color w:val="auto"/>
        </w:rPr>
      </w:pPr>
      <w:r>
        <w:rPr>
          <w:rFonts w:ascii="Arial" w:cs="Arial" w:eastAsia="Arial" w:hAnsi="Arial"/>
          <w:sz w:val="14"/>
          <w:szCs w:val="14"/>
          <w:b w:val="1"/>
          <w:bCs w:val="1"/>
          <w:color w:val="auto"/>
        </w:rPr>
        <w:t>FORM 10-Q FOR THE QUARTER ENDED MARCH 31, 2021</w:t>
      </w:r>
    </w:p>
    <w:p>
      <w:pPr>
        <w:jc w:val="center"/>
        <w:ind w:left="46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740" w:type="dxa"/>
            <w:vAlign w:val="bottom"/>
            <w:gridSpan w:val="14"/>
          </w:tcPr>
          <w:p>
            <w:pPr>
              <w:jc w:val="center"/>
              <w:ind w:right="2100"/>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 CONSOLIDATED FINANCIAL INFORMATION</w:t>
              </w:r>
            </w:hyperlink>
          </w:p>
        </w:tc>
        <w:tc>
          <w:tcPr>
            <w:tcW w:w="1940" w:type="dxa"/>
            <w:vAlign w:val="bottom"/>
          </w:tcPr>
          <w:p>
            <w:pPr>
              <w:spacing w:after="0"/>
              <w:rPr>
                <w:sz w:val="14"/>
                <w:szCs w:val="14"/>
                <w:color w:val="auto"/>
              </w:rPr>
            </w:pPr>
          </w:p>
        </w:tc>
      </w:tr>
      <w:tr>
        <w:trPr>
          <w:trHeight w:val="439"/>
        </w:trPr>
        <w:tc>
          <w:tcPr>
            <w:tcW w:w="3580" w:type="dxa"/>
            <w:vAlign w:val="bottom"/>
            <w:gridSpan w:val="11"/>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Item 1. Consolidated Financial Statements</w:t>
              </w:r>
            </w:hyperlink>
          </w:p>
        </w:tc>
        <w:tc>
          <w:tcPr>
            <w:tcW w:w="3640" w:type="dxa"/>
            <w:vAlign w:val="bottom"/>
            <w:tcBorders>
              <w:top w:val="single" w:sz="8" w:color="0000EE"/>
            </w:tcBorders>
            <w:gridSpan w:val="12"/>
          </w:tcPr>
          <w:p>
            <w:pPr>
              <w:spacing w:after="0"/>
              <w:rPr>
                <w:sz w:val="24"/>
                <w:szCs w:val="24"/>
                <w:color w:val="auto"/>
              </w:rPr>
            </w:pPr>
          </w:p>
        </w:tc>
        <w:tc>
          <w:tcPr>
            <w:tcW w:w="2100" w:type="dxa"/>
            <w:vAlign w:val="bottom"/>
            <w:gridSpan w:val="2"/>
          </w:tcPr>
          <w:p>
            <w:pPr>
              <w:spacing w:after="0"/>
              <w:rPr>
                <w:sz w:val="24"/>
                <w:szCs w:val="24"/>
                <w:color w:val="auto"/>
              </w:rPr>
            </w:pPr>
          </w:p>
        </w:tc>
        <w:tc>
          <w:tcPr>
            <w:tcW w:w="1940" w:type="dxa"/>
            <w:vAlign w:val="bottom"/>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39"/>
        </w:trPr>
        <w:tc>
          <w:tcPr>
            <w:tcW w:w="360" w:type="dxa"/>
            <w:vAlign w:val="bottom"/>
          </w:tcPr>
          <w:p>
            <w:pPr>
              <w:spacing w:after="0"/>
              <w:rPr>
                <w:sz w:val="24"/>
                <w:szCs w:val="24"/>
                <w:color w:val="auto"/>
              </w:rPr>
            </w:pPr>
          </w:p>
        </w:tc>
        <w:tc>
          <w:tcPr>
            <w:tcW w:w="8960" w:type="dxa"/>
            <w:vAlign w:val="bottom"/>
            <w:gridSpan w:val="24"/>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Consolidated Statements of Assets and Liabilities as of March 31, 2021 (unaudited) and September 30, 2020</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39"/>
        </w:trPr>
        <w:tc>
          <w:tcPr>
            <w:tcW w:w="360" w:type="dxa"/>
            <w:vAlign w:val="bottom"/>
          </w:tcPr>
          <w:p>
            <w:pPr>
              <w:spacing w:after="0"/>
              <w:rPr>
                <w:sz w:val="24"/>
                <w:szCs w:val="24"/>
                <w:color w:val="auto"/>
              </w:rPr>
            </w:pPr>
          </w:p>
        </w:tc>
        <w:tc>
          <w:tcPr>
            <w:tcW w:w="6500" w:type="dxa"/>
            <w:vAlign w:val="bottom"/>
            <w:tcBorders>
              <w:bottom w:val="single" w:sz="8" w:color="0000EE"/>
            </w:tcBorders>
            <w:gridSpan w:val="21"/>
          </w:tcPr>
          <w:p>
            <w:pPr>
              <w:spacing w:after="0"/>
              <w:rPr>
                <w:rFonts w:ascii="Arial" w:cs="Arial" w:eastAsia="Arial" w:hAnsi="Arial"/>
                <w:sz w:val="14"/>
                <w:szCs w:val="14"/>
                <w:color w:val="0000EE"/>
                <w:w w:val="92"/>
              </w:rPr>
            </w:pPr>
            <w:hyperlink w:anchor="page5">
              <w:r>
                <w:rPr>
                  <w:rFonts w:ascii="Arial" w:cs="Arial" w:eastAsia="Arial" w:hAnsi="Arial"/>
                  <w:sz w:val="14"/>
                  <w:szCs w:val="14"/>
                  <w:color w:val="0000EE"/>
                  <w:w w:val="92"/>
                </w:rPr>
                <w:t>Consolidated Statements of Operations for the three and six months ended March 31, 2021 and 2020 (unaudited)</w:t>
              </w:r>
            </w:hyperlink>
          </w:p>
        </w:tc>
        <w:tc>
          <w:tcPr>
            <w:tcW w:w="2460" w:type="dxa"/>
            <w:vAlign w:val="bottom"/>
            <w:gridSpan w:val="3"/>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439"/>
        </w:trPr>
        <w:tc>
          <w:tcPr>
            <w:tcW w:w="360" w:type="dxa"/>
            <w:vAlign w:val="bottom"/>
          </w:tcPr>
          <w:p>
            <w:pPr>
              <w:spacing w:after="0"/>
              <w:rPr>
                <w:sz w:val="24"/>
                <w:szCs w:val="24"/>
                <w:color w:val="auto"/>
              </w:rPr>
            </w:pPr>
          </w:p>
        </w:tc>
        <w:tc>
          <w:tcPr>
            <w:tcW w:w="8960" w:type="dxa"/>
            <w:vAlign w:val="bottom"/>
            <w:gridSpan w:val="24"/>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Consolidated Statements of Changes in Net Assets for the three and six months ended March 31, 2021 and 2020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439"/>
        </w:trPr>
        <w:tc>
          <w:tcPr>
            <w:tcW w:w="360" w:type="dxa"/>
            <w:vAlign w:val="bottom"/>
          </w:tcPr>
          <w:p>
            <w:pPr>
              <w:spacing w:after="0"/>
              <w:rPr>
                <w:sz w:val="24"/>
                <w:szCs w:val="24"/>
                <w:color w:val="auto"/>
              </w:rPr>
            </w:pPr>
          </w:p>
        </w:tc>
        <w:tc>
          <w:tcPr>
            <w:tcW w:w="5980" w:type="dxa"/>
            <w:vAlign w:val="bottom"/>
            <w:tcBorders>
              <w:top w:val="single" w:sz="8" w:color="0000EE"/>
              <w:bottom w:val="single" w:sz="8" w:color="0000EE"/>
            </w:tcBorders>
            <w:gridSpan w:val="18"/>
          </w:tcPr>
          <w:p>
            <w:pPr>
              <w:spacing w:after="0"/>
              <w:rPr>
                <w:rFonts w:ascii="Arial" w:cs="Arial" w:eastAsia="Arial" w:hAnsi="Arial"/>
                <w:sz w:val="14"/>
                <w:szCs w:val="14"/>
                <w:color w:val="0000EE"/>
                <w:w w:val="92"/>
              </w:rPr>
            </w:pPr>
            <w:hyperlink w:anchor="page7">
              <w:r>
                <w:rPr>
                  <w:rFonts w:ascii="Arial" w:cs="Arial" w:eastAsia="Arial" w:hAnsi="Arial"/>
                  <w:sz w:val="14"/>
                  <w:szCs w:val="14"/>
                  <w:color w:val="0000EE"/>
                  <w:w w:val="92"/>
                </w:rPr>
                <w:t>Consolidated Statements of Cash Flows for the six months ended March 31, 2021 and 2020 (unaudited)</w:t>
              </w:r>
            </w:hyperlink>
          </w:p>
        </w:tc>
        <w:tc>
          <w:tcPr>
            <w:tcW w:w="1180" w:type="dxa"/>
            <w:vAlign w:val="bottom"/>
            <w:tcBorders>
              <w:top w:val="single" w:sz="8" w:color="0000EE"/>
            </w:tcBorders>
            <w:gridSpan w:val="5"/>
          </w:tcPr>
          <w:p>
            <w:pPr>
              <w:spacing w:after="0"/>
              <w:rPr>
                <w:sz w:val="24"/>
                <w:szCs w:val="24"/>
                <w:color w:val="auto"/>
              </w:rPr>
            </w:pPr>
          </w:p>
        </w:tc>
        <w:tc>
          <w:tcPr>
            <w:tcW w:w="18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479"/>
        </w:trPr>
        <w:tc>
          <w:tcPr>
            <w:tcW w:w="360" w:type="dxa"/>
            <w:vAlign w:val="bottom"/>
          </w:tcPr>
          <w:p>
            <w:pPr>
              <w:spacing w:after="0"/>
              <w:rPr>
                <w:sz w:val="24"/>
                <w:szCs w:val="24"/>
                <w:color w:val="auto"/>
              </w:rPr>
            </w:pPr>
          </w:p>
        </w:tc>
        <w:tc>
          <w:tcPr>
            <w:tcW w:w="5640" w:type="dxa"/>
            <w:vAlign w:val="bottom"/>
            <w:tcBorders>
              <w:bottom w:val="single" w:sz="8" w:color="0000EE"/>
            </w:tcBorders>
            <w:gridSpan w:val="17"/>
          </w:tcPr>
          <w:p>
            <w:pPr>
              <w:spacing w:after="0"/>
              <w:rPr>
                <w:rFonts w:ascii="Arial" w:cs="Arial" w:eastAsia="Arial" w:hAnsi="Arial"/>
                <w:sz w:val="14"/>
                <w:szCs w:val="14"/>
                <w:color w:val="0000EE"/>
                <w:w w:val="91"/>
              </w:rPr>
            </w:pPr>
            <w:hyperlink w:anchor="page8">
              <w:r>
                <w:rPr>
                  <w:rFonts w:ascii="Arial" w:cs="Arial" w:eastAsia="Arial" w:hAnsi="Arial"/>
                  <w:sz w:val="14"/>
                  <w:szCs w:val="14"/>
                  <w:color w:val="0000EE"/>
                  <w:w w:val="91"/>
                </w:rPr>
                <w:t>Consolidated Schedules of Investments as of March 31, 2021 (unaudited) and September 30, 2020</w:t>
              </w:r>
            </w:hyperlink>
          </w:p>
        </w:tc>
        <w:tc>
          <w:tcPr>
            <w:tcW w:w="3320" w:type="dxa"/>
            <w:vAlign w:val="bottom"/>
            <w:gridSpan w:val="7"/>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439"/>
        </w:trPr>
        <w:tc>
          <w:tcPr>
            <w:tcW w:w="360" w:type="dxa"/>
            <w:vAlign w:val="bottom"/>
          </w:tcPr>
          <w:p>
            <w:pPr>
              <w:spacing w:after="0"/>
              <w:rPr>
                <w:sz w:val="24"/>
                <w:szCs w:val="24"/>
                <w:color w:val="auto"/>
              </w:rPr>
            </w:pPr>
          </w:p>
        </w:tc>
        <w:tc>
          <w:tcPr>
            <w:tcW w:w="3240" w:type="dxa"/>
            <w:vAlign w:val="bottom"/>
            <w:tcBorders>
              <w:bottom w:val="single" w:sz="8" w:color="0000EE"/>
            </w:tcBorders>
            <w:gridSpan w:val="11"/>
          </w:tcPr>
          <w:p>
            <w:pPr>
              <w:spacing w:after="0"/>
              <w:rPr>
                <w:rFonts w:ascii="Arial" w:cs="Arial" w:eastAsia="Arial" w:hAnsi="Arial"/>
                <w:sz w:val="14"/>
                <w:szCs w:val="14"/>
                <w:color w:val="0000EE"/>
                <w:w w:val="92"/>
              </w:rPr>
            </w:pPr>
            <w:hyperlink w:anchor="page16">
              <w:r>
                <w:rPr>
                  <w:rFonts w:ascii="Arial" w:cs="Arial" w:eastAsia="Arial" w:hAnsi="Arial"/>
                  <w:sz w:val="14"/>
                  <w:szCs w:val="14"/>
                  <w:color w:val="0000EE"/>
                  <w:w w:val="92"/>
                </w:rPr>
                <w:t>Notes to Consolidated Financial Statements (unaudited)</w:t>
              </w:r>
            </w:hyperlink>
          </w:p>
        </w:tc>
        <w:tc>
          <w:tcPr>
            <w:tcW w:w="5720" w:type="dxa"/>
            <w:vAlign w:val="bottom"/>
            <w:gridSpan w:val="13"/>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439"/>
        </w:trPr>
        <w:tc>
          <w:tcPr>
            <w:tcW w:w="360" w:type="dxa"/>
            <w:vAlign w:val="bottom"/>
          </w:tcPr>
          <w:p>
            <w:pPr>
              <w:spacing w:after="0"/>
              <w:rPr>
                <w:sz w:val="24"/>
                <w:szCs w:val="24"/>
                <w:color w:val="auto"/>
              </w:rPr>
            </w:pPr>
          </w:p>
        </w:tc>
        <w:tc>
          <w:tcPr>
            <w:tcW w:w="3380" w:type="dxa"/>
            <w:vAlign w:val="bottom"/>
            <w:tcBorders>
              <w:bottom w:val="single" w:sz="8" w:color="0000EE"/>
            </w:tcBorders>
            <w:gridSpan w:val="12"/>
          </w:tcPr>
          <w:p>
            <w:pPr>
              <w:spacing w:after="0"/>
              <w:rPr>
                <w:rFonts w:ascii="Arial" w:cs="Arial" w:eastAsia="Arial" w:hAnsi="Arial"/>
                <w:sz w:val="14"/>
                <w:szCs w:val="14"/>
                <w:color w:val="0000EE"/>
                <w:w w:val="93"/>
              </w:rPr>
            </w:pPr>
            <w:hyperlink w:anchor="page30">
              <w:r>
                <w:rPr>
                  <w:rFonts w:ascii="Arial" w:cs="Arial" w:eastAsia="Arial" w:hAnsi="Arial"/>
                  <w:sz w:val="14"/>
                  <w:szCs w:val="14"/>
                  <w:color w:val="0000EE"/>
                  <w:w w:val="93"/>
                </w:rPr>
                <w:t>Report of Independent Registered Public Accounting Firm</w:t>
              </w:r>
            </w:hyperlink>
          </w:p>
        </w:tc>
        <w:tc>
          <w:tcPr>
            <w:tcW w:w="5580" w:type="dxa"/>
            <w:vAlign w:val="bottom"/>
            <w:gridSpan w:val="1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439"/>
        </w:trPr>
        <w:tc>
          <w:tcPr>
            <w:tcW w:w="5940" w:type="dxa"/>
            <w:vAlign w:val="bottom"/>
            <w:tcBorders>
              <w:bottom w:val="single" w:sz="8" w:color="0000EE"/>
            </w:tcBorders>
            <w:gridSpan w:val="17"/>
          </w:tcPr>
          <w:p>
            <w:pPr>
              <w:spacing w:after="0"/>
              <w:rPr>
                <w:rFonts w:ascii="Arial" w:cs="Arial" w:eastAsia="Arial" w:hAnsi="Arial"/>
                <w:sz w:val="14"/>
                <w:szCs w:val="14"/>
                <w:b w:val="1"/>
                <w:bCs w:val="1"/>
                <w:color w:val="0000EE"/>
                <w:w w:val="92"/>
              </w:rPr>
            </w:pPr>
            <w:hyperlink w:anchor="page31">
              <w:r>
                <w:rPr>
                  <w:rFonts w:ascii="Arial" w:cs="Arial" w:eastAsia="Arial" w:hAnsi="Arial"/>
                  <w:sz w:val="14"/>
                  <w:szCs w:val="14"/>
                  <w:b w:val="1"/>
                  <w:bCs w:val="1"/>
                  <w:color w:val="0000EE"/>
                  <w:w w:val="92"/>
                </w:rPr>
                <w:t>Item 2. Management’s Discussion and Analysis of Financial Condition and Results of Operations</w:t>
              </w:r>
            </w:hyperlink>
          </w:p>
        </w:tc>
        <w:tc>
          <w:tcPr>
            <w:tcW w:w="3380" w:type="dxa"/>
            <w:vAlign w:val="bottom"/>
            <w:gridSpan w:val="8"/>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439"/>
        </w:trPr>
        <w:tc>
          <w:tcPr>
            <w:tcW w:w="9320" w:type="dxa"/>
            <w:vAlign w:val="bottom"/>
            <w:gridSpan w:val="25"/>
          </w:tcPr>
          <w:p>
            <w:pPr>
              <w:spacing w:after="0"/>
              <w:rPr>
                <w:rFonts w:ascii="Arial" w:cs="Arial" w:eastAsia="Arial" w:hAnsi="Arial"/>
                <w:sz w:val="14"/>
                <w:szCs w:val="14"/>
                <w:b w:val="1"/>
                <w:bCs w:val="1"/>
                <w:color w:val="0000EE"/>
              </w:rPr>
            </w:pPr>
            <w:hyperlink w:anchor="page42">
              <w:r>
                <w:rPr>
                  <w:rFonts w:ascii="Arial" w:cs="Arial" w:eastAsia="Arial" w:hAnsi="Arial"/>
                  <w:sz w:val="14"/>
                  <w:szCs w:val="14"/>
                  <w:b w:val="1"/>
                  <w:bCs w:val="1"/>
                  <w:color w:val="0000EE"/>
                </w:rPr>
                <w:t>Item 3. Quantitative and Qualitative Disclosures About Market Risk</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439"/>
        </w:trPr>
        <w:tc>
          <w:tcPr>
            <w:tcW w:w="4200" w:type="dxa"/>
            <w:vAlign w:val="bottom"/>
            <w:tcBorders>
              <w:top w:val="single" w:sz="8" w:color="0000EE"/>
            </w:tcBorders>
            <w:gridSpan w:val="15"/>
          </w:tcPr>
          <w:p>
            <w:pPr>
              <w:spacing w:after="0"/>
              <w:rPr>
                <w:rFonts w:ascii="Arial" w:cs="Arial" w:eastAsia="Arial" w:hAnsi="Arial"/>
                <w:sz w:val="14"/>
                <w:szCs w:val="14"/>
                <w:b w:val="1"/>
                <w:bCs w:val="1"/>
                <w:color w:val="0000EE"/>
              </w:rPr>
            </w:pPr>
            <w:hyperlink w:anchor="page43">
              <w:r>
                <w:rPr>
                  <w:rFonts w:ascii="Arial" w:cs="Arial" w:eastAsia="Arial" w:hAnsi="Arial"/>
                  <w:sz w:val="14"/>
                  <w:szCs w:val="14"/>
                  <w:b w:val="1"/>
                  <w:bCs w:val="1"/>
                  <w:color w:val="0000EE"/>
                </w:rPr>
                <w:t>Item 4. Controls and Procedures</w:t>
              </w:r>
            </w:hyperlink>
          </w:p>
        </w:tc>
        <w:tc>
          <w:tcPr>
            <w:tcW w:w="5120" w:type="dxa"/>
            <w:vAlign w:val="bottom"/>
            <w:gridSpan w:val="10"/>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439"/>
        </w:trPr>
        <w:tc>
          <w:tcPr>
            <w:tcW w:w="3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9"/>
          </w:tcPr>
          <w:p>
            <w:pPr>
              <w:jc w:val="center"/>
              <w:ind w:right="2820"/>
              <w:spacing w:after="0"/>
              <w:rPr>
                <w:rFonts w:ascii="Arial" w:cs="Arial" w:eastAsia="Arial" w:hAnsi="Arial"/>
                <w:sz w:val="14"/>
                <w:szCs w:val="14"/>
                <w:b w:val="1"/>
                <w:bCs w:val="1"/>
                <w:color w:val="0000EE"/>
              </w:rPr>
            </w:pPr>
            <w:hyperlink w:anchor="page44">
              <w:r>
                <w:rPr>
                  <w:rFonts w:ascii="Arial" w:cs="Arial" w:eastAsia="Arial" w:hAnsi="Arial"/>
                  <w:sz w:val="14"/>
                  <w:szCs w:val="14"/>
                  <w:b w:val="1"/>
                  <w:bCs w:val="1"/>
                  <w:color w:val="0000EE"/>
                </w:rPr>
                <w:t>PART II. OTHER INFORMATION</w:t>
              </w:r>
            </w:hyperlink>
          </w:p>
        </w:tc>
        <w:tc>
          <w:tcPr>
            <w:tcW w:w="1940" w:type="dxa"/>
            <w:vAlign w:val="bottom"/>
          </w:tcPr>
          <w:p>
            <w:pPr>
              <w:spacing w:after="0"/>
              <w:rPr>
                <w:sz w:val="24"/>
                <w:szCs w:val="24"/>
                <w:color w:val="auto"/>
              </w:rPr>
            </w:pPr>
          </w:p>
        </w:tc>
      </w:tr>
      <w:tr>
        <w:trPr>
          <w:trHeight w:val="439"/>
        </w:trPr>
        <w:tc>
          <w:tcPr>
            <w:tcW w:w="1600" w:type="dxa"/>
            <w:vAlign w:val="bottom"/>
            <w:tcBorders>
              <w:bottom w:val="single" w:sz="8" w:color="0000EE"/>
            </w:tcBorders>
            <w:gridSpan w:val="5"/>
          </w:tcPr>
          <w:p>
            <w:pPr>
              <w:spacing w:after="0"/>
              <w:rPr>
                <w:rFonts w:ascii="Arial" w:cs="Arial" w:eastAsia="Arial" w:hAnsi="Arial"/>
                <w:sz w:val="14"/>
                <w:szCs w:val="14"/>
                <w:b w:val="1"/>
                <w:bCs w:val="1"/>
                <w:color w:val="0000EE"/>
                <w:w w:val="91"/>
              </w:rPr>
            </w:pPr>
            <w:hyperlink w:anchor="page44">
              <w:r>
                <w:rPr>
                  <w:rFonts w:ascii="Arial" w:cs="Arial" w:eastAsia="Arial" w:hAnsi="Arial"/>
                  <w:sz w:val="14"/>
                  <w:szCs w:val="14"/>
                  <w:b w:val="1"/>
                  <w:bCs w:val="1"/>
                  <w:color w:val="0000EE"/>
                  <w:w w:val="91"/>
                </w:rPr>
                <w:t>Item 1. Legal Proceedings</w:t>
              </w:r>
            </w:hyperlink>
          </w:p>
        </w:tc>
        <w:tc>
          <w:tcPr>
            <w:tcW w:w="2700" w:type="dxa"/>
            <w:vAlign w:val="bottom"/>
            <w:gridSpan w:val="11"/>
          </w:tcPr>
          <w:p>
            <w:pPr>
              <w:spacing w:after="0"/>
              <w:rPr>
                <w:sz w:val="24"/>
                <w:szCs w:val="24"/>
                <w:color w:val="auto"/>
              </w:rPr>
            </w:pPr>
          </w:p>
        </w:tc>
        <w:tc>
          <w:tcPr>
            <w:tcW w:w="2200" w:type="dxa"/>
            <w:vAlign w:val="bottom"/>
            <w:tcBorders>
              <w:top w:val="single" w:sz="8" w:color="0000EE"/>
            </w:tcBorders>
            <w:gridSpan w:val="4"/>
          </w:tcPr>
          <w:p>
            <w:pPr>
              <w:spacing w:after="0"/>
              <w:rPr>
                <w:sz w:val="24"/>
                <w:szCs w:val="24"/>
                <w:color w:val="auto"/>
              </w:rPr>
            </w:pPr>
          </w:p>
        </w:tc>
        <w:tc>
          <w:tcPr>
            <w:tcW w:w="2820" w:type="dxa"/>
            <w:vAlign w:val="bottom"/>
            <w:gridSpan w:val="5"/>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439"/>
        </w:trPr>
        <w:tc>
          <w:tcPr>
            <w:tcW w:w="1360" w:type="dxa"/>
            <w:vAlign w:val="bottom"/>
            <w:tcBorders>
              <w:bottom w:val="single" w:sz="8" w:color="0000EE"/>
            </w:tcBorders>
            <w:gridSpan w:val="4"/>
          </w:tcPr>
          <w:p>
            <w:pPr>
              <w:spacing w:after="0"/>
              <w:rPr>
                <w:rFonts w:ascii="Arial" w:cs="Arial" w:eastAsia="Arial" w:hAnsi="Arial"/>
                <w:sz w:val="14"/>
                <w:szCs w:val="14"/>
                <w:b w:val="1"/>
                <w:bCs w:val="1"/>
                <w:color w:val="0000EE"/>
                <w:w w:val="94"/>
              </w:rPr>
            </w:pPr>
            <w:hyperlink w:anchor="page44">
              <w:r>
                <w:rPr>
                  <w:rFonts w:ascii="Arial" w:cs="Arial" w:eastAsia="Arial" w:hAnsi="Arial"/>
                  <w:sz w:val="14"/>
                  <w:szCs w:val="14"/>
                  <w:b w:val="1"/>
                  <w:bCs w:val="1"/>
                  <w:color w:val="0000EE"/>
                  <w:w w:val="94"/>
                </w:rPr>
                <w:t>Item 1A. Risk Factors</w:t>
              </w:r>
            </w:hyperlink>
          </w:p>
        </w:tc>
        <w:tc>
          <w:tcPr>
            <w:tcW w:w="7960" w:type="dxa"/>
            <w:vAlign w:val="bottom"/>
            <w:gridSpan w:val="21"/>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439"/>
        </w:trPr>
        <w:tc>
          <w:tcPr>
            <w:tcW w:w="9320" w:type="dxa"/>
            <w:vAlign w:val="bottom"/>
            <w:gridSpan w:val="25"/>
          </w:tcPr>
          <w:p>
            <w:pPr>
              <w:spacing w:after="0"/>
              <w:rPr>
                <w:rFonts w:ascii="Arial" w:cs="Arial" w:eastAsia="Arial" w:hAnsi="Arial"/>
                <w:sz w:val="14"/>
                <w:szCs w:val="14"/>
                <w:b w:val="1"/>
                <w:bCs w:val="1"/>
                <w:color w:val="0000EE"/>
              </w:rPr>
            </w:pPr>
            <w:hyperlink w:anchor="page44">
              <w:r>
                <w:rPr>
                  <w:rFonts w:ascii="Arial" w:cs="Arial" w:eastAsia="Arial" w:hAnsi="Arial"/>
                  <w:sz w:val="14"/>
                  <w:szCs w:val="14"/>
                  <w:b w:val="1"/>
                  <w:bCs w:val="1"/>
                  <w:color w:val="0000EE"/>
                </w:rPr>
                <w:t>Item 2. Unregistered Sales of Equity Securities and Use of Proceeds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439"/>
        </w:trPr>
        <w:tc>
          <w:tcPr>
            <w:tcW w:w="4120" w:type="dxa"/>
            <w:vAlign w:val="bottom"/>
            <w:tcBorders>
              <w:top w:val="single" w:sz="8" w:color="0000EE"/>
            </w:tcBorders>
            <w:gridSpan w:val="14"/>
          </w:tcPr>
          <w:p>
            <w:pPr>
              <w:spacing w:after="0"/>
              <w:rPr>
                <w:rFonts w:ascii="Arial" w:cs="Arial" w:eastAsia="Arial" w:hAnsi="Arial"/>
                <w:sz w:val="14"/>
                <w:szCs w:val="14"/>
                <w:b w:val="1"/>
                <w:bCs w:val="1"/>
                <w:color w:val="0000EE"/>
              </w:rPr>
            </w:pPr>
            <w:hyperlink w:anchor="page45">
              <w:r>
                <w:rPr>
                  <w:rFonts w:ascii="Arial" w:cs="Arial" w:eastAsia="Arial" w:hAnsi="Arial"/>
                  <w:sz w:val="14"/>
                  <w:szCs w:val="14"/>
                  <w:b w:val="1"/>
                  <w:bCs w:val="1"/>
                  <w:color w:val="0000EE"/>
                </w:rPr>
                <w:t>Item 3. Defaults Upon Senior Securities</w:t>
              </w:r>
            </w:hyperlink>
          </w:p>
        </w:tc>
        <w:tc>
          <w:tcPr>
            <w:tcW w:w="5200" w:type="dxa"/>
            <w:vAlign w:val="bottom"/>
            <w:gridSpan w:val="11"/>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439"/>
        </w:trPr>
        <w:tc>
          <w:tcPr>
            <w:tcW w:w="2420" w:type="dxa"/>
            <w:vAlign w:val="bottom"/>
            <w:tcBorders>
              <w:top w:val="single" w:sz="8" w:color="0000EE"/>
            </w:tcBorders>
            <w:gridSpan w:val="9"/>
          </w:tcPr>
          <w:p>
            <w:pPr>
              <w:spacing w:after="0"/>
              <w:rPr>
                <w:rFonts w:ascii="Arial" w:cs="Arial" w:eastAsia="Arial" w:hAnsi="Arial"/>
                <w:sz w:val="14"/>
                <w:szCs w:val="14"/>
                <w:b w:val="1"/>
                <w:bCs w:val="1"/>
                <w:color w:val="0000EE"/>
              </w:rPr>
            </w:pPr>
            <w:hyperlink w:anchor="page45">
              <w:r>
                <w:rPr>
                  <w:rFonts w:ascii="Arial" w:cs="Arial" w:eastAsia="Arial" w:hAnsi="Arial"/>
                  <w:sz w:val="14"/>
                  <w:szCs w:val="14"/>
                  <w:b w:val="1"/>
                  <w:bCs w:val="1"/>
                  <w:color w:val="0000EE"/>
                </w:rPr>
                <w:t>Item 4. Mine Safety Disclosures</w:t>
              </w:r>
            </w:hyperlink>
          </w:p>
        </w:tc>
        <w:tc>
          <w:tcPr>
            <w:tcW w:w="6900" w:type="dxa"/>
            <w:vAlign w:val="bottom"/>
            <w:gridSpan w:val="16"/>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439"/>
        </w:trPr>
        <w:tc>
          <w:tcPr>
            <w:tcW w:w="1640" w:type="dxa"/>
            <w:vAlign w:val="bottom"/>
            <w:tcBorders>
              <w:top w:val="single" w:sz="8" w:color="0000EE"/>
              <w:bottom w:val="single" w:sz="8" w:color="0000EE"/>
            </w:tcBorders>
            <w:gridSpan w:val="6"/>
          </w:tcPr>
          <w:p>
            <w:pPr>
              <w:spacing w:after="0"/>
              <w:rPr>
                <w:rFonts w:ascii="Arial" w:cs="Arial" w:eastAsia="Arial" w:hAnsi="Arial"/>
                <w:sz w:val="14"/>
                <w:szCs w:val="14"/>
                <w:b w:val="1"/>
                <w:bCs w:val="1"/>
                <w:color w:val="0000EE"/>
                <w:w w:val="97"/>
              </w:rPr>
            </w:pPr>
            <w:hyperlink w:anchor="page45">
              <w:r>
                <w:rPr>
                  <w:rFonts w:ascii="Arial" w:cs="Arial" w:eastAsia="Arial" w:hAnsi="Arial"/>
                  <w:sz w:val="14"/>
                  <w:szCs w:val="14"/>
                  <w:b w:val="1"/>
                  <w:bCs w:val="1"/>
                  <w:color w:val="0000EE"/>
                  <w:w w:val="97"/>
                </w:rPr>
                <w:t>Item 5. Other Information</w:t>
              </w:r>
            </w:hyperlink>
          </w:p>
        </w:tc>
        <w:tc>
          <w:tcPr>
            <w:tcW w:w="300" w:type="dxa"/>
            <w:vAlign w:val="bottom"/>
            <w:tcBorders>
              <w:top w:val="single" w:sz="8" w:color="0000EE"/>
            </w:tcBorders>
          </w:tcPr>
          <w:p>
            <w:pPr>
              <w:spacing w:after="0"/>
              <w:rPr>
                <w:sz w:val="24"/>
                <w:szCs w:val="24"/>
                <w:color w:val="auto"/>
              </w:rPr>
            </w:pPr>
          </w:p>
        </w:tc>
        <w:tc>
          <w:tcPr>
            <w:tcW w:w="7380" w:type="dxa"/>
            <w:vAlign w:val="bottom"/>
            <w:gridSpan w:val="18"/>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439"/>
        </w:trPr>
        <w:tc>
          <w:tcPr>
            <w:tcW w:w="9320" w:type="dxa"/>
            <w:vAlign w:val="bottom"/>
            <w:gridSpan w:val="25"/>
          </w:tcPr>
          <w:p>
            <w:pPr>
              <w:spacing w:after="0"/>
              <w:rPr>
                <w:rFonts w:ascii="Arial" w:cs="Arial" w:eastAsia="Arial" w:hAnsi="Arial"/>
                <w:sz w:val="14"/>
                <w:szCs w:val="14"/>
                <w:b w:val="1"/>
                <w:bCs w:val="1"/>
                <w:color w:val="0000EE"/>
              </w:rPr>
            </w:pPr>
            <w:hyperlink w:anchor="page46">
              <w:r>
                <w:rPr>
                  <w:rFonts w:ascii="Arial" w:cs="Arial" w:eastAsia="Arial" w:hAnsi="Arial"/>
                  <w:sz w:val="14"/>
                  <w:szCs w:val="14"/>
                  <w:b w:val="1"/>
                  <w:bCs w:val="1"/>
                  <w:color w:val="0000EE"/>
                </w:rPr>
                <w:t>Item 6. Exhibits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439"/>
        </w:trPr>
        <w:tc>
          <w:tcPr>
            <w:tcW w:w="940" w:type="dxa"/>
            <w:vAlign w:val="bottom"/>
            <w:tcBorders>
              <w:top w:val="single" w:sz="8" w:color="0000EE"/>
              <w:bottom w:val="single" w:sz="8" w:color="0000EE"/>
            </w:tcBorders>
            <w:gridSpan w:val="2"/>
          </w:tcPr>
          <w:p>
            <w:pPr>
              <w:spacing w:after="0"/>
              <w:rPr>
                <w:rFonts w:ascii="Arial" w:cs="Arial" w:eastAsia="Arial" w:hAnsi="Arial"/>
                <w:sz w:val="14"/>
                <w:szCs w:val="14"/>
                <w:b w:val="1"/>
                <w:bCs w:val="1"/>
                <w:color w:val="0000EE"/>
              </w:rPr>
            </w:pPr>
            <w:hyperlink w:anchor="page47">
              <w:r>
                <w:rPr>
                  <w:rFonts w:ascii="Arial" w:cs="Arial" w:eastAsia="Arial" w:hAnsi="Arial"/>
                  <w:sz w:val="14"/>
                  <w:szCs w:val="14"/>
                  <w:b w:val="1"/>
                  <w:bCs w:val="1"/>
                  <w:color w:val="0000EE"/>
                </w:rPr>
                <w:t>SIGNATURES</w:t>
              </w:r>
            </w:hyperlink>
          </w:p>
        </w:tc>
        <w:tc>
          <w:tcPr>
            <w:tcW w:w="40" w:type="dxa"/>
            <w:vAlign w:val="bottom"/>
            <w:tcBorders>
              <w:top w:val="single" w:sz="8" w:color="0000EE"/>
            </w:tcBorders>
          </w:tcPr>
          <w:p>
            <w:pPr>
              <w:spacing w:after="0"/>
              <w:rPr>
                <w:sz w:val="24"/>
                <w:szCs w:val="24"/>
                <w:color w:val="auto"/>
              </w:rPr>
            </w:pPr>
          </w:p>
        </w:tc>
        <w:tc>
          <w:tcPr>
            <w:tcW w:w="8340" w:type="dxa"/>
            <w:vAlign w:val="bottom"/>
            <w:gridSpan w:val="2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751"/>
        </w:trPr>
        <w:tc>
          <w:tcPr>
            <w:tcW w:w="5940" w:type="dxa"/>
            <w:vAlign w:val="bottom"/>
            <w:gridSpan w:val="17"/>
          </w:tcPr>
          <w:p>
            <w:pPr>
              <w:ind w:left="5580"/>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00"/>
        </w:trPr>
        <w:tc>
          <w:tcPr>
            <w:tcW w:w="3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62"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21" w:lineRule="exact"/>
        <w:rPr>
          <w:sz w:val="20"/>
          <w:szCs w:val="20"/>
          <w:color w:val="auto"/>
        </w:rPr>
      </w:pPr>
    </w:p>
    <w:p>
      <w:pPr>
        <w:ind w:firstLine="438"/>
        <w:spacing w:after="0" w:line="242" w:lineRule="auto"/>
        <w:rPr>
          <w:sz w:val="20"/>
          <w:szCs w:val="20"/>
          <w:color w:val="auto"/>
        </w:rPr>
      </w:pPr>
      <w:r>
        <w:rPr>
          <w:rFonts w:ascii="Arial" w:cs="Arial" w:eastAsia="Arial" w:hAnsi="Arial"/>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context suggest otherwise, the terms “Company,” “we,” “our” or “us” refers to PennantPark Investment Corporation and its consolidated subsidiaries; “PennantPark Investment” refers to only PennantPark Investment Corporation; “our SBIC Fund” refers collectively to our consolidated subsidiaries, PennantPark SBIC II LP, or SBIC II, and its general partner, PennantPark SBIC GP II, LLC; “Funding I” refers to PennantPark Investment Funding I, LLC, a wholly-owned subsidiary prior to deconsolidation on July 31, 2020; “Taxable Subsidiaries” refers to PNNT Cascade Environmental Holdings, LLC, PNNT CI (Galls) Prime Investment Holdings, LLC, PNNT ecoserve, LLC, PNNT Investment Holdings, LLC and PNNT New Gulf Resources, LLC; “PSLF” refers to PennantPark Senior Loan Fund, LLC, an unconsolidated joint venture;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prior to deconsolidation of Funding I; “Truist Credit Facility” refers to our multi-currency, senior secured revolving credit facility with Truist Bank (formerly SunTrust Bank), as amended and restated; “Credit Facilities” refers to the BNP Credit Facility and Truist Credit Facility collectively; “2024 Notes” refers to our 5.50% Notes due 2024;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SBIC II and other consolidated subsidiaries.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3" w:name="page4"/>
    <w:bookmarkEnd w:id="3"/>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 2020</w:t>
            </w:r>
          </w:p>
        </w:tc>
      </w:tr>
      <w:tr>
        <w:trPr>
          <w:trHeight w:val="171"/>
        </w:trPr>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8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3"/>
                <w:szCs w:val="13"/>
                <w:b w:val="1"/>
                <w:bCs w:val="1"/>
                <w:color w:val="auto"/>
              </w:rPr>
              <w:t>Assets</w:t>
            </w:r>
          </w:p>
        </w:tc>
        <w:tc>
          <w:tcPr>
            <w:tcW w:w="160" w:type="dxa"/>
            <w:vAlign w:val="bottom"/>
            <w:tcBorders>
              <w:top w:val="single" w:sz="8" w:color="auto"/>
            </w:tcBorders>
            <w:shd w:val="clear" w:color="auto" w:fill="CCECFF"/>
          </w:tcPr>
          <w:p>
            <w:pPr>
              <w:spacing w:after="0"/>
              <w:rPr>
                <w:sz w:val="13"/>
                <w:szCs w:val="13"/>
                <w:color w:val="auto"/>
              </w:rPr>
            </w:pPr>
          </w:p>
        </w:tc>
        <w:tc>
          <w:tcPr>
            <w:tcW w:w="134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(cost—$646,758,885 and $713,683,209, respectively)</w:t>
            </w:r>
          </w:p>
        </w:tc>
        <w:tc>
          <w:tcPr>
            <w:tcW w:w="160" w:type="dxa"/>
            <w:vAlign w:val="bottom"/>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773,788,326</w:t>
            </w:r>
          </w:p>
        </w:tc>
        <w:tc>
          <w:tcPr>
            <w:tcW w:w="16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735,674,666</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Pr>
          <w:p>
            <w:pPr>
              <w:ind w:left="260"/>
              <w:spacing w:after="0"/>
              <w:rPr>
                <w:sz w:val="20"/>
                <w:szCs w:val="20"/>
                <w:color w:val="auto"/>
              </w:rPr>
            </w:pPr>
            <w:r>
              <w:rPr>
                <w:rFonts w:ascii="Arial" w:cs="Arial" w:eastAsia="Arial" w:hAnsi="Arial"/>
                <w:sz w:val="14"/>
                <w:szCs w:val="14"/>
                <w:color w:val="auto"/>
              </w:rPr>
              <w:t>Non-controlled, affiliated investments (cost—$104,463,115 and $77,628,920, respectively)</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71,404,648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27,753,893</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(cost—$381,150,760 and $374,260,162, respectively)</w:t>
            </w:r>
          </w:p>
        </w:tc>
        <w:tc>
          <w:tcPr>
            <w:tcW w:w="160" w:type="dxa"/>
            <w:vAlign w:val="bottom"/>
            <w:tcBorders>
              <w:bottom w:val="single" w:sz="8" w:color="auto"/>
            </w:tcBorders>
            <w:shd w:val="clear" w:color="auto" w:fill="CCECFF"/>
          </w:tcPr>
          <w:p>
            <w:pPr>
              <w:spacing w:after="0"/>
              <w:rPr>
                <w:sz w:val="14"/>
                <w:szCs w:val="14"/>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330,044,569</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318,342,859</w:t>
            </w:r>
          </w:p>
        </w:tc>
        <w:tc>
          <w:tcPr>
            <w:tcW w:w="120" w:type="dxa"/>
            <w:vAlign w:val="bottom"/>
            <w:shd w:val="clear" w:color="auto" w:fill="CCECFF"/>
          </w:tcPr>
          <w:p>
            <w:pPr>
              <w:spacing w:after="0"/>
              <w:rPr>
                <w:sz w:val="14"/>
                <w:szCs w:val="14"/>
                <w:color w:val="auto"/>
              </w:rPr>
            </w:pPr>
          </w:p>
        </w:tc>
      </w:tr>
      <w:tr>
        <w:trPr>
          <w:trHeight w:val="156"/>
        </w:trPr>
        <w:tc>
          <w:tcPr>
            <w:tcW w:w="7820" w:type="dxa"/>
            <w:vAlign w:val="bottom"/>
          </w:tcPr>
          <w:p>
            <w:pPr>
              <w:ind w:left="260"/>
              <w:spacing w:after="0" w:line="155" w:lineRule="exact"/>
              <w:rPr>
                <w:sz w:val="20"/>
                <w:szCs w:val="20"/>
                <w:color w:val="auto"/>
              </w:rPr>
            </w:pPr>
            <w:r>
              <w:rPr>
                <w:rFonts w:ascii="Arial" w:cs="Arial" w:eastAsia="Arial" w:hAnsi="Arial"/>
                <w:sz w:val="14"/>
                <w:szCs w:val="14"/>
                <w:color w:val="auto"/>
              </w:rPr>
              <w:t>Total of investments (cost—$1,132,372,760 and $1,165,572,291, respectively)</w:t>
            </w:r>
          </w:p>
        </w:tc>
        <w:tc>
          <w:tcPr>
            <w:tcW w:w="16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4"/>
                <w:szCs w:val="14"/>
                <w:color w:val="auto"/>
              </w:rPr>
              <w:t>1,175,237,543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1,081,771,418</w:t>
            </w:r>
          </w:p>
        </w:tc>
        <w:tc>
          <w:tcPr>
            <w:tcW w:w="120" w:type="dxa"/>
            <w:vAlign w:val="bottom"/>
          </w:tcPr>
          <w:p>
            <w:pPr>
              <w:spacing w:after="0"/>
              <w:rPr>
                <w:sz w:val="13"/>
                <w:szCs w:val="13"/>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Cash and cash equivalents (cost—$33,833,269 and $25,801,087, respectively)</w:t>
            </w: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33,855,496</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25,806,002</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Interest receivable</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4,916,119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5,005,715</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Distribution receivable</w:t>
            </w: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1,452,000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1,393,716</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376,932</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376,030</w:t>
            </w:r>
          </w:p>
        </w:tc>
        <w:tc>
          <w:tcPr>
            <w:tcW w:w="120" w:type="dxa"/>
            <w:vAlign w:val="bottom"/>
            <w:tcBorders>
              <w:bottom w:val="single" w:sz="8" w:color="CCECFF"/>
            </w:tcBorders>
          </w:tcPr>
          <w:p>
            <w:pPr>
              <w:spacing w:after="0"/>
              <w:rPr>
                <w:sz w:val="14"/>
                <w:szCs w:val="14"/>
                <w:color w:val="auto"/>
              </w:rPr>
            </w:pPr>
          </w:p>
        </w:tc>
      </w:tr>
      <w:tr>
        <w:trPr>
          <w:trHeight w:val="156"/>
        </w:trPr>
        <w:tc>
          <w:tcPr>
            <w:tcW w:w="7820" w:type="dxa"/>
            <w:vAlign w:val="bottom"/>
            <w:shd w:val="clear" w:color="auto" w:fill="CCECFF"/>
          </w:tcPr>
          <w:p>
            <w:pPr>
              <w:ind w:left="1000"/>
              <w:spacing w:after="0" w:line="155" w:lineRule="exact"/>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1,215,838,090</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1,114,352,881</w:t>
            </w:r>
          </w:p>
        </w:tc>
        <w:tc>
          <w:tcPr>
            <w:tcW w:w="120" w:type="dxa"/>
            <w:vAlign w:val="bottom"/>
            <w:shd w:val="clear" w:color="auto" w:fill="CCECFF"/>
          </w:tcPr>
          <w:p>
            <w:pPr>
              <w:spacing w:after="0"/>
              <w:rPr>
                <w:sz w:val="13"/>
                <w:szCs w:val="13"/>
                <w:color w:val="auto"/>
              </w:rPr>
            </w:pPr>
          </w:p>
        </w:tc>
      </w:tr>
      <w:tr>
        <w:trPr>
          <w:trHeight w:val="156"/>
        </w:trPr>
        <w:tc>
          <w:tcPr>
            <w:tcW w:w="782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Distributions payable</w:t>
            </w: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8,045,413</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8,045,413</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Payable for investments purchased</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18,581,995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5,461,508</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Truist Credit Facility payable, at fair value (cost—$375,544,900 and $388,252,000, respectively) (See Notes 5 and 10)</w:t>
            </w: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372,867,465</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368,701,972</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2024 Notes payable, net (par—$86,250,000) (See Notes 5 and 10)</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84,170,310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83,837,560</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SBA debentures payable, net (par—$108,500,000 and $118,500,000, respectively) (See Notes 5 and 10)</w:t>
            </w: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106,128,698</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115,772,677</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Base management fee payable, net (See Note 3)</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4,282,129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4,369,637</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Interest payable on debt</w:t>
            </w: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2,007,332</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2,022,614</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Accrued other expenses</w:t>
            </w: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507,853</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432,648</w:t>
            </w:r>
          </w:p>
        </w:tc>
        <w:tc>
          <w:tcPr>
            <w:tcW w:w="120" w:type="dxa"/>
            <w:vAlign w:val="bottom"/>
            <w:tcBorders>
              <w:bottom w:val="single" w:sz="8" w:color="CCECFF"/>
            </w:tcBorders>
          </w:tcPr>
          <w:p>
            <w:pPr>
              <w:spacing w:after="0"/>
              <w:rPr>
                <w:sz w:val="14"/>
                <w:szCs w:val="14"/>
                <w:color w:val="auto"/>
              </w:rPr>
            </w:pPr>
          </w:p>
        </w:tc>
      </w:tr>
      <w:tr>
        <w:trPr>
          <w:trHeight w:val="155"/>
        </w:trPr>
        <w:tc>
          <w:tcPr>
            <w:tcW w:w="7820" w:type="dxa"/>
            <w:vAlign w:val="bottom"/>
            <w:shd w:val="clear" w:color="auto" w:fill="CCECFF"/>
          </w:tcPr>
          <w:p>
            <w:pPr>
              <w:ind w:left="1000"/>
              <w:spacing w:after="0" w:line="155" w:lineRule="exact"/>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596,591,195</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588,644,029</w:t>
            </w:r>
          </w:p>
        </w:tc>
        <w:tc>
          <w:tcPr>
            <w:tcW w:w="120" w:type="dxa"/>
            <w:vAlign w:val="bottom"/>
            <w:shd w:val="clear" w:color="auto" w:fill="CCECFF"/>
          </w:tcPr>
          <w:p>
            <w:pPr>
              <w:spacing w:after="0"/>
              <w:rPr>
                <w:sz w:val="13"/>
                <w:szCs w:val="13"/>
                <w:color w:val="auto"/>
              </w:rPr>
            </w:pPr>
          </w:p>
        </w:tc>
      </w:tr>
      <w:tr>
        <w:trPr>
          <w:trHeight w:val="156"/>
        </w:trPr>
        <w:tc>
          <w:tcPr>
            <w:tcW w:w="7820" w:type="dxa"/>
            <w:vAlign w:val="bottom"/>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Net assets</w:t>
            </w: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43"/>
        </w:trPr>
        <w:tc>
          <w:tcPr>
            <w:tcW w:w="7820" w:type="dxa"/>
            <w:vAlign w:val="bottom"/>
          </w:tcPr>
          <w:p>
            <w:pPr>
              <w:spacing w:after="0" w:line="143" w:lineRule="exact"/>
              <w:rPr>
                <w:sz w:val="20"/>
                <w:szCs w:val="20"/>
                <w:color w:val="auto"/>
              </w:rPr>
            </w:pPr>
            <w:r>
              <w:rPr>
                <w:rFonts w:ascii="Arial" w:cs="Arial" w:eastAsia="Arial" w:hAnsi="Arial"/>
                <w:sz w:val="14"/>
                <w:szCs w:val="14"/>
                <w:color w:val="auto"/>
              </w:rPr>
              <w:t>Common stock, 67,045,105 shares issued and outstanding</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7820" w:type="dxa"/>
            <w:vAlign w:val="bottom"/>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67,045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67,045</w:t>
            </w:r>
          </w:p>
        </w:tc>
        <w:tc>
          <w:tcPr>
            <w:tcW w:w="120" w:type="dxa"/>
            <w:vAlign w:val="bottom"/>
          </w:tcPr>
          <w:p>
            <w:pPr>
              <w:spacing w:after="0"/>
              <w:rPr>
                <w:sz w:val="14"/>
                <w:szCs w:val="14"/>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Paid-in capital in excess of par value</w:t>
            </w: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787,625,031</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787,625,031</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Accumulated distributable net loss</w:t>
            </w:r>
          </w:p>
        </w:tc>
        <w:tc>
          <w:tcPr>
            <w:tcW w:w="160" w:type="dxa"/>
            <w:vAlign w:val="bottom"/>
          </w:tcPr>
          <w:p>
            <w:pPr>
              <w:spacing w:after="0"/>
              <w:rPr>
                <w:sz w:val="14"/>
                <w:szCs w:val="14"/>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(168,445,181)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(261,983,224)</w:t>
            </w:r>
          </w:p>
        </w:tc>
      </w:tr>
      <w:tr>
        <w:trPr>
          <w:trHeight w:val="155"/>
        </w:trPr>
        <w:tc>
          <w:tcPr>
            <w:tcW w:w="7820" w:type="dxa"/>
            <w:vAlign w:val="bottom"/>
            <w:tcBorders>
              <w:top w:val="single" w:sz="8" w:color="CCECFF"/>
            </w:tcBorders>
            <w:shd w:val="clear" w:color="auto" w:fill="CCECFF"/>
          </w:tcPr>
          <w:p>
            <w:pPr>
              <w:ind w:left="1000"/>
              <w:spacing w:after="0" w:line="155" w:lineRule="exact"/>
              <w:rPr>
                <w:sz w:val="20"/>
                <w:szCs w:val="20"/>
                <w:color w:val="auto"/>
              </w:rPr>
            </w:pPr>
            <w:r>
              <w:rPr>
                <w:rFonts w:ascii="Arial" w:cs="Arial" w:eastAsia="Arial" w:hAnsi="Arial"/>
                <w:sz w:val="14"/>
                <w:szCs w:val="14"/>
                <w:b w:val="1"/>
                <w:bCs w:val="1"/>
                <w:color w:val="auto"/>
              </w:rPr>
              <w:t>Total net assets</w:t>
            </w: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619,246,895</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525,708,852</w:t>
            </w:r>
          </w:p>
        </w:tc>
        <w:tc>
          <w:tcPr>
            <w:tcW w:w="120" w:type="dxa"/>
            <w:vAlign w:val="bottom"/>
            <w:tcBorders>
              <w:top w:val="single" w:sz="8" w:color="CCECFF"/>
            </w:tcBorders>
            <w:shd w:val="clear" w:color="auto" w:fill="CCECFF"/>
          </w:tcPr>
          <w:p>
            <w:pPr>
              <w:spacing w:after="0"/>
              <w:rPr>
                <w:sz w:val="13"/>
                <w:szCs w:val="13"/>
                <w:color w:val="auto"/>
              </w:rPr>
            </w:pPr>
          </w:p>
        </w:tc>
      </w:tr>
      <w:tr>
        <w:trPr>
          <w:trHeight w:val="196"/>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1,215,838,090</w:t>
            </w:r>
          </w:p>
        </w:tc>
        <w:tc>
          <w:tcPr>
            <w:tcW w:w="16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1,114,352,881</w:t>
            </w:r>
          </w:p>
        </w:tc>
        <w:tc>
          <w:tcPr>
            <w:tcW w:w="120" w:type="dxa"/>
            <w:vAlign w:val="bottom"/>
            <w:tcBorders>
              <w:bottom w:val="single" w:sz="8" w:color="CCECFF"/>
            </w:tcBorders>
          </w:tcPr>
          <w:p>
            <w:pPr>
              <w:spacing w:after="0"/>
              <w:rPr>
                <w:sz w:val="17"/>
                <w:szCs w:val="17"/>
                <w:color w:val="auto"/>
              </w:rPr>
            </w:pPr>
          </w:p>
        </w:tc>
      </w:tr>
      <w:tr>
        <w:trPr>
          <w:trHeight w:val="143"/>
        </w:trPr>
        <w:tc>
          <w:tcPr>
            <w:tcW w:w="78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160" w:type="dxa"/>
            <w:vAlign w:val="bottom"/>
            <w:tcBorders>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9.24</w:t>
            </w:r>
          </w:p>
        </w:tc>
        <w:tc>
          <w:tcPr>
            <w:tcW w:w="1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7.84</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319"/>
              <w:spacing w:after="0"/>
              <w:rPr>
                <w:sz w:val="20"/>
                <w:szCs w:val="20"/>
                <w:color w:val="auto"/>
              </w:rPr>
            </w:pPr>
            <w:r>
              <w:rPr>
                <w:rFonts w:ascii="Arial" w:cs="Arial" w:eastAsia="Arial" w:hAnsi="Arial"/>
                <w:sz w:val="14"/>
                <w:szCs w:val="14"/>
                <w:b w:val="1"/>
                <w:bCs w:val="1"/>
                <w:color w:val="auto"/>
                <w:w w:val="95"/>
              </w:rPr>
              <w:t>Three Months Ended March 31,</w:t>
            </w:r>
          </w:p>
        </w:tc>
        <w:tc>
          <w:tcPr>
            <w:tcW w:w="160" w:type="dxa"/>
            <w:vAlign w:val="bottom"/>
          </w:tcPr>
          <w:p>
            <w:pPr>
              <w:spacing w:after="0"/>
              <w:rPr>
                <w:sz w:val="14"/>
                <w:szCs w:val="14"/>
                <w:color w:val="auto"/>
              </w:rPr>
            </w:pPr>
          </w:p>
        </w:tc>
        <w:tc>
          <w:tcPr>
            <w:tcW w:w="2220" w:type="dxa"/>
            <w:vAlign w:val="bottom"/>
            <w:gridSpan w:val="5"/>
          </w:tcPr>
          <w:p>
            <w:pPr>
              <w:jc w:val="right"/>
              <w:ind w:right="299"/>
              <w:spacing w:after="0"/>
              <w:rPr>
                <w:sz w:val="20"/>
                <w:szCs w:val="20"/>
                <w:color w:val="auto"/>
              </w:rPr>
            </w:pPr>
            <w:r>
              <w:rPr>
                <w:rFonts w:ascii="Arial" w:cs="Arial" w:eastAsia="Arial" w:hAnsi="Arial"/>
                <w:sz w:val="14"/>
                <w:szCs w:val="14"/>
                <w:b w:val="1"/>
                <w:bCs w:val="1"/>
                <w:color w:val="auto"/>
                <w:w w:val="97"/>
              </w:rPr>
              <w:t>Six Months Ended March 31,</w:t>
            </w:r>
          </w:p>
        </w:tc>
        <w:tc>
          <w:tcPr>
            <w:tcW w:w="0" w:type="dxa"/>
            <w:vAlign w:val="bottom"/>
          </w:tcPr>
          <w:p>
            <w:pPr>
              <w:spacing w:after="0"/>
              <w:rPr>
                <w:sz w:val="1"/>
                <w:szCs w:val="1"/>
                <w:color w:val="auto"/>
              </w:rPr>
            </w:pPr>
          </w:p>
        </w:tc>
      </w:tr>
      <w:tr>
        <w:trPr>
          <w:trHeight w:val="156"/>
        </w:trPr>
        <w:tc>
          <w:tcPr>
            <w:tcW w:w="5920" w:type="dxa"/>
            <w:vAlign w:val="bottom"/>
            <w:tcBorders>
              <w:bottom w:val="single" w:sz="8" w:color="CCECFF"/>
            </w:tcBorders>
          </w:tcPr>
          <w:p>
            <w:pPr>
              <w:spacing w:after="0"/>
              <w:rPr>
                <w:sz w:val="13"/>
                <w:szCs w:val="13"/>
                <w:color w:val="auto"/>
              </w:rPr>
            </w:pPr>
          </w:p>
        </w:tc>
        <w:tc>
          <w:tcPr>
            <w:tcW w:w="48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4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5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11,668,772</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22,748,529</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23,101,282</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43,133,443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Payment-in-kind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2,011,940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1,978,894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3,470,739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3,863,400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23,942</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751,284</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505,067</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941,202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From non-controlled, affiliated investments: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Payment-in-kind</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380,271</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9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456,998</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2,177,259</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559,934</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4,454,035</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1,204,624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Payment-in-kind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1,518,971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1,496,251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3,004,494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4,395,988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Dividend income</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1,452,000</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9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2,973,000</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9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48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19,233,155</w:t>
            </w:r>
          </w:p>
        </w:tc>
        <w:tc>
          <w:tcPr>
            <w:tcW w:w="22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27,534,892</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37,965,615</w:t>
            </w:r>
          </w:p>
        </w:tc>
        <w:tc>
          <w:tcPr>
            <w:tcW w:w="22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53,538,657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4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4,282,129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4,880,699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8,396,558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9,623,129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1,913,047</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2,657,673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4,889,854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8,962,513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9,893,985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17,828,583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505,020</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521,520</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1,010,040</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1,043,040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48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643,480</w:t>
            </w:r>
          </w:p>
        </w:tc>
        <w:tc>
          <w:tcPr>
            <w:tcW w:w="2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648,881</w:t>
            </w:r>
          </w:p>
        </w:tc>
        <w:tc>
          <w:tcPr>
            <w:tcW w:w="22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1,286,963</w:t>
            </w:r>
          </w:p>
        </w:tc>
        <w:tc>
          <w:tcPr>
            <w:tcW w:w="2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1,292,841</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performance-based incentive fee waiver and provision for taxes</w:t>
            </w:r>
          </w:p>
        </w:tc>
        <w:tc>
          <w:tcPr>
            <w:tcW w:w="48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10,320,483</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16,926,660</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20,587,546</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32,445,266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tcPr>
          <w:p>
            <w:pPr>
              <w:ind w:left="260"/>
              <w:spacing w:after="0" w:line="155" w:lineRule="exact"/>
              <w:rPr>
                <w:sz w:val="20"/>
                <w:szCs w:val="20"/>
                <w:color w:val="auto"/>
              </w:rPr>
            </w:pPr>
            <w:r>
              <w:rPr>
                <w:rFonts w:ascii="Arial" w:cs="Arial" w:eastAsia="Arial" w:hAnsi="Arial"/>
                <w:sz w:val="14"/>
                <w:szCs w:val="14"/>
                <w:color w:val="auto"/>
              </w:rPr>
              <w:t>Performance-based incentive fee waiver (See Note 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48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150,000</w:t>
            </w:r>
          </w:p>
        </w:tc>
        <w:tc>
          <w:tcPr>
            <w:tcW w:w="2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expenses</w:t>
            </w:r>
          </w:p>
        </w:tc>
        <w:tc>
          <w:tcPr>
            <w:tcW w:w="48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10,470,483</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17,226,660</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20,887,546</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33,045,266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48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8,762,672</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10,308,232</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17,078,069</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20,493,391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gain (loss) on investments and debt: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spacing w:after="0"/>
              <w:rPr>
                <w:sz w:val="20"/>
                <w:szCs w:val="20"/>
                <w:color w:val="auto"/>
              </w:rPr>
            </w:pPr>
            <w:r>
              <w:rPr>
                <w:rFonts w:ascii="Arial" w:cs="Arial" w:eastAsia="Arial" w:hAnsi="Arial"/>
                <w:sz w:val="14"/>
                <w:szCs w:val="14"/>
                <w:color w:val="auto"/>
              </w:rPr>
              <w:t>Net realized gain (loss) on investments on:</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319,431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1,424,778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2,450,389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9"/>
              <w:spacing w:after="0"/>
              <w:rPr>
                <w:sz w:val="20"/>
                <w:szCs w:val="20"/>
                <w:color w:val="auto"/>
              </w:rPr>
            </w:pPr>
            <w:r>
              <w:rPr>
                <w:rFonts w:ascii="Arial" w:cs="Arial" w:eastAsia="Arial" w:hAnsi="Arial"/>
                <w:sz w:val="14"/>
                <w:szCs w:val="14"/>
                <w:color w:val="auto"/>
              </w:rPr>
              <w:t>(10,609,375)</w:t>
            </w: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9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(19,708,359)</w:t>
            </w: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9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realized gain (loss) on investments</w:t>
            </w:r>
          </w:p>
        </w:tc>
        <w:tc>
          <w:tcPr>
            <w:tcW w:w="48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319,431</w:t>
            </w:r>
          </w:p>
        </w:tc>
        <w:tc>
          <w:tcPr>
            <w:tcW w:w="22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1,424,778</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(17,257,970)</w:t>
            </w:r>
          </w:p>
        </w:tc>
        <w:tc>
          <w:tcPr>
            <w:tcW w:w="22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(10,609,375)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Net change in unrealized appreciation (depreciation) on:</w:t>
            </w:r>
          </w:p>
        </w:tc>
        <w:tc>
          <w:tcPr>
            <w:tcW w:w="4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11,206,850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39"/>
              <w:spacing w:after="0"/>
              <w:rPr>
                <w:sz w:val="20"/>
                <w:szCs w:val="20"/>
                <w:color w:val="auto"/>
              </w:rPr>
            </w:pPr>
            <w:r>
              <w:rPr>
                <w:rFonts w:ascii="Arial" w:cs="Arial" w:eastAsia="Arial" w:hAnsi="Arial"/>
                <w:sz w:val="14"/>
                <w:szCs w:val="14"/>
                <w:color w:val="auto"/>
              </w:rPr>
              <w:t>(40,710,987)</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87,612,267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9"/>
              <w:spacing w:after="0"/>
              <w:rPr>
                <w:sz w:val="20"/>
                <w:szCs w:val="20"/>
                <w:color w:val="auto"/>
              </w:rPr>
            </w:pPr>
            <w:r>
              <w:rPr>
                <w:rFonts w:ascii="Arial" w:cs="Arial" w:eastAsia="Arial" w:hAnsi="Arial"/>
                <w:sz w:val="14"/>
                <w:szCs w:val="14"/>
                <w:color w:val="auto"/>
              </w:rPr>
              <w:t>(23,658,391)</w:t>
            </w: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21,969,487</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39"/>
              <w:spacing w:after="0"/>
              <w:rPr>
                <w:sz w:val="20"/>
                <w:szCs w:val="20"/>
                <w:color w:val="auto"/>
              </w:rPr>
            </w:pPr>
            <w:r>
              <w:rPr>
                <w:rFonts w:ascii="Arial" w:cs="Arial" w:eastAsia="Arial" w:hAnsi="Arial"/>
                <w:sz w:val="14"/>
                <w:szCs w:val="14"/>
                <w:color w:val="auto"/>
              </w:rPr>
              <w:t>(80,260,831)</w:t>
            </w: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39,069,096</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19"/>
              <w:spacing w:after="0"/>
              <w:rPr>
                <w:sz w:val="20"/>
                <w:szCs w:val="20"/>
                <w:color w:val="auto"/>
              </w:rPr>
            </w:pPr>
            <w:r>
              <w:rPr>
                <w:rFonts w:ascii="Arial" w:cs="Arial" w:eastAsia="Arial" w:hAnsi="Arial"/>
                <w:sz w:val="14"/>
                <w:szCs w:val="14"/>
                <w:color w:val="auto"/>
              </w:rPr>
              <w:t>(73,690,603)</w:t>
            </w: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Debt (appreciation) depreciation (See Notes 5 and 10)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(3,763,322)</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48,946,105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(16,872,593)</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46,374,785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2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4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29,413,015</w:t>
            </w:r>
          </w:p>
        </w:tc>
        <w:tc>
          <w:tcPr>
            <w:tcW w:w="2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(72,025,713)</w:t>
            </w:r>
          </w:p>
        </w:tc>
        <w:tc>
          <w:tcPr>
            <w:tcW w:w="2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8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109,808,770</w:t>
            </w:r>
          </w:p>
        </w:tc>
        <w:tc>
          <w:tcPr>
            <w:tcW w:w="2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(50,974,209)</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48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29,732,446</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(70,600,935)</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92,550,800</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(61,583,584)</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4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38,495,118</w:t>
            </w:r>
          </w:p>
        </w:tc>
        <w:tc>
          <w:tcPr>
            <w:tcW w:w="22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(60,292,703</w:t>
            </w:r>
          </w:p>
        </w:tc>
        <w:tc>
          <w:tcPr>
            <w:tcW w:w="220" w:type="dxa"/>
            <w:vAlign w:val="bottom"/>
            <w:tcBorders>
              <w:bottom w:val="single" w:sz="8" w:color="CCECFF"/>
            </w:tcBorders>
            <w:shd w:val="clear" w:color="auto" w:fill="CCECFF"/>
          </w:tcPr>
          <w:p>
            <w:pPr>
              <w:jc w:val="right"/>
              <w:ind w:right="139"/>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109,628,869</w:t>
            </w:r>
          </w:p>
        </w:tc>
        <w:tc>
          <w:tcPr>
            <w:tcW w:w="22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(41,090,193</w:t>
            </w:r>
          </w:p>
        </w:tc>
        <w:tc>
          <w:tcPr>
            <w:tcW w:w="100" w:type="dxa"/>
            <w:vAlign w:val="bottom"/>
            <w:tcBorders>
              <w:bottom w:val="single" w:sz="8" w:color="CCECFF"/>
            </w:tcBorders>
            <w:shd w:val="clear" w:color="auto" w:fill="CCEC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4"/>
                <w:szCs w:val="14"/>
                <w:color w:val="auto"/>
                <w:w w:val="99"/>
              </w:rPr>
              <w:t>Net increase (decrease) in net assets resulting from operations per common share (See Note 7)</w:t>
            </w: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20" w:type="dxa"/>
            <w:vAlign w:val="bottom"/>
            <w:tcBorders>
              <w:bottom w:val="single" w:sz="8" w:color="CCECFF"/>
            </w:tcBorders>
            <w:vMerge w:val="continue"/>
          </w:tcPr>
          <w:p>
            <w:pPr>
              <w:spacing w:after="0"/>
              <w:rPr>
                <w:sz w:val="15"/>
                <w:szCs w:val="15"/>
                <w:color w:val="auto"/>
              </w:rPr>
            </w:pPr>
          </w:p>
        </w:tc>
        <w:tc>
          <w:tcPr>
            <w:tcW w:w="480" w:type="dxa"/>
            <w:vAlign w:val="bottom"/>
            <w:tcBorders>
              <w:bottom w:val="single" w:sz="8" w:color="CCEC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0.57</w:t>
            </w:r>
          </w:p>
        </w:tc>
        <w:tc>
          <w:tcPr>
            <w:tcW w:w="220" w:type="dxa"/>
            <w:vAlign w:val="bottom"/>
            <w:tcBorders>
              <w:bottom w:val="single" w:sz="8" w:color="CCEC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(0.90)</w:t>
            </w:r>
          </w:p>
        </w:tc>
        <w:tc>
          <w:tcPr>
            <w:tcW w:w="220" w:type="dxa"/>
            <w:vAlign w:val="bottom"/>
            <w:tcBorders>
              <w:bottom w:val="single" w:sz="8" w:color="CCEC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1.64</w:t>
            </w:r>
          </w:p>
        </w:tc>
        <w:tc>
          <w:tcPr>
            <w:tcW w:w="220" w:type="dxa"/>
            <w:vAlign w:val="bottom"/>
            <w:tcBorders>
              <w:bottom w:val="single" w:sz="8" w:color="CCEC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(0.61)</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9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48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0.13</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0.15</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0.25</w:t>
            </w: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0.31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Three Months Ended March 31,</w:t>
            </w:r>
          </w:p>
        </w:tc>
        <w:tc>
          <w:tcPr>
            <w:tcW w:w="220" w:type="dxa"/>
            <w:vAlign w:val="bottom"/>
          </w:tcPr>
          <w:p>
            <w:pPr>
              <w:spacing w:after="0"/>
              <w:rPr>
                <w:sz w:val="14"/>
                <w:szCs w:val="14"/>
                <w:color w:val="auto"/>
              </w:rPr>
            </w:pPr>
          </w:p>
        </w:tc>
        <w:tc>
          <w:tcPr>
            <w:tcW w:w="24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584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CFF"/>
            </w:tcBorders>
          </w:tcPr>
          <w:p>
            <w:pPr>
              <w:spacing w:after="0"/>
              <w:rPr>
                <w:sz w:val="13"/>
                <w:szCs w:val="13"/>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8,762,672</w:t>
            </w:r>
          </w:p>
        </w:tc>
        <w:tc>
          <w:tcPr>
            <w:tcW w:w="24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10,308,232</w:t>
            </w:r>
          </w:p>
        </w:tc>
        <w:tc>
          <w:tcPr>
            <w:tcW w:w="24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17,078,069</w:t>
            </w:r>
          </w:p>
        </w:tc>
        <w:tc>
          <w:tcPr>
            <w:tcW w:w="140" w:type="dxa"/>
            <w:vAlign w:val="bottom"/>
          </w:tcPr>
          <w:p>
            <w:pPr>
              <w:spacing w:after="0"/>
              <w:rPr>
                <w:sz w:val="14"/>
                <w:szCs w:val="14"/>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20,493,391</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gain (loss) on investments</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319,431</w:t>
            </w:r>
          </w:p>
        </w:tc>
        <w:tc>
          <w:tcPr>
            <w:tcW w:w="2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1,424,778</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(17,257,970)</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(10,609,375)</w:t>
            </w: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33,176,337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(120,971,818)</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126,681,363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(97,348,994)</w:t>
            </w: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(appreciation) depreciation on debt</w:t>
            </w:r>
          </w:p>
        </w:tc>
        <w:tc>
          <w:tcPr>
            <w:tcW w:w="1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(3,763,322)</w:t>
            </w:r>
          </w:p>
        </w:tc>
        <w:tc>
          <w:tcPr>
            <w:tcW w:w="20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48,946,105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(16,872,593)</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46,374,785</w:t>
            </w:r>
          </w:p>
        </w:tc>
        <w:tc>
          <w:tcPr>
            <w:tcW w:w="100" w:type="dxa"/>
            <w:vAlign w:val="bottom"/>
            <w:shd w:val="clear" w:color="auto" w:fill="CCECFF"/>
          </w:tcPr>
          <w:p>
            <w:pPr>
              <w:spacing w:after="0"/>
              <w:rPr>
                <w:sz w:val="14"/>
                <w:szCs w:val="14"/>
                <w:color w:val="auto"/>
              </w:rPr>
            </w:pPr>
          </w:p>
        </w:tc>
      </w:tr>
      <w:tr>
        <w:trPr>
          <w:trHeight w:val="156"/>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38,495,118</w:t>
            </w:r>
          </w:p>
        </w:tc>
        <w:tc>
          <w:tcPr>
            <w:tcW w:w="24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(60,292,703)</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109,628,869</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(41,090,193)</w:t>
            </w:r>
          </w:p>
        </w:tc>
        <w:tc>
          <w:tcPr>
            <w:tcW w:w="100" w:type="dxa"/>
            <w:vAlign w:val="bottom"/>
            <w:tcBorders>
              <w:bottom w:val="single" w:sz="8" w:color="CCECFF"/>
            </w:tcBorders>
          </w:tcPr>
          <w:p>
            <w:pPr>
              <w:spacing w:after="0"/>
              <w:rPr>
                <w:sz w:val="13"/>
                <w:szCs w:val="13"/>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16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(8,045,413)</w:t>
            </w:r>
          </w:p>
        </w:tc>
        <w:tc>
          <w:tcPr>
            <w:tcW w:w="24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(12,068,119)</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(16,090,826)</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(24,136,238)</w:t>
            </w:r>
          </w:p>
        </w:tc>
        <w:tc>
          <w:tcPr>
            <w:tcW w:w="100" w:type="dxa"/>
            <w:vAlign w:val="bottom"/>
            <w:shd w:val="clear" w:color="auto" w:fill="CCECFF"/>
          </w:tcPr>
          <w:p>
            <w:pPr>
              <w:spacing w:after="0"/>
              <w:rPr>
                <w:sz w:val="13"/>
                <w:szCs w:val="13"/>
                <w:color w:val="auto"/>
              </w:rPr>
            </w:pPr>
          </w:p>
        </w:tc>
      </w:tr>
      <w:tr>
        <w:trPr>
          <w:trHeight w:val="156"/>
        </w:trPr>
        <w:tc>
          <w:tcPr>
            <w:tcW w:w="5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(decrease) in net assets</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30,449,705</w:t>
            </w:r>
          </w:p>
        </w:tc>
        <w:tc>
          <w:tcPr>
            <w:tcW w:w="24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(72,360,822)</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93,538,043</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(65,226,431)</w:t>
            </w:r>
          </w:p>
        </w:tc>
        <w:tc>
          <w:tcPr>
            <w:tcW w:w="100" w:type="dxa"/>
            <w:vAlign w:val="bottom"/>
            <w:tcBorders>
              <w:bottom w:val="single" w:sz="8" w:color="CCECFF"/>
            </w:tcBorders>
          </w:tcPr>
          <w:p>
            <w:pPr>
              <w:spacing w:after="0"/>
              <w:rPr>
                <w:sz w:val="13"/>
                <w:szCs w:val="13"/>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588,797,190</w:t>
            </w:r>
          </w:p>
        </w:tc>
        <w:tc>
          <w:tcPr>
            <w:tcW w:w="24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589,040,059</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525,708,852</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581,905,668</w:t>
            </w:r>
          </w:p>
        </w:tc>
        <w:tc>
          <w:tcPr>
            <w:tcW w:w="100" w:type="dxa"/>
            <w:vAlign w:val="bottom"/>
            <w:tcBorders>
              <w:bottom w:val="single" w:sz="8" w:color="CCECFF"/>
            </w:tcBorders>
          </w:tcPr>
          <w:p>
            <w:pPr>
              <w:spacing w:after="0"/>
              <w:rPr>
                <w:sz w:val="14"/>
                <w:szCs w:val="14"/>
                <w:color w:val="auto"/>
              </w:rPr>
            </w:pPr>
          </w:p>
        </w:tc>
      </w:tr>
      <w:tr>
        <w:trPr>
          <w:trHeight w:val="156"/>
        </w:trPr>
        <w:tc>
          <w:tcPr>
            <w:tcW w:w="584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619,246,895</w:t>
            </w:r>
          </w:p>
        </w:tc>
        <w:tc>
          <w:tcPr>
            <w:tcW w:w="24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516,679,237</w:t>
            </w:r>
          </w:p>
        </w:tc>
        <w:tc>
          <w:tcPr>
            <w:tcW w:w="24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619,246,895</w:t>
            </w:r>
          </w:p>
        </w:tc>
        <w:tc>
          <w:tcPr>
            <w:tcW w:w="1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516,679,237</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increase (decrease)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109,628,869</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(41,090,193)</w:t>
            </w: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increase (decrease) in net assets resulting from</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600"/>
              <w:spacing w:after="0"/>
              <w:rPr>
                <w:sz w:val="20"/>
                <w:szCs w:val="20"/>
                <w:color w:val="auto"/>
              </w:rPr>
            </w:pPr>
            <w:r>
              <w:rPr>
                <w:rFonts w:ascii="Arial" w:cs="Arial" w:eastAsia="Arial" w:hAnsi="Arial"/>
                <w:sz w:val="14"/>
                <w:szCs w:val="14"/>
                <w:color w:val="auto"/>
              </w:rPr>
              <w:t>operations to net cash provided by (used in)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change in net unrealized (appreciation) depreciation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(126,681,363)</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97,348,994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change in unrealized appreciation (depreciation) on debt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16,872,593</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(46,374,785)</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realized loss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17,257,970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10,609,375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(1,642,623)</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(1,352,104)</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(143,007,958)</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(280,494,214)</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Payment-in-kind income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(7,058,327)</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(8,245,142)</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167,585,432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47,535,202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Amortization of deferred financing costs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688,773</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1,037,172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(increase) in interest receivable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89,596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(645,598)</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in distribution receivable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(58,284)</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in prepaid expenses and other assets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(902)</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(408,772)</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in payable for investments purchased</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13,120,487</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increase in interest payable on debt</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(15,282)</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1,716,995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increase in base management fee payable, net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(87,508)</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239,219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in performance-based incentive fee payable, net</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1,913,047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(decrease) in accrued other expenses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75,205</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(410,647)</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148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46,766,678</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(218,621,451)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(16,090,826)</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(24,136,238)</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Proceeds from 2024 Notes issuance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10,912,500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under SBA debentures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(10,000,000)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(16,500,000)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BNP Credit Facility</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under BNP Credit Facility</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(16,000,000)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Truist Credit Facility</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91,564,132</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273,000,000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under Truist Credit Facility</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(104,271,232)</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(133,000,000)</w:t>
            </w:r>
          </w:p>
        </w:tc>
        <w:tc>
          <w:tcPr>
            <w:tcW w:w="0" w:type="dxa"/>
            <w:vAlign w:val="bottom"/>
          </w:tcPr>
          <w:p>
            <w:pPr>
              <w:spacing w:after="0"/>
              <w:rPr>
                <w:sz w:val="1"/>
                <w:szCs w:val="1"/>
                <w:color w:val="auto"/>
              </w:rPr>
            </w:pPr>
          </w:p>
        </w:tc>
      </w:tr>
      <w:tr>
        <w:trPr>
          <w:trHeight w:val="155"/>
        </w:trPr>
        <w:tc>
          <w:tcPr>
            <w:tcW w:w="7720" w:type="dxa"/>
            <w:vAlign w:val="bottom"/>
            <w:tcBorders>
              <w:top w:val="single" w:sz="8" w:color="CCECFF"/>
            </w:tcBorders>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(38,797,926)</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184,276,262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cash equivalents</w:t>
            </w: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7,968,752</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(34,345,189)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80,742</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(43,532)</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25,806,002</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59,516,236</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33,855,496</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25,127,515</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9,220,494</w:t>
            </w:r>
          </w:p>
        </w:tc>
        <w:tc>
          <w:tcPr>
            <w:tcW w:w="28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15,074,416</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655,707</w:t>
            </w:r>
          </w:p>
        </w:tc>
        <w:tc>
          <w:tcPr>
            <w:tcW w:w="280" w:type="dxa"/>
            <w:vAlign w:val="bottom"/>
            <w:tcBorders>
              <w:bottom w:val="single" w:sz="8" w:color="CCECFF"/>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805,976</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16,515,842</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91,204,799</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020" w:type="dxa"/>
            <w:vAlign w:val="bottom"/>
          </w:tcPr>
          <w:p>
            <w:pPr>
              <w:spacing w:after="0"/>
              <w:rPr>
                <w:sz w:val="10"/>
                <w:szCs w:val="10"/>
                <w:color w:val="auto"/>
              </w:rPr>
            </w:pPr>
          </w:p>
        </w:tc>
        <w:tc>
          <w:tcPr>
            <w:tcW w:w="880" w:type="dxa"/>
            <w:vAlign w:val="bottom"/>
          </w:tcPr>
          <w:p>
            <w:pPr>
              <w:ind w:left="200"/>
              <w:spacing w:after="0" w:line="122" w:lineRule="exact"/>
              <w:rPr>
                <w:sz w:val="20"/>
                <w:szCs w:val="20"/>
                <w:color w:val="auto"/>
              </w:rPr>
            </w:pPr>
            <w:r>
              <w:rPr>
                <w:rFonts w:ascii="Arial" w:cs="Arial" w:eastAsia="Arial" w:hAnsi="Arial"/>
                <w:sz w:val="11"/>
                <w:szCs w:val="11"/>
                <w:b w:val="1"/>
                <w:bCs w:val="1"/>
                <w:color w:val="auto"/>
              </w:rPr>
              <w:t>Maturity /</w:t>
            </w: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2"/>
              </w:rPr>
              <w:t>Par /</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880" w:type="dxa"/>
            <w:vAlign w:val="bottom"/>
          </w:tcPr>
          <w:p>
            <w:pPr>
              <w:ind w:left="180"/>
              <w:spacing w:after="0"/>
              <w:rPr>
                <w:sz w:val="20"/>
                <w:szCs w:val="20"/>
                <w:color w:val="auto"/>
              </w:rPr>
            </w:pPr>
            <w:r>
              <w:rPr>
                <w:rFonts w:ascii="Arial" w:cs="Arial" w:eastAsia="Arial" w:hAnsi="Arial"/>
                <w:sz w:val="11"/>
                <w:szCs w:val="11"/>
                <w:b w:val="1"/>
                <w:bCs w:val="1"/>
                <w:color w:val="auto"/>
              </w:rPr>
              <w:t>Expiration</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Coupon</w:t>
            </w: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1"/>
              </w:rPr>
              <w:t>Shares</w:t>
            </w: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r>
      <w:tr>
        <w:trPr>
          <w:trHeight w:val="128"/>
        </w:trPr>
        <w:tc>
          <w:tcPr>
            <w:tcW w:w="39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2"/>
              </w:rPr>
              <w:t xml:space="preserve">Investments in Non-Controlled, Non-Affiliated Portfolio Companies—125.0 </w:t>
            </w:r>
            <w:r>
              <w:rPr>
                <w:rFonts w:ascii="Arial" w:cs="Arial" w:eastAsia="Arial" w:hAnsi="Arial"/>
                <w:sz w:val="9"/>
                <w:szCs w:val="9"/>
                <w:b w:val="1"/>
                <w:bCs w:val="1"/>
                <w:color w:val="auto"/>
                <w:w w:val="92"/>
              </w:rPr>
              <w:t>(1), (2)</w:t>
            </w:r>
          </w:p>
        </w:tc>
        <w:tc>
          <w:tcPr>
            <w:tcW w:w="26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b w:val="1"/>
                <w:bCs w:val="1"/>
                <w:color w:val="auto"/>
              </w:rPr>
              <w:t>First Lien Secured Debt—64.9%</w:t>
            </w:r>
          </w:p>
        </w:tc>
        <w:tc>
          <w:tcPr>
            <w:tcW w:w="8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18 Freemont Street Acquisition, LLC</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08/11/2025</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8,302,303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7,545,657</w:t>
            </w:r>
          </w:p>
        </w:tc>
        <w:tc>
          <w:tcPr>
            <w:tcW w:w="34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8,385,326</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Altamira Technologies, LLC (Revolver)</w:t>
            </w:r>
          </w:p>
        </w:tc>
        <w:tc>
          <w:tcPr>
            <w:tcW w:w="880" w:type="dxa"/>
            <w:vAlign w:val="bottom"/>
          </w:tcPr>
          <w:p>
            <w:pPr>
              <w:ind w:left="180"/>
              <w:spacing w:after="0"/>
              <w:rPr>
                <w:sz w:val="20"/>
                <w:szCs w:val="20"/>
                <w:color w:val="auto"/>
              </w:rPr>
            </w:pPr>
            <w:r>
              <w:rPr>
                <w:rFonts w:ascii="Arial" w:cs="Arial" w:eastAsia="Arial" w:hAnsi="Arial"/>
                <w:sz w:val="11"/>
                <w:szCs w:val="11"/>
                <w:color w:val="auto"/>
              </w:rPr>
              <w:t>07/24/2025</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48,125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07/24/2025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ind w:right="46"/>
              <w:spacing w:after="0"/>
              <w:rPr>
                <w:sz w:val="20"/>
                <w:szCs w:val="20"/>
                <w:color w:val="auto"/>
              </w:rPr>
            </w:pPr>
            <w:r>
              <w:rPr>
                <w:rFonts w:ascii="Arial" w:cs="Arial" w:eastAsia="Arial" w:hAnsi="Arial"/>
                <w:sz w:val="11"/>
                <w:szCs w:val="11"/>
                <w:color w:val="auto"/>
              </w:rPr>
              <w:t>137,500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(5,156)</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American Insulated Glass, LLC</w:t>
            </w:r>
          </w:p>
        </w:tc>
        <w:tc>
          <w:tcPr>
            <w:tcW w:w="880" w:type="dxa"/>
            <w:vAlign w:val="bottom"/>
          </w:tcPr>
          <w:p>
            <w:pPr>
              <w:ind w:left="180"/>
              <w:spacing w:after="0"/>
              <w:rPr>
                <w:sz w:val="20"/>
                <w:szCs w:val="20"/>
                <w:color w:val="auto"/>
              </w:rPr>
            </w:pPr>
            <w:r>
              <w:rPr>
                <w:rFonts w:ascii="Arial" w:cs="Arial" w:eastAsia="Arial" w:hAnsi="Arial"/>
                <w:sz w:val="11"/>
                <w:szCs w:val="11"/>
                <w:color w:val="auto"/>
              </w:rPr>
              <w:t>12/21/2023</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15,876,189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15,687,356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15,717,427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Apex Service Partners, LLC</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07/31/2025</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1,335,239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1,335,239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1,335,239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Applied Technical Services, LLC</w:t>
            </w:r>
          </w:p>
        </w:tc>
        <w:tc>
          <w:tcPr>
            <w:tcW w:w="880" w:type="dxa"/>
            <w:vAlign w:val="bottom"/>
          </w:tcPr>
          <w:p>
            <w:pPr>
              <w:ind w:left="180"/>
              <w:spacing w:after="0"/>
              <w:rPr>
                <w:sz w:val="20"/>
                <w:szCs w:val="20"/>
                <w:color w:val="auto"/>
              </w:rPr>
            </w:pPr>
            <w:r>
              <w:rPr>
                <w:rFonts w:ascii="Arial" w:cs="Arial" w:eastAsia="Arial" w:hAnsi="Arial"/>
                <w:sz w:val="11"/>
                <w:szCs w:val="11"/>
                <w:color w:val="auto"/>
              </w:rPr>
              <w:t>12/29/2026</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7,481,250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7,320,812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7,369,031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Applied Technical Services, LLC </w:t>
            </w:r>
            <w:r>
              <w:rPr>
                <w:rFonts w:ascii="Arial" w:cs="Arial" w:eastAsia="Arial" w:hAnsi="Arial"/>
                <w:sz w:val="9"/>
                <w:szCs w:val="9"/>
                <w:color w:val="auto"/>
              </w:rPr>
              <w:t>(7)</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06/29/2022</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(9,375)</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12/29/2026</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(15,000)</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Bottom Line Systems, LLC</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02/13/2023</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6,153,097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6,118,932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6,153,097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Broder Bros., Co.</w:t>
            </w:r>
          </w:p>
        </w:tc>
        <w:tc>
          <w:tcPr>
            <w:tcW w:w="880" w:type="dxa"/>
            <w:vAlign w:val="bottom"/>
          </w:tcPr>
          <w:p>
            <w:pPr>
              <w:ind w:left="180"/>
              <w:spacing w:after="0"/>
              <w:rPr>
                <w:sz w:val="20"/>
                <w:szCs w:val="20"/>
                <w:color w:val="auto"/>
              </w:rPr>
            </w:pPr>
            <w:r>
              <w:rPr>
                <w:rFonts w:ascii="Arial" w:cs="Arial" w:eastAsia="Arial" w:hAnsi="Arial"/>
                <w:sz w:val="11"/>
                <w:szCs w:val="11"/>
                <w:color w:val="auto"/>
              </w:rPr>
              <w:t>12/02/2022</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9.75%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tcPr>
          <w:p>
            <w:pPr>
              <w:jc w:val="right"/>
              <w:spacing w:after="0"/>
              <w:rPr>
                <w:sz w:val="20"/>
                <w:szCs w:val="20"/>
                <w:color w:val="auto"/>
              </w:rPr>
            </w:pPr>
            <w:r>
              <w:rPr>
                <w:rFonts w:ascii="Arial" w:cs="Arial" w:eastAsia="Arial" w:hAnsi="Arial"/>
                <w:sz w:val="11"/>
                <w:szCs w:val="11"/>
                <w:color w:val="auto"/>
              </w:rPr>
              <w:t>25,620,085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25,620,673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24,210,981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Compex Legal Services, Inc.</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02/09/2026</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3,587,774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3,526,985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3,469,018</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Compex Legal Services, Inc. (Revolver)</w:t>
            </w:r>
          </w:p>
        </w:tc>
        <w:tc>
          <w:tcPr>
            <w:tcW w:w="880" w:type="dxa"/>
            <w:vAlign w:val="bottom"/>
          </w:tcPr>
          <w:p>
            <w:pPr>
              <w:ind w:left="180"/>
              <w:spacing w:after="0"/>
              <w:rPr>
                <w:sz w:val="20"/>
                <w:szCs w:val="20"/>
                <w:color w:val="auto"/>
              </w:rPr>
            </w:pPr>
            <w:r>
              <w:rPr>
                <w:rFonts w:ascii="Arial" w:cs="Arial" w:eastAsia="Arial" w:hAnsi="Arial"/>
                <w:sz w:val="11"/>
                <w:szCs w:val="11"/>
                <w:color w:val="auto"/>
              </w:rPr>
              <w:t>02/07/2025</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458,962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458,962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443,771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02/07/2025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196,698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(6,511)</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Datalot Inc. (Revolver)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01/24/2025</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1,788,165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DermaRite Industries LLC</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03/03/2022</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8,441,402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8,410,431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8,441,402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11/03/2025</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1,528,102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15,281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ECL Entertainment, LLC</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04/01/2028</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8,769,231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8,681,538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8,769,231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ECM Industries, LLC (Revolver)</w:t>
            </w:r>
          </w:p>
        </w:tc>
        <w:tc>
          <w:tcPr>
            <w:tcW w:w="880" w:type="dxa"/>
            <w:vAlign w:val="bottom"/>
          </w:tcPr>
          <w:p>
            <w:pPr>
              <w:ind w:left="180"/>
              <w:spacing w:after="0"/>
              <w:rPr>
                <w:sz w:val="20"/>
                <w:szCs w:val="20"/>
                <w:color w:val="auto"/>
              </w:rPr>
            </w:pPr>
            <w:r>
              <w:rPr>
                <w:rFonts w:ascii="Arial" w:cs="Arial" w:eastAsia="Arial" w:hAnsi="Arial"/>
                <w:sz w:val="11"/>
                <w:szCs w:val="11"/>
                <w:color w:val="auto"/>
              </w:rPr>
              <w:t>12/23/2025</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258,797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258,797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257,503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9"/>
                <w:szCs w:val="9"/>
                <w:color w:val="auto"/>
              </w:rPr>
              <w:t>(7)</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12/23/2025</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258,797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(1,294)</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GCOM Software LLC</w:t>
            </w:r>
          </w:p>
        </w:tc>
        <w:tc>
          <w:tcPr>
            <w:tcW w:w="880" w:type="dxa"/>
            <w:vAlign w:val="bottom"/>
          </w:tcPr>
          <w:p>
            <w:pPr>
              <w:ind w:left="180"/>
              <w:spacing w:after="0"/>
              <w:rPr>
                <w:sz w:val="20"/>
                <w:szCs w:val="20"/>
                <w:color w:val="auto"/>
              </w:rPr>
            </w:pPr>
            <w:r>
              <w:rPr>
                <w:rFonts w:ascii="Arial" w:cs="Arial" w:eastAsia="Arial" w:hAnsi="Arial"/>
                <w:sz w:val="11"/>
                <w:szCs w:val="11"/>
                <w:color w:val="auto"/>
              </w:rPr>
              <w:t>11/14/2022</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7.75%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1,093,898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1,076,285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1,093,898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Hancock Roofing and Construction L.L.C.</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12/31/2026</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5,985,000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5,842,049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5,835,375</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Hancock Roofing and Construction L.L.C.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12/31/2022</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(37,500)</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9"/>
                <w:szCs w:val="9"/>
                <w:color w:val="auto"/>
              </w:rPr>
              <w:t>(7)</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12/31/2026</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(18,750)</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HW Holdco, LLC</w:t>
            </w:r>
          </w:p>
        </w:tc>
        <w:tc>
          <w:tcPr>
            <w:tcW w:w="880" w:type="dxa"/>
            <w:vAlign w:val="bottom"/>
          </w:tcPr>
          <w:p>
            <w:pPr>
              <w:ind w:left="180"/>
              <w:spacing w:after="0"/>
              <w:rPr>
                <w:sz w:val="20"/>
                <w:szCs w:val="20"/>
                <w:color w:val="auto"/>
              </w:rPr>
            </w:pPr>
            <w:r>
              <w:rPr>
                <w:rFonts w:ascii="Arial" w:cs="Arial" w:eastAsia="Arial" w:hAnsi="Arial"/>
                <w:sz w:val="11"/>
                <w:szCs w:val="11"/>
                <w:color w:val="auto"/>
              </w:rPr>
              <w:t>12/10/2024</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2,554,113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2,536,525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2,503,031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12/10/2024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3,387,097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(67,742)</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Impact Group, LLC</w:t>
            </w:r>
          </w:p>
        </w:tc>
        <w:tc>
          <w:tcPr>
            <w:tcW w:w="880" w:type="dxa"/>
            <w:vAlign w:val="bottom"/>
          </w:tcPr>
          <w:p>
            <w:pPr>
              <w:ind w:left="180"/>
              <w:spacing w:after="0"/>
              <w:rPr>
                <w:sz w:val="20"/>
                <w:szCs w:val="20"/>
                <w:color w:val="auto"/>
              </w:rPr>
            </w:pPr>
            <w:r>
              <w:rPr>
                <w:rFonts w:ascii="Arial" w:cs="Arial" w:eastAsia="Arial" w:hAnsi="Arial"/>
                <w:sz w:val="11"/>
                <w:szCs w:val="11"/>
                <w:color w:val="auto"/>
              </w:rPr>
              <w:t>06/27/2023</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8.37%</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L+737</w:t>
            </w:r>
          </w:p>
        </w:tc>
        <w:tc>
          <w:tcPr>
            <w:tcW w:w="660" w:type="dxa"/>
            <w:vAlign w:val="bottom"/>
          </w:tcPr>
          <w:p>
            <w:pPr>
              <w:jc w:val="right"/>
              <w:spacing w:after="0"/>
              <w:rPr>
                <w:sz w:val="20"/>
                <w:szCs w:val="20"/>
                <w:color w:val="auto"/>
              </w:rPr>
            </w:pPr>
            <w:r>
              <w:rPr>
                <w:rFonts w:ascii="Arial" w:cs="Arial" w:eastAsia="Arial" w:hAnsi="Arial"/>
                <w:sz w:val="11"/>
                <w:szCs w:val="11"/>
                <w:color w:val="auto"/>
              </w:rPr>
              <w:t>19,675,049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19,611,964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19,871,799</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Integrity Marketing Acquisition, LLC</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08/27/2025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16,583,417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16,473,040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16,334,666</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Juniper Landscaping of Florida, LLC</w:t>
            </w:r>
          </w:p>
        </w:tc>
        <w:tc>
          <w:tcPr>
            <w:tcW w:w="880" w:type="dxa"/>
            <w:vAlign w:val="bottom"/>
          </w:tcPr>
          <w:p>
            <w:pPr>
              <w:ind w:left="180"/>
              <w:spacing w:after="0"/>
              <w:rPr>
                <w:sz w:val="20"/>
                <w:szCs w:val="20"/>
                <w:color w:val="auto"/>
              </w:rPr>
            </w:pPr>
            <w:r>
              <w:rPr>
                <w:rFonts w:ascii="Arial" w:cs="Arial" w:eastAsia="Arial" w:hAnsi="Arial"/>
                <w:sz w:val="11"/>
                <w:szCs w:val="11"/>
                <w:color w:val="auto"/>
              </w:rPr>
              <w:t>12/22/2021</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2,775,657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2,762,772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2,775,657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K2 Pure Solutions NoCal, L.P.</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12/20/2023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11,860,333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11,754,642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11,607,707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K2 Pure Solutions NoCal, L.P. (Revolver)</w:t>
            </w:r>
          </w:p>
        </w:tc>
        <w:tc>
          <w:tcPr>
            <w:tcW w:w="880" w:type="dxa"/>
            <w:vAlign w:val="bottom"/>
          </w:tcPr>
          <w:p>
            <w:pPr>
              <w:ind w:left="180"/>
              <w:spacing w:after="0"/>
              <w:rPr>
                <w:sz w:val="20"/>
                <w:szCs w:val="20"/>
                <w:color w:val="auto"/>
              </w:rPr>
            </w:pPr>
            <w:r>
              <w:rPr>
                <w:rFonts w:ascii="Arial" w:cs="Arial" w:eastAsia="Arial" w:hAnsi="Arial"/>
                <w:sz w:val="11"/>
                <w:szCs w:val="11"/>
                <w:color w:val="auto"/>
              </w:rPr>
              <w:t>12/20/2023</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872,143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872,143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853,566</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12/20/2023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1,065,952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(22,705)</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03/07/2025</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827,586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10/31/2024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Leisure, Amusement, Motion Pictures, Entertainment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770,596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764,956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714,188</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5.00%)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Lightspeed Buyer Inc.</w:t>
            </w:r>
          </w:p>
        </w:tc>
        <w:tc>
          <w:tcPr>
            <w:tcW w:w="880" w:type="dxa"/>
            <w:vAlign w:val="bottom"/>
          </w:tcPr>
          <w:p>
            <w:pPr>
              <w:ind w:left="180"/>
              <w:spacing w:after="0"/>
              <w:rPr>
                <w:sz w:val="20"/>
                <w:szCs w:val="20"/>
                <w:color w:val="auto"/>
              </w:rPr>
            </w:pPr>
            <w:r>
              <w:rPr>
                <w:rFonts w:ascii="Arial" w:cs="Arial" w:eastAsia="Arial" w:hAnsi="Arial"/>
                <w:sz w:val="11"/>
                <w:szCs w:val="11"/>
                <w:color w:val="auto"/>
              </w:rPr>
              <w:t>02/03/2026</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1,556,373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1,542,426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1,533,027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Lightspeed Buyer Inc. </w:t>
            </w:r>
            <w:r>
              <w:rPr>
                <w:rFonts w:ascii="Arial" w:cs="Arial" w:eastAsia="Arial" w:hAnsi="Arial"/>
                <w:sz w:val="9"/>
                <w:szCs w:val="9"/>
                <w:color w:val="auto"/>
              </w:rPr>
              <w:t>(7)</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08/03/2021</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882,075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(4,410)</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Lightspeed Buyer Inc. (Revolver)</w:t>
            </w:r>
          </w:p>
        </w:tc>
        <w:tc>
          <w:tcPr>
            <w:tcW w:w="880" w:type="dxa"/>
            <w:vAlign w:val="bottom"/>
          </w:tcPr>
          <w:p>
            <w:pPr>
              <w:ind w:left="180"/>
              <w:spacing w:after="0"/>
              <w:rPr>
                <w:sz w:val="20"/>
                <w:szCs w:val="20"/>
                <w:color w:val="auto"/>
              </w:rPr>
            </w:pPr>
            <w:r>
              <w:rPr>
                <w:rFonts w:ascii="Arial" w:cs="Arial" w:eastAsia="Arial" w:hAnsi="Arial"/>
                <w:sz w:val="11"/>
                <w:szCs w:val="11"/>
                <w:color w:val="auto"/>
              </w:rPr>
              <w:t>02/03/2026</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388,593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388,593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382,765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9"/>
                <w:szCs w:val="9"/>
                <w:color w:val="auto"/>
              </w:rPr>
              <w:t>(7)</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02/03/2026</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777,187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(11,658)</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Lombart Brothers, Inc. (Revolver)</w:t>
            </w:r>
          </w:p>
        </w:tc>
        <w:tc>
          <w:tcPr>
            <w:tcW w:w="880" w:type="dxa"/>
            <w:vAlign w:val="bottom"/>
          </w:tcPr>
          <w:p>
            <w:pPr>
              <w:ind w:left="180"/>
              <w:spacing w:after="0"/>
              <w:rPr>
                <w:sz w:val="20"/>
                <w:szCs w:val="20"/>
                <w:color w:val="auto"/>
              </w:rPr>
            </w:pPr>
            <w:r>
              <w:rPr>
                <w:rFonts w:ascii="Arial" w:cs="Arial" w:eastAsia="Arial" w:hAnsi="Arial"/>
                <w:sz w:val="11"/>
                <w:szCs w:val="11"/>
                <w:color w:val="auto"/>
              </w:rPr>
              <w:t>04/13/2023</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L+825</w:t>
            </w:r>
          </w:p>
        </w:tc>
        <w:tc>
          <w:tcPr>
            <w:tcW w:w="660" w:type="dxa"/>
            <w:vAlign w:val="bottom"/>
          </w:tcPr>
          <w:p>
            <w:pPr>
              <w:jc w:val="right"/>
              <w:spacing w:after="0"/>
              <w:rPr>
                <w:sz w:val="20"/>
                <w:szCs w:val="20"/>
                <w:color w:val="auto"/>
              </w:rPr>
            </w:pPr>
            <w:r>
              <w:rPr>
                <w:rFonts w:ascii="Arial" w:cs="Arial" w:eastAsia="Arial" w:hAnsi="Arial"/>
                <w:sz w:val="11"/>
                <w:szCs w:val="11"/>
                <w:color w:val="auto"/>
              </w:rPr>
              <w:t>1,773,894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1,773,894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1,702,938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05/23/2024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2,832,036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2,803,736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2,768,315</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05/23/2024</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2,518,345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(56,663)</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Ox Two, LLC</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02/27/2023</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21,135,496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20,941,838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21,135,496</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Ox Two, LLC (Revolver)</w:t>
            </w:r>
          </w:p>
        </w:tc>
        <w:tc>
          <w:tcPr>
            <w:tcW w:w="880" w:type="dxa"/>
            <w:vAlign w:val="bottom"/>
          </w:tcPr>
          <w:p>
            <w:pPr>
              <w:ind w:left="180"/>
              <w:spacing w:after="0"/>
              <w:rPr>
                <w:sz w:val="20"/>
                <w:szCs w:val="20"/>
                <w:color w:val="auto"/>
              </w:rPr>
            </w:pPr>
            <w:r>
              <w:rPr>
                <w:rFonts w:ascii="Arial" w:cs="Arial" w:eastAsia="Arial" w:hAnsi="Arial"/>
                <w:sz w:val="11"/>
                <w:szCs w:val="11"/>
                <w:color w:val="auto"/>
              </w:rPr>
              <w:t>02/27/2023</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488,000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488,000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488,000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02/27/2023</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2,012,000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PRA Events, Inc.</w:t>
            </w:r>
          </w:p>
        </w:tc>
        <w:tc>
          <w:tcPr>
            <w:tcW w:w="880" w:type="dxa"/>
            <w:vAlign w:val="bottom"/>
          </w:tcPr>
          <w:p>
            <w:pPr>
              <w:ind w:left="180"/>
              <w:spacing w:after="0"/>
              <w:rPr>
                <w:sz w:val="20"/>
                <w:szCs w:val="20"/>
                <w:color w:val="auto"/>
              </w:rPr>
            </w:pPr>
            <w:r>
              <w:rPr>
                <w:rFonts w:ascii="Arial" w:cs="Arial" w:eastAsia="Arial" w:hAnsi="Arial"/>
                <w:sz w:val="11"/>
                <w:szCs w:val="11"/>
                <w:color w:val="auto"/>
              </w:rPr>
              <w:t>08/07/2025</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L+1,050</w:t>
            </w:r>
          </w:p>
        </w:tc>
        <w:tc>
          <w:tcPr>
            <w:tcW w:w="660" w:type="dxa"/>
            <w:vAlign w:val="bottom"/>
          </w:tcPr>
          <w:p>
            <w:pPr>
              <w:jc w:val="right"/>
              <w:spacing w:after="0"/>
              <w:rPr>
                <w:sz w:val="20"/>
                <w:szCs w:val="20"/>
                <w:color w:val="auto"/>
              </w:rPr>
            </w:pPr>
            <w:r>
              <w:rPr>
                <w:rFonts w:ascii="Arial" w:cs="Arial" w:eastAsia="Arial" w:hAnsi="Arial"/>
                <w:sz w:val="11"/>
                <w:szCs w:val="11"/>
                <w:color w:val="auto"/>
              </w:rPr>
              <w:t>22,349,086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19,095,604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19,723,069</w:t>
            </w:r>
          </w:p>
        </w:tc>
        <w:tc>
          <w:tcPr>
            <w:tcW w:w="100" w:type="dxa"/>
            <w:vAlign w:val="bottom"/>
          </w:tcPr>
          <w:p>
            <w:pPr>
              <w:spacing w:after="0"/>
              <w:rPr>
                <w:sz w:val="12"/>
                <w:szCs w:val="12"/>
                <w:color w:val="auto"/>
              </w:rPr>
            </w:pPr>
          </w:p>
        </w:tc>
      </w:tr>
      <w:tr>
        <w:trPr>
          <w:trHeight w:val="131"/>
        </w:trPr>
        <w:tc>
          <w:tcPr>
            <w:tcW w:w="3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11.50%)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PRA Events, Inc. (Revolver)</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08/07/2025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2,323,391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1,985,162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2,050,393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11.50%)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Questex, LLC</w:t>
            </w:r>
          </w:p>
        </w:tc>
        <w:tc>
          <w:tcPr>
            <w:tcW w:w="880" w:type="dxa"/>
            <w:vAlign w:val="bottom"/>
          </w:tcPr>
          <w:p>
            <w:pPr>
              <w:ind w:left="180"/>
              <w:spacing w:after="0"/>
              <w:rPr>
                <w:sz w:val="20"/>
                <w:szCs w:val="20"/>
                <w:color w:val="auto"/>
              </w:rPr>
            </w:pPr>
            <w:r>
              <w:rPr>
                <w:rFonts w:ascii="Arial" w:cs="Arial" w:eastAsia="Arial" w:hAnsi="Arial"/>
                <w:sz w:val="11"/>
                <w:szCs w:val="11"/>
                <w:color w:val="auto"/>
              </w:rPr>
              <w:t>09/09/2024</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21,937,500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21,658,895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19,963,126</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Questex, LLC (Revolver)</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09/09/2024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2,632,979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2,632,979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2,396,011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09/09/2024</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957,447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(86,170)</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Radius Aerospace, Inc. (Revolver)</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03/31/2025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148,476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148,476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144,289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Radius Aerospace, Inc. (Revolver)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03/31/2025</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2,078,666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(58,618)</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Rancho Health MSO, Inc.</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12/18/2025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3,675,000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3,596,984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3,610,688</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Rancho Health MSO, Inc.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12/18/2022</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(18,375)</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Rancho Health MSO, Inc. (Revolver) </w:t>
            </w:r>
            <w:r>
              <w:rPr>
                <w:rFonts w:ascii="Arial" w:cs="Arial" w:eastAsia="Arial" w:hAnsi="Arial"/>
                <w:sz w:val="9"/>
                <w:szCs w:val="9"/>
                <w:color w:val="auto"/>
              </w:rPr>
              <w:t>(7)</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12/18/2025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(9,187)</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Recteq, LLC</w:t>
            </w:r>
          </w:p>
        </w:tc>
        <w:tc>
          <w:tcPr>
            <w:tcW w:w="880" w:type="dxa"/>
            <w:vAlign w:val="bottom"/>
          </w:tcPr>
          <w:p>
            <w:pPr>
              <w:ind w:left="180"/>
              <w:spacing w:after="0"/>
              <w:rPr>
                <w:sz w:val="20"/>
                <w:szCs w:val="20"/>
                <w:color w:val="auto"/>
              </w:rPr>
            </w:pPr>
            <w:r>
              <w:rPr>
                <w:rFonts w:ascii="Arial" w:cs="Arial" w:eastAsia="Arial" w:hAnsi="Arial"/>
                <w:sz w:val="11"/>
                <w:szCs w:val="11"/>
                <w:color w:val="auto"/>
              </w:rPr>
              <w:t>01/29/2026</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9,807,023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9,800,000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9"/>
                <w:szCs w:val="9"/>
                <w:color w:val="auto"/>
              </w:rPr>
              <w:t>(7)</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01/29/2026</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1,126,761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(22,535)</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Research Horizons, LLC</w:t>
            </w:r>
          </w:p>
        </w:tc>
        <w:tc>
          <w:tcPr>
            <w:tcW w:w="880" w:type="dxa"/>
            <w:vAlign w:val="bottom"/>
          </w:tcPr>
          <w:p>
            <w:pPr>
              <w:ind w:left="180"/>
              <w:spacing w:after="0"/>
              <w:rPr>
                <w:sz w:val="20"/>
                <w:szCs w:val="20"/>
                <w:color w:val="auto"/>
              </w:rPr>
            </w:pPr>
            <w:r>
              <w:rPr>
                <w:rFonts w:ascii="Arial" w:cs="Arial" w:eastAsia="Arial" w:hAnsi="Arial"/>
                <w:sz w:val="11"/>
                <w:szCs w:val="11"/>
                <w:color w:val="auto"/>
              </w:rPr>
              <w:t>06/28/2022</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28,360,642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28,212,050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27,793,429</w:t>
            </w:r>
          </w:p>
        </w:tc>
        <w:tc>
          <w:tcPr>
            <w:tcW w:w="100" w:type="dxa"/>
            <w:vAlign w:val="bottom"/>
          </w:tcPr>
          <w:p>
            <w:pPr>
              <w:spacing w:after="0"/>
              <w:rPr>
                <w:sz w:val="11"/>
                <w:szCs w:val="11"/>
                <w:color w:val="auto"/>
              </w:rPr>
            </w:pPr>
          </w:p>
        </w:tc>
      </w:tr>
      <w:tr>
        <w:trPr>
          <w:trHeight w:val="125"/>
        </w:trPr>
        <w:tc>
          <w:tcPr>
            <w:tcW w:w="3020" w:type="dxa"/>
            <w:vAlign w:val="bottom"/>
            <w:shd w:val="clear" w:color="auto" w:fill="CCECFF"/>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88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r>
      <w:tr>
        <w:trPr>
          <w:trHeight w:val="131"/>
        </w:trPr>
        <w:tc>
          <w:tcPr>
            <w:tcW w:w="3020" w:type="dxa"/>
            <w:vAlign w:val="bottom"/>
            <w:shd w:val="clear" w:color="auto" w:fill="CCECFF"/>
          </w:tcPr>
          <w:p>
            <w:pPr>
              <w:ind w:left="80"/>
              <w:spacing w:after="0"/>
              <w:rPr>
                <w:sz w:val="20"/>
                <w:szCs w:val="20"/>
                <w:color w:val="auto"/>
              </w:rPr>
            </w:pPr>
            <w:r>
              <w:rPr>
                <w:rFonts w:ascii="Arial" w:cs="Arial" w:eastAsia="Arial" w:hAnsi="Arial"/>
                <w:sz w:val="11"/>
                <w:szCs w:val="11"/>
                <w:color w:val="auto"/>
              </w:rPr>
              <w:t>Sampling International LLC</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12/20/2024</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2,898,750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2,898,750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2,864,690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06/20/2025</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363,636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(2,218)</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Riverside Assessments, LLC</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03/10/2025</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16,291,343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16,039,357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15,598,961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01/03/2025</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731,707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(49,390)</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9"/>
                <w:szCs w:val="9"/>
                <w:color w:val="auto"/>
              </w:rPr>
              <w:t>(7)</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12/20/2024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597,943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Schlesinger Global, Inc.</w:t>
            </w:r>
          </w:p>
        </w:tc>
        <w:tc>
          <w:tcPr>
            <w:tcW w:w="880" w:type="dxa"/>
            <w:vAlign w:val="bottom"/>
          </w:tcPr>
          <w:p>
            <w:pPr>
              <w:ind w:left="180"/>
              <w:spacing w:after="0"/>
              <w:rPr>
                <w:sz w:val="20"/>
                <w:szCs w:val="20"/>
                <w:color w:val="auto"/>
              </w:rPr>
            </w:pPr>
            <w:r>
              <w:rPr>
                <w:rFonts w:ascii="Arial" w:cs="Arial" w:eastAsia="Arial" w:hAnsi="Arial"/>
                <w:sz w:val="11"/>
                <w:szCs w:val="11"/>
                <w:color w:val="auto"/>
              </w:rPr>
              <w:t>07/14/2025</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tcPr>
          <w:p>
            <w:pPr>
              <w:jc w:val="right"/>
              <w:spacing w:after="0"/>
              <w:rPr>
                <w:sz w:val="20"/>
                <w:szCs w:val="20"/>
                <w:color w:val="auto"/>
              </w:rPr>
            </w:pPr>
            <w:r>
              <w:rPr>
                <w:rFonts w:ascii="Arial" w:cs="Arial" w:eastAsia="Arial" w:hAnsi="Arial"/>
                <w:sz w:val="11"/>
                <w:szCs w:val="11"/>
                <w:color w:val="auto"/>
              </w:rPr>
              <w:t>514,741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509,460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473,561</w:t>
            </w:r>
          </w:p>
        </w:tc>
        <w:tc>
          <w:tcPr>
            <w:tcW w:w="100" w:type="dxa"/>
            <w:vAlign w:val="bottom"/>
          </w:tcPr>
          <w:p>
            <w:pPr>
              <w:spacing w:after="0"/>
              <w:rPr>
                <w:sz w:val="12"/>
                <w:szCs w:val="12"/>
                <w:color w:val="auto"/>
              </w:rPr>
            </w:pPr>
          </w:p>
        </w:tc>
      </w:tr>
      <w:tr>
        <w:trPr>
          <w:trHeight w:val="131"/>
        </w:trPr>
        <w:tc>
          <w:tcPr>
            <w:tcW w:w="3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1.00%)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 (Revolver)</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07/14/2025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15,792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15,792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14,529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07/14/2025</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22,248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(1,780)</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Sigma Defense Systems, LLC</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12/18/2025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6,602,931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6,448,004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6,470,872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Sigma Defense Systems, LLC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12/18/2025</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950,869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(19,017)</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Signature Systems Holding Company - Term Loan II</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12/31/2021</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806,452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794,399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796,371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Signature Systems Holding Company (Revolver)</w:t>
            </w:r>
          </w:p>
        </w:tc>
        <w:tc>
          <w:tcPr>
            <w:tcW w:w="880" w:type="dxa"/>
            <w:vAlign w:val="bottom"/>
          </w:tcPr>
          <w:p>
            <w:pPr>
              <w:ind w:left="180"/>
              <w:spacing w:after="0"/>
              <w:rPr>
                <w:sz w:val="20"/>
                <w:szCs w:val="20"/>
                <w:color w:val="auto"/>
              </w:rPr>
            </w:pPr>
            <w:r>
              <w:rPr>
                <w:rFonts w:ascii="Arial" w:cs="Arial" w:eastAsia="Arial" w:hAnsi="Arial"/>
                <w:sz w:val="11"/>
                <w:szCs w:val="11"/>
                <w:color w:val="auto"/>
              </w:rPr>
              <w:t>05/03/2024</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L+650</w:t>
            </w:r>
          </w:p>
        </w:tc>
        <w:tc>
          <w:tcPr>
            <w:tcW w:w="660" w:type="dxa"/>
            <w:vAlign w:val="bottom"/>
          </w:tcPr>
          <w:p>
            <w:pPr>
              <w:jc w:val="right"/>
              <w:spacing w:after="0"/>
              <w:rPr>
                <w:sz w:val="20"/>
                <w:szCs w:val="20"/>
                <w:color w:val="auto"/>
              </w:rPr>
            </w:pPr>
            <w:r>
              <w:rPr>
                <w:rFonts w:ascii="Arial" w:cs="Arial" w:eastAsia="Arial" w:hAnsi="Arial"/>
                <w:sz w:val="11"/>
                <w:szCs w:val="11"/>
                <w:color w:val="auto"/>
              </w:rPr>
              <w:t>2,016,129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2,016,129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1,990,927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01/17/2024</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1,665,000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Spear Education, LLC</w:t>
            </w:r>
          </w:p>
        </w:tc>
        <w:tc>
          <w:tcPr>
            <w:tcW w:w="880" w:type="dxa"/>
            <w:vAlign w:val="bottom"/>
          </w:tcPr>
          <w:p>
            <w:pPr>
              <w:ind w:left="180"/>
              <w:spacing w:after="0"/>
              <w:rPr>
                <w:sz w:val="20"/>
                <w:szCs w:val="20"/>
                <w:color w:val="auto"/>
              </w:rPr>
            </w:pPr>
            <w:r>
              <w:rPr>
                <w:rFonts w:ascii="Arial" w:cs="Arial" w:eastAsia="Arial" w:hAnsi="Arial"/>
                <w:sz w:val="11"/>
                <w:szCs w:val="11"/>
                <w:color w:val="auto"/>
              </w:rPr>
              <w:t>02/26/2025</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14,973,750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14,842,822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14,824,012</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9"/>
                <w:szCs w:val="9"/>
                <w:color w:val="auto"/>
              </w:rPr>
              <w:t>(7)</w:t>
            </w:r>
          </w:p>
        </w:tc>
        <w:tc>
          <w:tcPr>
            <w:tcW w:w="880" w:type="dxa"/>
            <w:vAlign w:val="bottom"/>
            <w:shd w:val="clear" w:color="auto" w:fill="CCECFF"/>
          </w:tcPr>
          <w:p>
            <w:pPr>
              <w:ind w:left="180"/>
              <w:spacing w:after="0"/>
              <w:rPr>
                <w:sz w:val="20"/>
                <w:szCs w:val="20"/>
                <w:color w:val="auto"/>
              </w:rPr>
            </w:pPr>
            <w:r>
              <w:rPr>
                <w:rFonts w:ascii="Arial" w:cs="Arial" w:eastAsia="Arial" w:hAnsi="Arial"/>
                <w:sz w:val="11"/>
                <w:szCs w:val="11"/>
                <w:color w:val="auto"/>
              </w:rPr>
              <w:t>02/26/2022</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6,875,000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(68,750)</w:t>
            </w: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Maturity /</w:t>
            </w: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900" w:type="dxa"/>
            <w:vAlign w:val="bottom"/>
            <w:gridSpan w:val="2"/>
          </w:tcPr>
          <w:p>
            <w:pPr>
              <w:ind w:left="220"/>
              <w:spacing w:after="0" w:line="122" w:lineRule="exact"/>
              <w:rPr>
                <w:sz w:val="20"/>
                <w:szCs w:val="20"/>
                <w:color w:val="auto"/>
              </w:rPr>
            </w:pPr>
            <w:r>
              <w:rPr>
                <w:rFonts w:ascii="Arial" w:cs="Arial" w:eastAsia="Arial" w:hAnsi="Arial"/>
                <w:sz w:val="11"/>
                <w:szCs w:val="11"/>
                <w:b w:val="1"/>
                <w:bCs w:val="1"/>
                <w:color w:val="auto"/>
              </w:rPr>
              <w:t>Par /</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2"/>
              </w:rPr>
              <w:t>Expiration</w:t>
            </w:r>
          </w:p>
        </w:tc>
        <w:tc>
          <w:tcPr>
            <w:tcW w:w="220" w:type="dxa"/>
            <w:vAlign w:val="bottom"/>
          </w:tcPr>
          <w:p>
            <w:pPr>
              <w:spacing w:after="0"/>
              <w:rPr>
                <w:sz w:val="11"/>
                <w:szCs w:val="11"/>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2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c>
          <w:tcPr>
            <w:tcW w:w="100" w:type="dxa"/>
            <w:vAlign w:val="bottom"/>
          </w:tcPr>
          <w:p>
            <w:pPr>
              <w:spacing w:after="0"/>
              <w:rPr>
                <w:sz w:val="11"/>
                <w:szCs w:val="11"/>
                <w:color w:val="auto"/>
              </w:rPr>
            </w:pPr>
          </w:p>
        </w:tc>
      </w:tr>
      <w:tr>
        <w:trPr>
          <w:trHeight w:val="128"/>
        </w:trPr>
        <w:tc>
          <w:tcPr>
            <w:tcW w:w="3020" w:type="dxa"/>
            <w:vAlign w:val="bottom"/>
          </w:tcPr>
          <w:p>
            <w:pPr>
              <w:spacing w:after="0"/>
              <w:rPr>
                <w:sz w:val="20"/>
                <w:szCs w:val="20"/>
                <w:color w:val="auto"/>
              </w:rPr>
            </w:pPr>
            <w:r>
              <w:rPr>
                <w:rFonts w:ascii="Arial" w:cs="Arial" w:eastAsia="Arial" w:hAnsi="Arial"/>
                <w:sz w:val="11"/>
                <w:szCs w:val="11"/>
                <w:color w:val="auto"/>
              </w:rPr>
              <w:t>Spectacle Gary Holdings, LLC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12/23/2025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11.01%</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L+900</w:t>
            </w:r>
          </w:p>
        </w:tc>
        <w:tc>
          <w:tcPr>
            <w:tcW w:w="660" w:type="dxa"/>
            <w:vAlign w:val="bottom"/>
          </w:tcPr>
          <w:p>
            <w:pPr>
              <w:jc w:val="right"/>
              <w:spacing w:after="0"/>
              <w:rPr>
                <w:sz w:val="20"/>
                <w:szCs w:val="20"/>
                <w:color w:val="auto"/>
              </w:rPr>
            </w:pPr>
            <w:r>
              <w:rPr>
                <w:rFonts w:ascii="Arial" w:cs="Arial" w:eastAsia="Arial" w:hAnsi="Arial"/>
                <w:sz w:val="11"/>
                <w:szCs w:val="11"/>
                <w:color w:val="auto"/>
              </w:rPr>
              <w:t>21,600,000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w w:val="95"/>
              </w:rPr>
              <w:t>$  20,976,783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   23,544,000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TAC LifePort Purchaser, LLC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03/01/2026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5,017,306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4,918,140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4,936,927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TAC LifePort Purchaser, LLC (Revolver)</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03/01/2026</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82,041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82,041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80,727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TAC LifePort Purchaser, LLC (Revolver) </w:t>
            </w:r>
            <w:r>
              <w:rPr>
                <w:rFonts w:ascii="Arial" w:cs="Arial" w:eastAsia="Arial" w:hAnsi="Arial"/>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03/01/2026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538,114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(8,621)</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9"/>
                <w:szCs w:val="9"/>
                <w:color w:val="auto"/>
              </w:rPr>
              <w:t>(8),(11)</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11/24/2025</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Food</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tcPr>
          <w:p>
            <w:pPr>
              <w:jc w:val="right"/>
              <w:spacing w:after="0"/>
              <w:rPr>
                <w:sz w:val="20"/>
                <w:szCs w:val="20"/>
                <w:color w:val="auto"/>
              </w:rPr>
            </w:pPr>
            <w:r>
              <w:rPr>
                <w:rFonts w:ascii="Arial" w:cs="Arial" w:eastAsia="Arial" w:hAnsi="Arial"/>
                <w:sz w:val="11"/>
                <w:szCs w:val="11"/>
                <w:color w:val="auto"/>
              </w:rPr>
              <w:t>1,780,120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1,780,120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1,726,717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03/26/2026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15,584,153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15,393,349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15,428,312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03/26/2026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2,702,151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1"/>
                <w:szCs w:val="11"/>
                <w:color w:val="auto"/>
              </w:rPr>
              <w:t>(27,022)</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06/16/2025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4,136,641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4,136,641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4,136,641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06/16/2025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1,643,571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Tyto Athene, LLC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08/27/2024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6,012,024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5,986,788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6,012,024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Tyto Athene, LLC (New Issue)</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04/01/2028</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9,846,390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9,846,390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Tyto Athene, LLC (New Issue) (Revolver) </w:t>
            </w:r>
            <w:r>
              <w:rPr>
                <w:rFonts w:ascii="Arial" w:cs="Arial" w:eastAsia="Arial" w:hAnsi="Arial"/>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04/01/2026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363,610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US Med Acquisition,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02/13/2023</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8,257,813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8,257,813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8,257,813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Walker Edison Furniture Company LLC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09/26/2024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Home and Office Furnishings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25,000,000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24,375,244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24,375,000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Wildcat Buyerco,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02/27/2026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tcPr>
          <w:p>
            <w:pPr>
              <w:jc w:val="right"/>
              <w:spacing w:after="0"/>
              <w:rPr>
                <w:sz w:val="20"/>
                <w:szCs w:val="20"/>
                <w:color w:val="auto"/>
              </w:rPr>
            </w:pPr>
            <w:r>
              <w:rPr>
                <w:rFonts w:ascii="Arial" w:cs="Arial" w:eastAsia="Arial" w:hAnsi="Arial"/>
                <w:sz w:val="11"/>
                <w:szCs w:val="11"/>
                <w:color w:val="auto"/>
              </w:rPr>
              <w:t>1,636,953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1,619,108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1,621,484</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02/27/2022</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2,573,529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3,217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9"/>
                <w:szCs w:val="9"/>
                <w:color w:val="auto"/>
              </w:rPr>
              <w:t>(7)</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02/27/2026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551,471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(8,658)</w:t>
            </w:r>
          </w:p>
        </w:tc>
      </w:tr>
      <w:tr>
        <w:trPr>
          <w:trHeight w:val="128"/>
        </w:trPr>
        <w:tc>
          <w:tcPr>
            <w:tcW w:w="30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402,722,548</w:t>
            </w:r>
          </w:p>
        </w:tc>
        <w:tc>
          <w:tcPr>
            <w:tcW w:w="22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402,062,935</w:t>
            </w:r>
          </w:p>
        </w:tc>
        <w:tc>
          <w:tcPr>
            <w:tcW w:w="100" w:type="dxa"/>
            <w:vAlign w:val="bottom"/>
            <w:tcBorders>
              <w:top w:val="single" w:sz="8" w:color="CCECFF"/>
            </w:tcBorders>
            <w:shd w:val="clear" w:color="auto" w:fill="CCECFF"/>
          </w:tcPr>
          <w:p>
            <w:pPr>
              <w:spacing w:after="0"/>
              <w:rPr>
                <w:sz w:val="11"/>
                <w:szCs w:val="11"/>
                <w:color w:val="auto"/>
              </w:rPr>
            </w:pPr>
          </w:p>
        </w:tc>
      </w:tr>
      <w:tr>
        <w:trPr>
          <w:trHeight w:val="128"/>
        </w:trPr>
        <w:tc>
          <w:tcPr>
            <w:tcW w:w="3020" w:type="dxa"/>
            <w:vAlign w:val="bottom"/>
          </w:tcPr>
          <w:p>
            <w:pPr>
              <w:spacing w:after="0"/>
              <w:rPr>
                <w:sz w:val="20"/>
                <w:szCs w:val="20"/>
                <w:color w:val="auto"/>
              </w:rPr>
            </w:pPr>
            <w:r>
              <w:rPr>
                <w:rFonts w:ascii="Arial" w:cs="Arial" w:eastAsia="Arial" w:hAnsi="Arial"/>
                <w:sz w:val="11"/>
                <w:szCs w:val="11"/>
                <w:b w:val="1"/>
                <w:bCs w:val="1"/>
                <w:color w:val="auto"/>
              </w:rPr>
              <w:t>Second Lien Secured Debt—20.8%</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Confie Seguros Holding Co.</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10/31/2025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8.62%</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14,500,000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14,301,101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14,137,500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Data Axle,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04/03/2024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L+925</w:t>
            </w:r>
          </w:p>
        </w:tc>
        <w:tc>
          <w:tcPr>
            <w:tcW w:w="660" w:type="dxa"/>
            <w:vAlign w:val="bottom"/>
          </w:tcPr>
          <w:p>
            <w:pPr>
              <w:jc w:val="right"/>
              <w:spacing w:after="0"/>
              <w:rPr>
                <w:sz w:val="20"/>
                <w:szCs w:val="20"/>
                <w:color w:val="auto"/>
              </w:rPr>
            </w:pPr>
            <w:r>
              <w:rPr>
                <w:rFonts w:ascii="Arial" w:cs="Arial" w:eastAsia="Arial" w:hAnsi="Arial"/>
                <w:sz w:val="11"/>
                <w:szCs w:val="11"/>
                <w:color w:val="auto"/>
              </w:rPr>
              <w:t>20,400,000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20,188,954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20,400,000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DecoPac,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03/31/2025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19,627,143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19,406,995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19,627,143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Halo Buyer,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07/06/2026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L+825</w:t>
            </w:r>
          </w:p>
        </w:tc>
        <w:tc>
          <w:tcPr>
            <w:tcW w:w="660" w:type="dxa"/>
            <w:vAlign w:val="bottom"/>
          </w:tcPr>
          <w:p>
            <w:pPr>
              <w:jc w:val="right"/>
              <w:spacing w:after="0"/>
              <w:rPr>
                <w:sz w:val="20"/>
                <w:szCs w:val="20"/>
                <w:color w:val="auto"/>
              </w:rPr>
            </w:pPr>
            <w:r>
              <w:rPr>
                <w:rFonts w:ascii="Arial" w:cs="Arial" w:eastAsia="Arial" w:hAnsi="Arial"/>
                <w:sz w:val="11"/>
                <w:szCs w:val="11"/>
                <w:color w:val="auto"/>
              </w:rPr>
              <w:t>32,500,000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32,085,316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31,850,000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Inventus Power,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09/29/2024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13,500,000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13,230,497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13,230,000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MBS Holdings,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01/02/2024</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tcPr>
          <w:p>
            <w:pPr>
              <w:jc w:val="right"/>
              <w:spacing w:after="0"/>
              <w:rPr>
                <w:sz w:val="20"/>
                <w:szCs w:val="20"/>
                <w:color w:val="auto"/>
              </w:rPr>
            </w:pPr>
            <w:r>
              <w:rPr>
                <w:rFonts w:ascii="Arial" w:cs="Arial" w:eastAsia="Arial" w:hAnsi="Arial"/>
                <w:sz w:val="11"/>
                <w:szCs w:val="11"/>
                <w:color w:val="auto"/>
              </w:rPr>
              <w:t>19,623,649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19,398,565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19,427,413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QuantiTech LLC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02/04/2027</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147,119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147,000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VT Topco, Inc.</w:t>
            </w:r>
          </w:p>
        </w:tc>
        <w:tc>
          <w:tcPr>
            <w:tcW w:w="640" w:type="dxa"/>
            <w:vAlign w:val="bottom"/>
            <w:tcBorders>
              <w:bottom w:val="single" w:sz="8" w:color="CCECFF"/>
            </w:tcBorders>
            <w:gridSpan w:val="2"/>
          </w:tcPr>
          <w:p>
            <w:pPr>
              <w:ind w:left="120"/>
              <w:spacing w:after="0"/>
              <w:rPr>
                <w:sz w:val="20"/>
                <w:szCs w:val="20"/>
                <w:color w:val="auto"/>
              </w:rPr>
            </w:pPr>
            <w:r>
              <w:rPr>
                <w:rFonts w:ascii="Arial" w:cs="Arial" w:eastAsia="Arial" w:hAnsi="Arial"/>
                <w:sz w:val="11"/>
                <w:szCs w:val="11"/>
                <w:color w:val="auto"/>
                <w:w w:val="90"/>
              </w:rPr>
              <w:t>08/24/2026</w:t>
            </w:r>
          </w:p>
        </w:tc>
        <w:tc>
          <w:tcPr>
            <w:tcW w:w="22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7.11%</w:t>
            </w:r>
          </w:p>
        </w:tc>
        <w:tc>
          <w:tcPr>
            <w:tcW w:w="106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9,957,809</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9,950,000</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128,716,356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128,769,056</w:t>
            </w:r>
          </w:p>
        </w:tc>
        <w:tc>
          <w:tcPr>
            <w:tcW w:w="100" w:type="dxa"/>
            <w:vAlign w:val="bottom"/>
            <w:shd w:val="clear" w:color="auto" w:fill="CCECFF"/>
          </w:tcPr>
          <w:p>
            <w:pPr>
              <w:spacing w:after="0"/>
              <w:rPr>
                <w:sz w:val="11"/>
                <w:szCs w:val="11"/>
                <w:color w:val="auto"/>
              </w:rPr>
            </w:pPr>
          </w:p>
        </w:tc>
      </w:tr>
      <w:tr>
        <w:trPr>
          <w:trHeight w:val="128"/>
        </w:trPr>
        <w:tc>
          <w:tcPr>
            <w:tcW w:w="3020" w:type="dxa"/>
            <w:vAlign w:val="bottom"/>
          </w:tcPr>
          <w:p>
            <w:pPr>
              <w:spacing w:after="0"/>
              <w:rPr>
                <w:sz w:val="20"/>
                <w:szCs w:val="20"/>
                <w:color w:val="auto"/>
              </w:rPr>
            </w:pPr>
            <w:r>
              <w:rPr>
                <w:rFonts w:ascii="Arial" w:cs="Arial" w:eastAsia="Arial" w:hAnsi="Arial"/>
                <w:sz w:val="11"/>
                <w:szCs w:val="11"/>
                <w:b w:val="1"/>
                <w:bCs w:val="1"/>
                <w:color w:val="auto"/>
              </w:rPr>
              <w:t>Subordinated Debt/Corporate Notes—8.7%</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Blackhawk Industrial Distribution,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03/17/2025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14,192,326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14,003,077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13,979,441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2.00%)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Cascade Environmental LLC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12/30/2023</w:t>
            </w:r>
          </w:p>
        </w:tc>
        <w:tc>
          <w:tcPr>
            <w:tcW w:w="2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13.00%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39,829,362</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39,469,077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40,028,509</w:t>
            </w:r>
          </w:p>
        </w:tc>
        <w:tc>
          <w:tcPr>
            <w:tcW w:w="100" w:type="dxa"/>
            <w:vAlign w:val="bottom"/>
          </w:tcPr>
          <w:p>
            <w:pPr>
              <w:spacing w:after="0"/>
              <w:rPr>
                <w:sz w:val="12"/>
                <w:szCs w:val="12"/>
                <w:color w:val="auto"/>
              </w:rPr>
            </w:pPr>
          </w:p>
        </w:tc>
      </w:tr>
      <w:tr>
        <w:trPr>
          <w:trHeight w:val="131"/>
        </w:trPr>
        <w:tc>
          <w:tcPr>
            <w:tcW w:w="30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13.00%)</w:t>
            </w: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r>
      <w:tr>
        <w:trPr>
          <w:trHeight w:val="129"/>
        </w:trPr>
        <w:tc>
          <w:tcPr>
            <w:tcW w:w="302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Subordinated Debt/Corporate Notes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53,472,154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54,007,950</w:t>
            </w:r>
          </w:p>
        </w:tc>
        <w:tc>
          <w:tcPr>
            <w:tcW w:w="100" w:type="dxa"/>
            <w:vAlign w:val="bottom"/>
            <w:shd w:val="clear" w:color="auto" w:fill="CCECFF"/>
          </w:tcPr>
          <w:p>
            <w:pPr>
              <w:spacing w:after="0"/>
              <w:rPr>
                <w:sz w:val="11"/>
                <w:szCs w:val="11"/>
                <w:color w:val="auto"/>
              </w:rPr>
            </w:pPr>
          </w:p>
        </w:tc>
      </w:tr>
      <w:tr>
        <w:trPr>
          <w:trHeight w:val="128"/>
        </w:trPr>
        <w:tc>
          <w:tcPr>
            <w:tcW w:w="302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Equity/Partnership Interests—3.6%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AH Holdings,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146,305</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Cascade Environmental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16.00%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178,304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17,607,478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19,539,097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597,394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NXOF Holdings, Inc. (Tyto Athene,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159,808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185,151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1,527,026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1,662,605</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(8),(11)</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7"/>
              </w:rPr>
              <w:t>Food</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219</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219,012</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249,437</w:t>
            </w:r>
          </w:p>
        </w:tc>
        <w:tc>
          <w:tcPr>
            <w:tcW w:w="100" w:type="dxa"/>
            <w:vAlign w:val="bottom"/>
            <w:tcBorders>
              <w:bottom w:val="single" w:sz="8" w:color="CCECFF"/>
            </w:tcBorders>
          </w:tcPr>
          <w:p>
            <w:pPr>
              <w:spacing w:after="0"/>
              <w:rPr>
                <w:sz w:val="11"/>
                <w:szCs w:val="11"/>
                <w:color w:val="auto"/>
              </w:rPr>
            </w:pPr>
          </w:p>
        </w:tc>
      </w:tr>
      <w:tr>
        <w:trPr>
          <w:trHeight w:val="129"/>
        </w:trPr>
        <w:tc>
          <w:tcPr>
            <w:tcW w:w="302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20,553,324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22,379,989</w:t>
            </w:r>
          </w:p>
        </w:tc>
        <w:tc>
          <w:tcPr>
            <w:tcW w:w="100" w:type="dxa"/>
            <w:vAlign w:val="bottom"/>
            <w:shd w:val="clear" w:color="auto" w:fill="CCECFF"/>
          </w:tcPr>
          <w:p>
            <w:pPr>
              <w:spacing w:after="0"/>
              <w:rPr>
                <w:sz w:val="11"/>
                <w:szCs w:val="11"/>
                <w:color w:val="auto"/>
              </w:rPr>
            </w:pPr>
          </w:p>
        </w:tc>
      </w:tr>
      <w:tr>
        <w:trPr>
          <w:trHeight w:val="128"/>
        </w:trPr>
        <w:tc>
          <w:tcPr>
            <w:tcW w:w="3020" w:type="dxa"/>
            <w:vAlign w:val="bottom"/>
          </w:tcPr>
          <w:p>
            <w:pPr>
              <w:spacing w:after="0"/>
              <w:rPr>
                <w:sz w:val="20"/>
                <w:szCs w:val="20"/>
                <w:color w:val="auto"/>
              </w:rPr>
            </w:pPr>
            <w:r>
              <w:rPr>
                <w:rFonts w:ascii="Arial" w:cs="Arial" w:eastAsia="Arial" w:hAnsi="Arial"/>
                <w:sz w:val="11"/>
                <w:szCs w:val="11"/>
                <w:b w:val="1"/>
                <w:bCs w:val="1"/>
                <w:color w:val="auto"/>
                <w:w w:val="98"/>
              </w:rPr>
              <w:t xml:space="preserve">Common Equity/Partnership Interests/Warrants—26.9% </w:t>
            </w:r>
            <w:r>
              <w:rPr>
                <w:rFonts w:ascii="Arial" w:cs="Arial" w:eastAsia="Arial" w:hAnsi="Arial"/>
                <w:sz w:val="9"/>
                <w:szCs w:val="9"/>
                <w:b w:val="1"/>
                <w:bCs w:val="1"/>
                <w:color w:val="auto"/>
                <w:w w:val="98"/>
              </w:rPr>
              <w:t>(6)</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Affinion Group Holdings, Inc. (Warrants)</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04/10/2024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77,190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2,126,399</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805,164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1,107,840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194,836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AH Holdings, Inc. (Warrants)</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03/23/2021</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753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Altamira Intermediate Company II,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79,659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ASP LCG Holdings, Inc. (Warrants)</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05/05/2026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933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586,975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1,927,258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Cascade Environmental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33,901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2,852,080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673,015</w:t>
            </w:r>
          </w:p>
        </w:tc>
        <w:tc>
          <w:tcPr>
            <w:tcW w:w="100" w:type="dxa"/>
            <w:vAlign w:val="bottom"/>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CI (Allied) Investment Holdings,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120,962</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1,243,217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272,538</w:t>
            </w:r>
          </w:p>
        </w:tc>
        <w:tc>
          <w:tcPr>
            <w:tcW w:w="100" w:type="dxa"/>
            <w:vAlign w:val="bottom"/>
          </w:tcPr>
          <w:p>
            <w:pPr>
              <w:spacing w:after="0"/>
              <w:rPr>
                <w:sz w:val="12"/>
                <w:szCs w:val="12"/>
                <w:color w:val="auto"/>
              </w:rPr>
            </w:pPr>
          </w:p>
        </w:tc>
      </w:tr>
      <w:tr>
        <w:trPr>
          <w:trHeight w:val="131"/>
        </w:trPr>
        <w:tc>
          <w:tcPr>
            <w:tcW w:w="3020" w:type="dxa"/>
            <w:vAlign w:val="bottom"/>
          </w:tcPr>
          <w:p>
            <w:pPr>
              <w:ind w:left="14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CI (Summit) Investment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Buildings and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134,180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1,409,866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2,113,202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Arial" w:cs="Arial" w:eastAsia="Arial" w:hAnsi="Arial"/>
                <w:sz w:val="11"/>
                <w:szCs w:val="11"/>
                <w:color w:val="auto"/>
              </w:rPr>
              <w:t>(SFP Holdings,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Cowboy Parent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22,500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2,250,000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1,193,867</w:t>
            </w:r>
          </w:p>
        </w:tc>
        <w:tc>
          <w:tcPr>
            <w:tcW w:w="100" w:type="dxa"/>
            <w:vAlign w:val="bottom"/>
          </w:tcPr>
          <w:p>
            <w:pPr>
              <w:spacing w:after="0"/>
              <w:rPr>
                <w:sz w:val="12"/>
                <w:szCs w:val="12"/>
                <w:color w:val="auto"/>
              </w:rPr>
            </w:pPr>
          </w:p>
        </w:tc>
      </w:tr>
      <w:tr>
        <w:trPr>
          <w:trHeight w:val="131"/>
        </w:trPr>
        <w:tc>
          <w:tcPr>
            <w:tcW w:w="3020" w:type="dxa"/>
            <w:vAlign w:val="bottom"/>
          </w:tcPr>
          <w:p>
            <w:pPr>
              <w:ind w:left="140"/>
              <w:spacing w:after="0"/>
              <w:rPr>
                <w:sz w:val="20"/>
                <w:szCs w:val="20"/>
                <w:color w:val="auto"/>
              </w:rPr>
            </w:pPr>
            <w:r>
              <w:rPr>
                <w:rFonts w:ascii="Arial" w:cs="Arial" w:eastAsia="Arial" w:hAnsi="Arial"/>
                <w:sz w:val="11"/>
                <w:szCs w:val="11"/>
                <w:color w:val="auto"/>
              </w:rPr>
              <w:t>(Blackhawk Industrial Distribution,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DecoPac Holdings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3,449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3,448,658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4,327,101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570,522</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570,522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587,029</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9"/>
                <w:szCs w:val="9"/>
                <w:color w:val="auto"/>
              </w:rPr>
              <w:t>(7), (9)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570,522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167,537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167,537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437,342</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1,004,625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827,595</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Faraday Holdings,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Building Materials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4,277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217,635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1,463,248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Gauge Lash Coinvest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889,376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1,053,800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1,669,180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Gauge Schlesinger Coinvest,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8,896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6,460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Gauge TVC Coinvest,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810,645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1,536,698</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Arial" w:cs="Arial" w:eastAsia="Arial" w:hAnsi="Arial"/>
                <w:sz w:val="11"/>
                <w:szCs w:val="11"/>
                <w:color w:val="auto"/>
              </w:rPr>
              <w:t>(TVC Enterprises, LLC)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111,574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Go Dawgs Capital III,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Building Materials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675,325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675,325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864,416</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Green Veracity Holdings, LP - Class A</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3,673,072</w:t>
            </w:r>
          </w:p>
        </w:tc>
        <w:tc>
          <w:tcPr>
            <w:tcW w:w="100" w:type="dxa"/>
            <w:vAlign w:val="bottom"/>
          </w:tcPr>
          <w:p>
            <w:pPr>
              <w:spacing w:after="0"/>
              <w:rPr>
                <w:sz w:val="12"/>
                <w:szCs w:val="12"/>
                <w:color w:val="auto"/>
              </w:rPr>
            </w:pPr>
          </w:p>
        </w:tc>
      </w:tr>
      <w:tr>
        <w:trPr>
          <w:trHeight w:val="131"/>
        </w:trPr>
        <w:tc>
          <w:tcPr>
            <w:tcW w:w="3020" w:type="dxa"/>
            <w:vAlign w:val="bottom"/>
          </w:tcPr>
          <w:p>
            <w:pPr>
              <w:ind w:left="140"/>
              <w:spacing w:after="0"/>
              <w:rPr>
                <w:sz w:val="20"/>
                <w:szCs w:val="20"/>
                <w:color w:val="auto"/>
              </w:rPr>
            </w:pPr>
            <w:r>
              <w:rPr>
                <w:rFonts w:ascii="Arial" w:cs="Arial" w:eastAsia="Arial" w:hAnsi="Arial"/>
                <w:sz w:val="11"/>
                <w:szCs w:val="11"/>
                <w:color w:val="auto"/>
              </w:rPr>
              <w:t>(VT Topco,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Hancock Claims Consultants Investors,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494,750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Infogroup Parent Holdings, Inc. (Data Axle,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Other 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181,495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2,040,000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3,146,031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Ironclad Holdco, LLC (Applied Technical Services,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3,960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396,000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420,230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375,675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2,455,540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72,968,079</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JWC-WE Holdings,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Home and Office Furnishings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1,906,433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1,906,433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16,744,417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40"/>
        </w:trPr>
        <w:tc>
          <w:tcPr>
            <w:tcW w:w="3020" w:type="dxa"/>
            <w:vAlign w:val="bottom"/>
          </w:tcPr>
          <w:p>
            <w:pPr>
              <w:spacing w:after="0"/>
              <w:rPr>
                <w:sz w:val="20"/>
                <w:szCs w:val="20"/>
                <w:color w:val="auto"/>
              </w:rPr>
            </w:pPr>
            <w:r>
              <w:rPr>
                <w:rFonts w:ascii="Arial" w:cs="Arial" w:eastAsia="Arial" w:hAnsi="Arial"/>
                <w:sz w:val="11"/>
                <w:szCs w:val="11"/>
                <w:color w:val="auto"/>
              </w:rPr>
              <w:t xml:space="preserve">Kadmon Holdings, Inc. </w:t>
            </w:r>
            <w:r>
              <w:rPr>
                <w:rFonts w:ascii="Arial" w:cs="Arial" w:eastAsia="Arial" w:hAnsi="Arial"/>
                <w:sz w:val="9"/>
                <w:szCs w:val="9"/>
                <w:color w:val="auto"/>
              </w:rPr>
              <w:t>(5)</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252,014</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2,265,639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980,334</w:t>
            </w:r>
          </w:p>
        </w:tc>
        <w:tc>
          <w:tcPr>
            <w:tcW w:w="100" w:type="dxa"/>
            <w:vAlign w:val="bottom"/>
          </w:tcPr>
          <w:p>
            <w:pPr>
              <w:spacing w:after="0"/>
              <w:rPr>
                <w:sz w:val="12"/>
                <w:szCs w:val="12"/>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Maturity /</w:t>
            </w: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Expiration</w:t>
            </w: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Coupon</w:t>
            </w: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2"/>
              </w:rPr>
              <w:t>Shares</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(3)</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Kentucky Racing Holdco, LLC (Warrants)</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161,252</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681,840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rPr>
                <w:sz w:val="20"/>
                <w:szCs w:val="20"/>
                <w:color w:val="auto"/>
              </w:rPr>
            </w:pPr>
            <w:r>
              <w:rPr>
                <w:rFonts w:ascii="Arial" w:cs="Arial" w:eastAsia="Arial" w:hAnsi="Arial"/>
                <w:sz w:val="11"/>
                <w:szCs w:val="11"/>
                <w:color w:val="auto"/>
              </w:rPr>
              <w:t xml:space="preserve">Lariat ecoserv Co-Invest Holdings,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363,656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363,656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780,007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Lightspeed Investment Holdco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273,143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273,143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336,625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540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NEPRT Parent Holdings, LLC (Recteq,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Consumer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1,298,701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1,342,636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NXOF Holdings, Inc.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3,261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3,261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25,350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140"/>
              <w:spacing w:after="0"/>
              <w:rPr>
                <w:sz w:val="20"/>
                <w:szCs w:val="20"/>
                <w:color w:val="auto"/>
              </w:rPr>
            </w:pPr>
            <w:r>
              <w:rPr>
                <w:rFonts w:ascii="Arial" w:cs="Arial" w:eastAsia="Arial" w:hAnsi="Arial"/>
                <w:sz w:val="11"/>
                <w:szCs w:val="11"/>
                <w:color w:val="auto"/>
              </w:rPr>
              <w:t>(Tyto Athene, LLC)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OceanSound Discovery Equity,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982,857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956,095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rPr>
              <w:t xml:space="preserve">(Holdco Sands Intermediate,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65,957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424,767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rPr>
                <w:sz w:val="20"/>
                <w:szCs w:val="20"/>
                <w:color w:val="auto"/>
              </w:rPr>
            </w:pPr>
            <w:r>
              <w:rPr>
                <w:rFonts w:ascii="Arial" w:cs="Arial" w:eastAsia="Arial" w:hAnsi="Arial"/>
                <w:sz w:val="11"/>
                <w:szCs w:val="11"/>
                <w:color w:val="auto"/>
              </w:rPr>
              <w:t xml:space="preserve">QuantiTech InvestCo II LP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24,000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RFMG Parent, LP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SBI Holdings Investments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36,585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365,854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156,798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140"/>
              <w:spacing w:after="0"/>
              <w:rPr>
                <w:sz w:val="20"/>
                <w:szCs w:val="20"/>
                <w:color w:val="auto"/>
              </w:rPr>
            </w:pPr>
            <w:r>
              <w:rPr>
                <w:rFonts w:ascii="Arial" w:cs="Arial" w:eastAsia="Arial" w:hAnsi="Arial"/>
                <w:sz w:val="11"/>
                <w:szCs w:val="11"/>
                <w:color w:val="auto"/>
              </w:rPr>
              <w:t>(Sales Benchmark Index LLC)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80,370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1,500,000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1,749,600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140"/>
              <w:spacing w:after="0"/>
              <w:rPr>
                <w:sz w:val="20"/>
                <w:szCs w:val="20"/>
                <w:color w:val="auto"/>
              </w:rPr>
            </w:pPr>
            <w:r>
              <w:rPr>
                <w:rFonts w:ascii="Arial" w:cs="Arial" w:eastAsia="Arial" w:hAnsi="Arial"/>
                <w:sz w:val="11"/>
                <w:szCs w:val="11"/>
                <w:color w:val="auto"/>
              </w:rPr>
              <w:t>Class A (US Dominion, Inc.)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4,949,724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rPr>
              <w:t>Class B (US Dominion, Inc.)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rPr>
                <w:sz w:val="20"/>
                <w:szCs w:val="20"/>
                <w:color w:val="auto"/>
              </w:rPr>
            </w:pPr>
            <w:r>
              <w:rPr>
                <w:rFonts w:ascii="Arial" w:cs="Arial" w:eastAsia="Arial" w:hAnsi="Arial"/>
                <w:sz w:val="11"/>
                <w:szCs w:val="11"/>
                <w:color w:val="auto"/>
              </w:rPr>
              <w:t xml:space="preserve">TAC LifePort Holdings,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232,558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232,558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232,914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(8).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Food</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11,527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11,527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rPr>
                <w:sz w:val="20"/>
                <w:szCs w:val="20"/>
                <w:color w:val="auto"/>
              </w:rPr>
            </w:pPr>
            <w:r>
              <w:rPr>
                <w:rFonts w:ascii="Arial" w:cs="Arial" w:eastAsia="Arial" w:hAnsi="Arial"/>
                <w:sz w:val="11"/>
                <w:szCs w:val="11"/>
                <w:color w:val="auto"/>
              </w:rPr>
              <w:t xml:space="preserve">U.S. Well Services, Inc. - Class A </w:t>
            </w:r>
            <w:r>
              <w:rPr>
                <w:rFonts w:ascii="Arial" w:cs="Arial" w:eastAsia="Arial" w:hAnsi="Arial"/>
                <w:sz w:val="9"/>
                <w:szCs w:val="9"/>
                <w:color w:val="auto"/>
              </w:rPr>
              <w:t>(5),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1,261,201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3,021,880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1,311,649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WBB Equity,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628,571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628,571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3,916,000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Wheel Pros Holdings, L.P.</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3,778,704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545,210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26,400,357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140"/>
              <w:spacing w:after="0"/>
              <w:rPr>
                <w:sz w:val="20"/>
                <w:szCs w:val="20"/>
                <w:color w:val="auto"/>
              </w:rPr>
            </w:pPr>
            <w:r>
              <w:rPr>
                <w:rFonts w:ascii="Arial" w:cs="Arial" w:eastAsia="Arial" w:hAnsi="Arial"/>
                <w:sz w:val="11"/>
                <w:szCs w:val="11"/>
                <w:color w:val="auto"/>
              </w:rPr>
              <w:t>(Winter Park Intermediate, Inc.)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Wildcat Parent, LP (Wildcat Buyerco,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2,314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231,400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342,475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ZS Juniper L.P.</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1,056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1,056,247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4,275,988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Borders>
              <w:bottom w:val="single" w:sz="8" w:color="CCECFF"/>
            </w:tcBorders>
            <w:gridSpan w:val="2"/>
          </w:tcPr>
          <w:p>
            <w:pPr>
              <w:ind w:left="140"/>
              <w:spacing w:after="0"/>
              <w:rPr>
                <w:sz w:val="20"/>
                <w:szCs w:val="20"/>
                <w:color w:val="auto"/>
              </w:rPr>
            </w:pPr>
            <w:r>
              <w:rPr>
                <w:rFonts w:ascii="Arial" w:cs="Arial" w:eastAsia="Arial" w:hAnsi="Arial"/>
                <w:sz w:val="11"/>
                <w:szCs w:val="11"/>
                <w:color w:val="auto"/>
              </w:rPr>
              <w:t xml:space="preserve">(Juniper Landscaping of Florida, LLC) </w:t>
            </w:r>
            <w:r>
              <w:rPr>
                <w:rFonts w:ascii="Arial" w:cs="Arial" w:eastAsia="Arial" w:hAnsi="Arial"/>
                <w:sz w:val="9"/>
                <w:szCs w:val="9"/>
                <w:color w:val="auto"/>
              </w:rPr>
              <w:t>(9)</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41,294,503</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166,568,396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20" w:type="dxa"/>
            <w:vAlign w:val="bottom"/>
            <w:tcBorders>
              <w:bottom w:val="single" w:sz="8" w:color="CCECFF"/>
            </w:tcBorders>
            <w:gridSpan w:val="5"/>
          </w:tcPr>
          <w:p>
            <w:pPr>
              <w:spacing w:after="0"/>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646,758,885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773,788,326</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20" w:type="dxa"/>
            <w:vAlign w:val="bottom"/>
            <w:gridSpan w:val="5"/>
            <w:shd w:val="clear" w:color="auto" w:fill="CCECFF"/>
          </w:tcPr>
          <w:p>
            <w:pPr>
              <w:spacing w:after="0"/>
              <w:rPr>
                <w:sz w:val="20"/>
                <w:szCs w:val="20"/>
                <w:color w:val="auto"/>
              </w:rPr>
            </w:pPr>
            <w:r>
              <w:rPr>
                <w:rFonts w:ascii="Arial" w:cs="Arial" w:eastAsia="Arial" w:hAnsi="Arial"/>
                <w:sz w:val="11"/>
                <w:szCs w:val="11"/>
                <w:b w:val="1"/>
                <w:bCs w:val="1"/>
                <w:color w:val="auto"/>
                <w:w w:val="95"/>
              </w:rPr>
              <w:t xml:space="preserve">Investments in Non-Controlled, Affiliated Portfolio Companies—11.5% </w:t>
            </w:r>
            <w:r>
              <w:rPr>
                <w:rFonts w:ascii="Arial" w:cs="Arial" w:eastAsia="Arial" w:hAnsi="Arial"/>
                <w:sz w:val="9"/>
                <w:szCs w:val="9"/>
                <w:b w:val="1"/>
                <w:bCs w:val="1"/>
                <w:color w:val="auto"/>
                <w:w w:val="95"/>
              </w:rPr>
              <w:t>(1), (2)</w:t>
            </w: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rPr>
                <w:sz w:val="20"/>
                <w:szCs w:val="20"/>
                <w:color w:val="auto"/>
              </w:rPr>
            </w:pPr>
            <w:r>
              <w:rPr>
                <w:rFonts w:ascii="Arial" w:cs="Arial" w:eastAsia="Arial" w:hAnsi="Arial"/>
                <w:sz w:val="11"/>
                <w:szCs w:val="11"/>
                <w:b w:val="1"/>
                <w:bCs w:val="1"/>
                <w:color w:val="auto"/>
              </w:rPr>
              <w:t>Second Lien Secured Debt—1.7%</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Mailsouth Inc.</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04/23/2025</w:t>
            </w: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15.00%</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10,318,353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10,318,353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10,318,353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15.00%)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10,318,353</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10,318,353</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Equity/Partnership Interests—5.8% </w:t>
            </w:r>
            <w:r>
              <w:rPr>
                <w:rFonts w:ascii="Arial" w:cs="Arial" w:eastAsia="Arial" w:hAnsi="Arial"/>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61,732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6,173,200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153,922</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15,392,189</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36,139,140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21,565,389</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36,139,140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w w:val="98"/>
              </w:rPr>
              <w:t xml:space="preserve">Common Equity/Partnership Interests/Warrants—4.0% </w:t>
            </w:r>
            <w:r>
              <w:rPr>
                <w:rFonts w:ascii="Arial" w:cs="Arial" w:eastAsia="Arial" w:hAnsi="Arial"/>
                <w:sz w:val="9"/>
                <w:szCs w:val="9"/>
                <w:b w:val="1"/>
                <w:bCs w:val="1"/>
                <w:color w:val="auto"/>
                <w:w w:val="98"/>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1,658,389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29,711,576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ETX Energy Management Company,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1,754,104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1,562,020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65,933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24,789,935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7,047,058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MSpark,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51,151</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16,515,842</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17,900,097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72,579,373</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24,947,155</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20" w:type="dxa"/>
            <w:vAlign w:val="bottom"/>
            <w:gridSpan w:val="5"/>
            <w:shd w:val="clear" w:color="auto" w:fill="CCECFF"/>
          </w:tcPr>
          <w:p>
            <w:pPr>
              <w:spacing w:after="0"/>
              <w:rPr>
                <w:sz w:val="20"/>
                <w:szCs w:val="20"/>
                <w:color w:val="auto"/>
              </w:rPr>
            </w:pPr>
            <w:r>
              <w:rPr>
                <w:rFonts w:ascii="Arial" w:cs="Arial" w:eastAsia="Arial" w:hAnsi="Arial"/>
                <w:sz w:val="11"/>
                <w:szCs w:val="11"/>
                <w:b w:val="1"/>
                <w:bCs w:val="1"/>
                <w:color w:val="auto"/>
              </w:rPr>
              <w:t>Total Investments in Non-Controlled, Affiliated Portfolio Companies</w:t>
            </w: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104,463,115</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71,404,648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20" w:type="dxa"/>
            <w:vAlign w:val="bottom"/>
            <w:gridSpan w:val="5"/>
          </w:tcPr>
          <w:p>
            <w:pPr>
              <w:spacing w:after="0"/>
              <w:rPr>
                <w:sz w:val="20"/>
                <w:szCs w:val="20"/>
                <w:color w:val="auto"/>
              </w:rPr>
            </w:pPr>
            <w:r>
              <w:rPr>
                <w:rFonts w:ascii="Arial" w:cs="Arial" w:eastAsia="Arial" w:hAnsi="Arial"/>
                <w:sz w:val="11"/>
                <w:szCs w:val="11"/>
                <w:b w:val="1"/>
                <w:bCs w:val="1"/>
                <w:color w:val="auto"/>
              </w:rPr>
              <w:t xml:space="preserve">Investments in Controlled, Affiliated Portfolio Companies—53.3% </w:t>
            </w:r>
            <w:r>
              <w:rPr>
                <w:rFonts w:ascii="Arial" w:cs="Arial" w:eastAsia="Arial" w:hAnsi="Arial"/>
                <w:sz w:val="9"/>
                <w:szCs w:val="9"/>
                <w:b w:val="1"/>
                <w:bCs w:val="1"/>
                <w:color w:val="auto"/>
              </w:rPr>
              <w:t>(1), (2)</w:t>
            </w: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First Lien Secured Debt—6.7%</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620" w:type="dxa"/>
            <w:vAlign w:val="bottom"/>
            <w:tcBorders>
              <w:bottom w:val="single" w:sz="8" w:color="CCECFF"/>
            </w:tcBorders>
            <w:gridSpan w:val="2"/>
          </w:tcPr>
          <w:p>
            <w:pPr>
              <w:ind w:left="120"/>
              <w:spacing w:after="0"/>
              <w:rPr>
                <w:sz w:val="20"/>
                <w:szCs w:val="20"/>
                <w:color w:val="auto"/>
              </w:rPr>
            </w:pPr>
            <w:r>
              <w:rPr>
                <w:rFonts w:ascii="Arial" w:cs="Arial" w:eastAsia="Arial" w:hAnsi="Arial"/>
                <w:sz w:val="11"/>
                <w:szCs w:val="11"/>
                <w:color w:val="auto"/>
                <w:w w:val="87"/>
              </w:rPr>
              <w:t>03/13/2024</w:t>
            </w:r>
          </w:p>
        </w:tc>
        <w:tc>
          <w:tcPr>
            <w:tcW w:w="240" w:type="dxa"/>
            <w:vAlign w:val="bottom"/>
            <w:tcBorders>
              <w:bottom w:val="single" w:sz="8" w:color="CCECFF"/>
            </w:tcBorders>
          </w:tcPr>
          <w:p>
            <w:pPr>
              <w:spacing w:after="0"/>
              <w:rPr>
                <w:sz w:val="11"/>
                <w:szCs w:val="11"/>
                <w:color w:val="auto"/>
              </w:rPr>
            </w:pPr>
          </w:p>
        </w:tc>
        <w:tc>
          <w:tcPr>
            <w:tcW w:w="27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7.50%</w:t>
            </w:r>
          </w:p>
        </w:tc>
        <w:tc>
          <w:tcPr>
            <w:tcW w:w="8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3M L+650</w:t>
            </w:r>
          </w:p>
        </w:tc>
        <w:tc>
          <w:tcPr>
            <w:tcW w:w="340" w:type="dxa"/>
            <w:vAlign w:val="bottom"/>
            <w:tcBorders>
              <w:bottom w:val="single" w:sz="8" w:color="CCECFF"/>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w w:val="94"/>
              </w:rPr>
              <w:t>30,000,000</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41,696,550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41,391,000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41,696,550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41,391,000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gridSpan w:val="2"/>
          </w:tcPr>
          <w:p>
            <w:pPr>
              <w:spacing w:after="0"/>
              <w:rPr>
                <w:sz w:val="20"/>
                <w:szCs w:val="20"/>
                <w:color w:val="auto"/>
              </w:rPr>
            </w:pPr>
            <w:r>
              <w:rPr>
                <w:rFonts w:ascii="Arial" w:cs="Arial" w:eastAsia="Arial" w:hAnsi="Arial"/>
                <w:sz w:val="11"/>
                <w:szCs w:val="11"/>
                <w:b w:val="1"/>
                <w:bCs w:val="1"/>
                <w:color w:val="auto"/>
              </w:rPr>
              <w:t>Second Lien Secured Debt—9.0%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PT Network Intermediate Holdings, LLC</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11/30/2024</w:t>
            </w: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L+1,000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55,471,238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55,136,936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55,471,237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11.00%)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55,136,936</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55,471,237</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Subordinated Debt—10.4%</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9"/>
                <w:szCs w:val="9"/>
                <w:color w:val="auto"/>
              </w:rPr>
              <w:t>(11)</w:t>
            </w:r>
          </w:p>
        </w:tc>
        <w:tc>
          <w:tcPr>
            <w:tcW w:w="620" w:type="dxa"/>
            <w:vAlign w:val="bottom"/>
            <w:tcBorders>
              <w:bottom w:val="single" w:sz="8" w:color="CCECFF"/>
            </w:tcBorders>
            <w:gridSpan w:val="2"/>
          </w:tcPr>
          <w:p>
            <w:pPr>
              <w:ind w:left="120"/>
              <w:spacing w:after="0"/>
              <w:rPr>
                <w:sz w:val="20"/>
                <w:szCs w:val="20"/>
                <w:color w:val="auto"/>
              </w:rPr>
            </w:pPr>
            <w:r>
              <w:rPr>
                <w:rFonts w:ascii="Arial" w:cs="Arial" w:eastAsia="Arial" w:hAnsi="Arial"/>
                <w:sz w:val="11"/>
                <w:szCs w:val="11"/>
                <w:color w:val="auto"/>
                <w:w w:val="87"/>
              </w:rPr>
              <w:t>07/31/2027</w:t>
            </w:r>
          </w:p>
        </w:tc>
        <w:tc>
          <w:tcPr>
            <w:tcW w:w="240" w:type="dxa"/>
            <w:vAlign w:val="bottom"/>
            <w:tcBorders>
              <w:bottom w:val="single" w:sz="8" w:color="CCECFF"/>
            </w:tcBorders>
          </w:tcPr>
          <w:p>
            <w:pPr>
              <w:spacing w:after="0"/>
              <w:rPr>
                <w:sz w:val="11"/>
                <w:szCs w:val="11"/>
                <w:color w:val="auto"/>
              </w:rPr>
            </w:pPr>
          </w:p>
        </w:tc>
        <w:tc>
          <w:tcPr>
            <w:tcW w:w="27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9.00%</w:t>
            </w:r>
          </w:p>
        </w:tc>
        <w:tc>
          <w:tcPr>
            <w:tcW w:w="8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3M L+800</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w w:val="94"/>
              </w:rPr>
              <w:t>64,154,570</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64,154,571</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64,154,571</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Subordinated Debt</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64,154,571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64,154,571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Preferred Equity—2.1%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36,450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546,750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7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11.00%</w:t>
            </w:r>
          </w:p>
        </w:tc>
        <w:tc>
          <w:tcPr>
            <w:tcW w:w="8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3M L+1,000</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833</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10,725,000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12,812,316</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Preferred Equity</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11,271,750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12,812,316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Common Equity—25.2%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132,497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3,303,354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gridSpan w:val="2"/>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333,333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5,000,000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2960" w:type="dxa"/>
            <w:vAlign w:val="bottom"/>
            <w:gridSpan w:val="2"/>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9"/>
                <w:szCs w:val="9"/>
                <w:color w:val="auto"/>
              </w:rPr>
              <w:t>(11)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33,830,005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33,892,823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40,239,290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7,157,560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34,989,451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RAM Energy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Energy and Utilities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180,805</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162,708,073</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77,683,350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Common Equity</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208,890,953</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156,215,445</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w w:val="89"/>
              </w:rPr>
              <w:t>Total Investments in Controlled, Affiliated Portfolio Companies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381,150,760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330,044,569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Investments—189.8%</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8"/>
              </w:rPr>
              <w:t>1,132,372,760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1,175,237,543</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Cash and Cash Equivalents—5.5%</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32,327,289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32,327,289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BNY Mellon Cash Reserve and Cash</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1,505,980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1,528,207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33,833,269</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33,855,496</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 and Cash Equivalents—195.3%</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88"/>
              </w:rPr>
              <w:t>1,166,206,029</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3"/>
              </w:rPr>
              <w:t>1,209,093,039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CFF"/>
              <w:bottom w:val="single" w:sz="8" w:color="CCECFF"/>
            </w:tcBorders>
            <w:gridSpan w:val="2"/>
            <w:vMerge w:val="restart"/>
          </w:tcPr>
          <w:p>
            <w:pPr>
              <w:spacing w:after="0"/>
              <w:rPr>
                <w:sz w:val="20"/>
                <w:szCs w:val="20"/>
                <w:color w:val="auto"/>
              </w:rPr>
            </w:pPr>
            <w:r>
              <w:rPr>
                <w:rFonts w:ascii="Arial" w:cs="Arial" w:eastAsia="Arial" w:hAnsi="Arial"/>
                <w:sz w:val="11"/>
                <w:szCs w:val="11"/>
                <w:b w:val="1"/>
                <w:bCs w:val="1"/>
                <w:color w:val="auto"/>
              </w:rPr>
              <w:t>Liabilities in Excess of Other Assets—(95.3%)</w:t>
            </w:r>
          </w:p>
        </w:tc>
        <w:tc>
          <w:tcPr>
            <w:tcW w:w="120" w:type="dxa"/>
            <w:vAlign w:val="bottom"/>
            <w:tcBorders>
              <w:top w:val="single" w:sz="8" w:color="CCECFF"/>
            </w:tcBorders>
          </w:tcPr>
          <w:p>
            <w:pPr>
              <w:spacing w:after="0" w:line="20" w:lineRule="exact"/>
              <w:rPr>
                <w:sz w:val="1"/>
                <w:szCs w:val="1"/>
                <w:color w:val="auto"/>
              </w:rPr>
            </w:pPr>
          </w:p>
        </w:tc>
        <w:tc>
          <w:tcPr>
            <w:tcW w:w="5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58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8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5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(589,846,144)</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Net Assets—100.0%</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619,246,895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CFF"/>
            </w:tcBorders>
          </w:tcPr>
          <w:p>
            <w:pPr>
              <w:spacing w:after="0" w:line="20" w:lineRule="exact"/>
              <w:rPr>
                <w:sz w:val="1"/>
                <w:szCs w:val="1"/>
                <w:color w:val="auto"/>
              </w:rPr>
            </w:pPr>
          </w:p>
        </w:tc>
        <w:tc>
          <w:tcPr>
            <w:tcW w:w="84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5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58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8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5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120" w:type="dxa"/>
            <w:vAlign w:val="bottom"/>
            <w:tcBorders>
              <w:bottom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 w:name="page11"/>
    <w:bookmarkEnd w:id="10"/>
    <w:p>
      <w:pPr>
        <w:ind w:left="372" w:hanging="372"/>
        <w:spacing w:after="0" w:line="252" w:lineRule="auto"/>
        <w:tabs>
          <w:tab w:leader="none" w:pos="372"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72" w:hanging="372"/>
        <w:spacing w:after="0" w:line="252" w:lineRule="auto"/>
        <w:tabs>
          <w:tab w:leader="none" w:pos="372"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20" w:lineRule="exact"/>
        <w:rPr>
          <w:rFonts w:ascii="Arial" w:cs="Arial" w:eastAsia="Arial" w:hAnsi="Arial"/>
          <w:sz w:val="12"/>
          <w:szCs w:val="12"/>
          <w:color w:val="auto"/>
        </w:rPr>
      </w:pPr>
    </w:p>
    <w:p>
      <w:pPr>
        <w:ind w:left="372" w:hanging="372"/>
        <w:spacing w:after="0"/>
        <w:tabs>
          <w:tab w:leader="none" w:pos="372"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72" w:right="120" w:hanging="372"/>
        <w:spacing w:after="0" w:line="269" w:lineRule="auto"/>
        <w:tabs>
          <w:tab w:leader="none" w:pos="372"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spacing w:after="0" w:line="13" w:lineRule="exact"/>
        <w:rPr>
          <w:rFonts w:ascii="Arial" w:cs="Arial" w:eastAsia="Arial" w:hAnsi="Arial"/>
          <w:sz w:val="11"/>
          <w:szCs w:val="11"/>
          <w:color w:val="auto"/>
        </w:rPr>
      </w:pPr>
    </w:p>
    <w:p>
      <w:pPr>
        <w:ind w:left="372" w:hanging="372"/>
        <w:spacing w:after="0"/>
        <w:tabs>
          <w:tab w:leader="none" w:pos="372"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72" w:hanging="372"/>
        <w:spacing w:after="0"/>
        <w:tabs>
          <w:tab w:leader="none" w:pos="372"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spacing w:after="0" w:line="37" w:lineRule="exact"/>
        <w:rPr>
          <w:rFonts w:ascii="Arial" w:cs="Arial" w:eastAsia="Arial" w:hAnsi="Arial"/>
          <w:sz w:val="12"/>
          <w:szCs w:val="12"/>
          <w:color w:val="auto"/>
        </w:rPr>
      </w:pPr>
    </w:p>
    <w:p>
      <w:pPr>
        <w:ind w:left="372" w:right="20" w:hanging="372"/>
        <w:spacing w:after="0" w:line="297" w:lineRule="auto"/>
        <w:tabs>
          <w:tab w:leader="none" w:pos="372"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2021, qualifying assets represent 87% of the Company’s total assets and non-qualifying assets represent 13% of the Company’s total assets.</w:t>
      </w: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61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740" w:type="dxa"/>
            <w:vAlign w:val="bottom"/>
          </w:tcPr>
          <w:p>
            <w:pPr>
              <w:spacing w:after="0"/>
              <w:rPr>
                <w:sz w:val="10"/>
                <w:szCs w:val="10"/>
                <w:color w:val="auto"/>
              </w:rPr>
            </w:pPr>
          </w:p>
        </w:tc>
        <w:tc>
          <w:tcPr>
            <w:tcW w:w="1160" w:type="dxa"/>
            <w:vAlign w:val="bottom"/>
          </w:tcPr>
          <w:p>
            <w:pPr>
              <w:ind w:left="480"/>
              <w:spacing w:after="0" w:line="122" w:lineRule="exact"/>
              <w:rPr>
                <w:sz w:val="20"/>
                <w:szCs w:val="20"/>
                <w:color w:val="auto"/>
              </w:rPr>
            </w:pPr>
            <w:r>
              <w:rPr>
                <w:rFonts w:ascii="Arial" w:cs="Arial" w:eastAsia="Arial" w:hAnsi="Arial"/>
                <w:sz w:val="11"/>
                <w:szCs w:val="11"/>
                <w:b w:val="1"/>
                <w:bCs w:val="1"/>
                <w:color w:val="auto"/>
              </w:rPr>
              <w:t>Maturity /</w:t>
            </w: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2"/>
              </w:rPr>
              <w:t>Par /</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160" w:type="dxa"/>
            <w:vAlign w:val="bottom"/>
          </w:tcPr>
          <w:p>
            <w:pPr>
              <w:ind w:left="460"/>
              <w:spacing w:after="0"/>
              <w:rPr>
                <w:sz w:val="20"/>
                <w:szCs w:val="20"/>
                <w:color w:val="auto"/>
              </w:rPr>
            </w:pPr>
            <w:r>
              <w:rPr>
                <w:rFonts w:ascii="Arial" w:cs="Arial" w:eastAsia="Arial" w:hAnsi="Arial"/>
                <w:sz w:val="11"/>
                <w:szCs w:val="11"/>
                <w:b w:val="1"/>
                <w:bCs w:val="1"/>
                <w:color w:val="auto"/>
              </w:rPr>
              <w:t>Expiration</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Industry</w:t>
            </w:r>
          </w:p>
        </w:tc>
        <w:tc>
          <w:tcPr>
            <w:tcW w:w="8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Coupon</w:t>
            </w:r>
          </w:p>
        </w:tc>
        <w:tc>
          <w:tcPr>
            <w:tcW w:w="140" w:type="dxa"/>
            <w:vAlign w:val="bottom"/>
          </w:tcPr>
          <w:p>
            <w:pPr>
              <w:spacing w:after="0"/>
              <w:rPr>
                <w:sz w:val="11"/>
                <w:szCs w:val="11"/>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1"/>
              </w:rPr>
              <w:t>Shares</w:t>
            </w: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r>
      <w:tr>
        <w:trPr>
          <w:trHeight w:val="129"/>
        </w:trPr>
        <w:tc>
          <w:tcPr>
            <w:tcW w:w="39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2"/>
              </w:rPr>
              <w:t xml:space="preserve">Investments in Non-Controlled, Non-Affiliated Portfolio Companies—139.9 </w:t>
            </w:r>
            <w:r>
              <w:rPr>
                <w:rFonts w:ascii="Arial" w:cs="Arial" w:eastAsia="Arial" w:hAnsi="Arial"/>
                <w:sz w:val="9"/>
                <w:szCs w:val="9"/>
                <w:b w:val="1"/>
                <w:bCs w:val="1"/>
                <w:color w:val="auto"/>
                <w:w w:val="92"/>
              </w:rPr>
              <w:t>(1), (2)</w:t>
            </w:r>
          </w:p>
        </w:tc>
        <w:tc>
          <w:tcPr>
            <w:tcW w:w="26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First Lien Secured Debt—76.5%</w:t>
            </w:r>
          </w:p>
        </w:tc>
        <w:tc>
          <w:tcPr>
            <w:tcW w:w="11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18 Freemont Street Acquisition, LLC</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08/11/2025</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Hotels, Motels, Inns and Gaming</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9.50%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8,302,303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7,543,090</w:t>
            </w:r>
          </w:p>
        </w:tc>
        <w:tc>
          <w:tcPr>
            <w:tcW w:w="34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7,887,188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Altamira Technologies, LLC (Revolver)</w:t>
            </w:r>
          </w:p>
        </w:tc>
        <w:tc>
          <w:tcPr>
            <w:tcW w:w="1160" w:type="dxa"/>
            <w:vAlign w:val="bottom"/>
          </w:tcPr>
          <w:p>
            <w:pPr>
              <w:ind w:left="460"/>
              <w:spacing w:after="0"/>
              <w:rPr>
                <w:sz w:val="20"/>
                <w:szCs w:val="20"/>
                <w:color w:val="auto"/>
              </w:rPr>
            </w:pPr>
            <w:r>
              <w:rPr>
                <w:rFonts w:ascii="Arial" w:cs="Arial" w:eastAsia="Arial" w:hAnsi="Arial"/>
                <w:sz w:val="11"/>
                <w:szCs w:val="11"/>
                <w:color w:val="auto"/>
              </w:rPr>
              <w:t>07/24/2025</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125,000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125,000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120,625</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07/24/2025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62,500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(2,188)</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American Insulated Glass, LLC</w:t>
            </w:r>
          </w:p>
        </w:tc>
        <w:tc>
          <w:tcPr>
            <w:tcW w:w="1160" w:type="dxa"/>
            <w:vAlign w:val="bottom"/>
          </w:tcPr>
          <w:p>
            <w:pPr>
              <w:ind w:left="460"/>
              <w:spacing w:after="0"/>
              <w:rPr>
                <w:sz w:val="20"/>
                <w:szCs w:val="20"/>
                <w:color w:val="auto"/>
              </w:rPr>
            </w:pPr>
            <w:r>
              <w:rPr>
                <w:rFonts w:ascii="Arial" w:cs="Arial" w:eastAsia="Arial" w:hAnsi="Arial"/>
                <w:sz w:val="11"/>
                <w:szCs w:val="11"/>
                <w:color w:val="auto"/>
              </w:rPr>
              <w:t>12/21/2023</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15,957,113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15,736,757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15,637,971</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Apex Service Partners, LLC</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07/31/2025</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Personal, Food and Miscellaneous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178,844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178,844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173,479</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Apex Service Partners, LLC </w:t>
            </w:r>
            <w:r>
              <w:rPr>
                <w:rFonts w:ascii="Arial" w:cs="Arial" w:eastAsia="Arial" w:hAnsi="Arial"/>
                <w:sz w:val="9"/>
                <w:szCs w:val="9"/>
                <w:color w:val="auto"/>
              </w:rPr>
              <w:t>(7)</w:t>
            </w:r>
          </w:p>
        </w:tc>
        <w:tc>
          <w:tcPr>
            <w:tcW w:w="1160" w:type="dxa"/>
            <w:vAlign w:val="bottom"/>
          </w:tcPr>
          <w:p>
            <w:pPr>
              <w:ind w:left="460"/>
              <w:spacing w:after="0"/>
              <w:rPr>
                <w:sz w:val="20"/>
                <w:szCs w:val="20"/>
                <w:color w:val="auto"/>
              </w:rPr>
            </w:pPr>
            <w:r>
              <w:rPr>
                <w:rFonts w:ascii="Arial" w:cs="Arial" w:eastAsia="Arial" w:hAnsi="Arial"/>
                <w:sz w:val="11"/>
                <w:szCs w:val="11"/>
                <w:color w:val="auto"/>
              </w:rPr>
              <w:t>07/31/2021</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Personal, Food and Miscellaneous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1,165,420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(34,963)</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Bottom Line Systems, LLC</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02/13/2023</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6,722,525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6,674,529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6,580,680</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Broder Bros., Co.</w:t>
            </w:r>
          </w:p>
        </w:tc>
        <w:tc>
          <w:tcPr>
            <w:tcW w:w="1160" w:type="dxa"/>
            <w:vAlign w:val="bottom"/>
          </w:tcPr>
          <w:p>
            <w:pPr>
              <w:ind w:left="460"/>
              <w:spacing w:after="0"/>
              <w:rPr>
                <w:sz w:val="20"/>
                <w:szCs w:val="20"/>
                <w:color w:val="auto"/>
              </w:rPr>
            </w:pPr>
            <w:r>
              <w:rPr>
                <w:rFonts w:ascii="Arial" w:cs="Arial" w:eastAsia="Arial" w:hAnsi="Arial"/>
                <w:sz w:val="11"/>
                <w:szCs w:val="11"/>
                <w:color w:val="auto"/>
              </w:rPr>
              <w:t>12/02/2022</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Products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9.75%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tcPr>
          <w:p>
            <w:pPr>
              <w:jc w:val="right"/>
              <w:spacing w:after="0"/>
              <w:rPr>
                <w:sz w:val="20"/>
                <w:szCs w:val="20"/>
                <w:color w:val="auto"/>
              </w:rPr>
            </w:pPr>
            <w:r>
              <w:rPr>
                <w:rFonts w:ascii="Arial" w:cs="Arial" w:eastAsia="Arial" w:hAnsi="Arial"/>
                <w:sz w:val="11"/>
                <w:szCs w:val="11"/>
                <w:color w:val="auto"/>
              </w:rPr>
              <w:t>25,907,420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25,907,420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23,510,984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Compex Legal Services, Inc.</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02/09/2026</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3,605,894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3,539,582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3,539,906</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Compex Legal Services, Inc. </w:t>
            </w:r>
            <w:r>
              <w:rPr>
                <w:rFonts w:ascii="Arial" w:cs="Arial" w:eastAsia="Arial" w:hAnsi="Arial"/>
                <w:sz w:val="9"/>
                <w:szCs w:val="9"/>
                <w:color w:val="auto"/>
              </w:rPr>
              <w:t>(7)</w:t>
            </w:r>
          </w:p>
        </w:tc>
        <w:tc>
          <w:tcPr>
            <w:tcW w:w="1160" w:type="dxa"/>
            <w:vAlign w:val="bottom"/>
          </w:tcPr>
          <w:p>
            <w:pPr>
              <w:ind w:left="460"/>
              <w:spacing w:after="0"/>
              <w:rPr>
                <w:sz w:val="20"/>
                <w:szCs w:val="20"/>
                <w:color w:val="auto"/>
              </w:rPr>
            </w:pPr>
            <w:r>
              <w:rPr>
                <w:rFonts w:ascii="Arial" w:cs="Arial" w:eastAsia="Arial" w:hAnsi="Arial"/>
                <w:sz w:val="11"/>
                <w:szCs w:val="11"/>
                <w:color w:val="auto"/>
              </w:rPr>
              <w:t>02/08/2021</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1,549,743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(12,863)</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Compex Legal Services, Inc. (Revolver)</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02/07/2025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458,962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458,962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450,563</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w:t>
            </w:r>
          </w:p>
        </w:tc>
        <w:tc>
          <w:tcPr>
            <w:tcW w:w="1160" w:type="dxa"/>
            <w:vAlign w:val="bottom"/>
          </w:tcPr>
          <w:p>
            <w:pPr>
              <w:ind w:left="460"/>
              <w:spacing w:after="0"/>
              <w:rPr>
                <w:sz w:val="20"/>
                <w:szCs w:val="20"/>
                <w:color w:val="auto"/>
              </w:rPr>
            </w:pPr>
            <w:r>
              <w:rPr>
                <w:rFonts w:ascii="Arial" w:cs="Arial" w:eastAsia="Arial" w:hAnsi="Arial"/>
                <w:sz w:val="11"/>
                <w:szCs w:val="11"/>
                <w:color w:val="auto"/>
              </w:rPr>
              <w:t>02/07/2025</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196,698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(3,600)</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Datalot Inc. (Revolver)</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01/24/2025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Insurance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1,788,165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1,788,165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1,790,310</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DermaRite Industries LLC</w:t>
            </w:r>
          </w:p>
        </w:tc>
        <w:tc>
          <w:tcPr>
            <w:tcW w:w="1160" w:type="dxa"/>
            <w:vAlign w:val="bottom"/>
          </w:tcPr>
          <w:p>
            <w:pPr>
              <w:ind w:left="460"/>
              <w:spacing w:after="0"/>
              <w:rPr>
                <w:sz w:val="20"/>
                <w:szCs w:val="20"/>
                <w:color w:val="auto"/>
              </w:rPr>
            </w:pPr>
            <w:r>
              <w:rPr>
                <w:rFonts w:ascii="Arial" w:cs="Arial" w:eastAsia="Arial" w:hAnsi="Arial"/>
                <w:sz w:val="11"/>
                <w:szCs w:val="11"/>
                <w:color w:val="auto"/>
              </w:rPr>
              <w:t>03/03/2022</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Manufacturing / Basic Industries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8,975,884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8,924,948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8,975,884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9"/>
                <w:szCs w:val="9"/>
                <w:color w:val="auto"/>
              </w:rPr>
              <w:t>(7)</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11/03/2025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Consumer Products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1,528,102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(27,964)</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ECM Industries, LLC (Revolver)</w:t>
            </w:r>
          </w:p>
        </w:tc>
        <w:tc>
          <w:tcPr>
            <w:tcW w:w="1160" w:type="dxa"/>
            <w:vAlign w:val="bottom"/>
          </w:tcPr>
          <w:p>
            <w:pPr>
              <w:ind w:left="460"/>
              <w:spacing w:after="0"/>
              <w:rPr>
                <w:sz w:val="20"/>
                <w:szCs w:val="20"/>
                <w:color w:val="auto"/>
              </w:rPr>
            </w:pPr>
            <w:r>
              <w:rPr>
                <w:rFonts w:ascii="Arial" w:cs="Arial" w:eastAsia="Arial" w:hAnsi="Arial"/>
                <w:sz w:val="11"/>
                <w:szCs w:val="11"/>
                <w:color w:val="auto"/>
              </w:rPr>
              <w:t>12/23/2025</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517,594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517,594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510,761</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HW Holdco, LLC</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12/10/2024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2,567,177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2,547,350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2,490,162</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w:t>
            </w:r>
          </w:p>
        </w:tc>
        <w:tc>
          <w:tcPr>
            <w:tcW w:w="1160" w:type="dxa"/>
            <w:vAlign w:val="bottom"/>
          </w:tcPr>
          <w:p>
            <w:pPr>
              <w:ind w:left="460"/>
              <w:spacing w:after="0"/>
              <w:rPr>
                <w:sz w:val="20"/>
                <w:szCs w:val="20"/>
                <w:color w:val="auto"/>
              </w:rPr>
            </w:pPr>
            <w:r>
              <w:rPr>
                <w:rFonts w:ascii="Arial" w:cs="Arial" w:eastAsia="Arial" w:hAnsi="Arial"/>
                <w:sz w:val="11"/>
                <w:szCs w:val="11"/>
                <w:color w:val="auto"/>
              </w:rPr>
              <w:t>12/10/2024</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3,387,097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(101,613)</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IMIA Holdings, Inc.</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10/26/2025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5,572,968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5,461,508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5,517,238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Impact Group, LLC</w:t>
            </w:r>
          </w:p>
        </w:tc>
        <w:tc>
          <w:tcPr>
            <w:tcW w:w="1160" w:type="dxa"/>
            <w:vAlign w:val="bottom"/>
          </w:tcPr>
          <w:p>
            <w:pPr>
              <w:ind w:left="460"/>
              <w:spacing w:after="0"/>
              <w:rPr>
                <w:sz w:val="20"/>
                <w:szCs w:val="20"/>
                <w:color w:val="auto"/>
              </w:rPr>
            </w:pPr>
            <w:r>
              <w:rPr>
                <w:rFonts w:ascii="Arial" w:cs="Arial" w:eastAsia="Arial" w:hAnsi="Arial"/>
                <w:sz w:val="11"/>
                <w:szCs w:val="11"/>
                <w:color w:val="auto"/>
              </w:rPr>
              <w:t>06/27/2023</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Personal, Food and Miscellaneous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8.37%</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L+737</w:t>
            </w:r>
          </w:p>
        </w:tc>
        <w:tc>
          <w:tcPr>
            <w:tcW w:w="660" w:type="dxa"/>
            <w:vAlign w:val="bottom"/>
          </w:tcPr>
          <w:p>
            <w:pPr>
              <w:jc w:val="right"/>
              <w:spacing w:after="0"/>
              <w:rPr>
                <w:sz w:val="20"/>
                <w:szCs w:val="20"/>
                <w:color w:val="auto"/>
              </w:rPr>
            </w:pPr>
            <w:r>
              <w:rPr>
                <w:rFonts w:ascii="Arial" w:cs="Arial" w:eastAsia="Arial" w:hAnsi="Arial"/>
                <w:sz w:val="11"/>
                <w:szCs w:val="11"/>
                <w:color w:val="auto"/>
              </w:rPr>
              <w:t>19,888,478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19,811,644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19,987,920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Integrity Marketing Acquisition, LLC</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08/27/2025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Insurance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23,574,241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23,403,071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23,338,498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9"/>
                <w:szCs w:val="9"/>
                <w:color w:val="auto"/>
              </w:rPr>
              <w:t>(7)</w:t>
            </w:r>
          </w:p>
        </w:tc>
        <w:tc>
          <w:tcPr>
            <w:tcW w:w="1160" w:type="dxa"/>
            <w:vAlign w:val="bottom"/>
          </w:tcPr>
          <w:p>
            <w:pPr>
              <w:ind w:left="460"/>
              <w:spacing w:after="0"/>
              <w:rPr>
                <w:sz w:val="20"/>
                <w:szCs w:val="20"/>
                <w:color w:val="auto"/>
              </w:rPr>
            </w:pPr>
            <w:r>
              <w:rPr>
                <w:rFonts w:ascii="Arial" w:cs="Arial" w:eastAsia="Arial" w:hAnsi="Arial"/>
                <w:sz w:val="11"/>
                <w:szCs w:val="11"/>
                <w:color w:val="auto"/>
              </w:rPr>
              <w:t>07/15/2021</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Insurance</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592,800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(1,482)</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Juniper Landscaping of Florida, LLC</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12/22/2021</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Personal, Food and Miscellaneous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9.50%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13,516,275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13,430,024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13,516,275</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K2 Pure Solutions NoCal, L.P.</w:t>
            </w:r>
          </w:p>
        </w:tc>
        <w:tc>
          <w:tcPr>
            <w:tcW w:w="1160" w:type="dxa"/>
            <w:vAlign w:val="bottom"/>
          </w:tcPr>
          <w:p>
            <w:pPr>
              <w:ind w:left="460"/>
              <w:spacing w:after="0"/>
              <w:rPr>
                <w:sz w:val="20"/>
                <w:szCs w:val="20"/>
                <w:color w:val="auto"/>
              </w:rPr>
            </w:pPr>
            <w:r>
              <w:rPr>
                <w:rFonts w:ascii="Arial" w:cs="Arial" w:eastAsia="Arial" w:hAnsi="Arial"/>
                <w:sz w:val="11"/>
                <w:szCs w:val="11"/>
                <w:color w:val="auto"/>
              </w:rPr>
              <w:t>12/20/2023</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11,921,000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11,797,407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11,658,738</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K2 Pure Solutions NoCal, L.P. (Revolver)</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12/20/2023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1,453,571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1,453,571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1,421,593</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1160" w:type="dxa"/>
            <w:vAlign w:val="bottom"/>
          </w:tcPr>
          <w:p>
            <w:pPr>
              <w:ind w:left="460"/>
              <w:spacing w:after="0"/>
              <w:rPr>
                <w:sz w:val="20"/>
                <w:szCs w:val="20"/>
                <w:color w:val="auto"/>
              </w:rPr>
            </w:pPr>
            <w:r>
              <w:rPr>
                <w:rFonts w:ascii="Arial" w:cs="Arial" w:eastAsia="Arial" w:hAnsi="Arial"/>
                <w:sz w:val="11"/>
                <w:szCs w:val="11"/>
                <w:color w:val="auto"/>
              </w:rPr>
              <w:t>12/20/2023</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484,524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(10,660)</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03/07/2025</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Hotels, Motels, Inns and Gaming</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827,586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(12,414)</w:t>
            </w:r>
          </w:p>
        </w:tc>
      </w:tr>
      <w:tr>
        <w:trPr>
          <w:trHeight w:val="139"/>
        </w:trPr>
        <w:tc>
          <w:tcPr>
            <w:tcW w:w="2740" w:type="dxa"/>
            <w:vAlign w:val="bottom"/>
          </w:tcPr>
          <w:p>
            <w:pPr>
              <w:spacing w:after="0"/>
              <w:rPr>
                <w:sz w:val="20"/>
                <w:szCs w:val="20"/>
                <w:color w:val="auto"/>
              </w:rPr>
            </w:pPr>
            <w:r>
              <w:rPr>
                <w:rFonts w:ascii="Arial" w:cs="Arial" w:eastAsia="Arial" w:hAnsi="Arial"/>
                <w:sz w:val="11"/>
                <w:szCs w:val="11"/>
                <w:color w:val="auto"/>
              </w:rPr>
              <w:t>LAV Gear Holdings, Inc.</w:t>
            </w:r>
          </w:p>
        </w:tc>
        <w:tc>
          <w:tcPr>
            <w:tcW w:w="1160" w:type="dxa"/>
            <w:vAlign w:val="bottom"/>
          </w:tcPr>
          <w:p>
            <w:pPr>
              <w:ind w:left="460"/>
              <w:spacing w:after="0"/>
              <w:rPr>
                <w:sz w:val="20"/>
                <w:szCs w:val="20"/>
                <w:color w:val="auto"/>
              </w:rPr>
            </w:pPr>
            <w:r>
              <w:rPr>
                <w:rFonts w:ascii="Arial" w:cs="Arial" w:eastAsia="Arial" w:hAnsi="Arial"/>
                <w:sz w:val="11"/>
                <w:szCs w:val="11"/>
                <w:color w:val="auto"/>
              </w:rPr>
              <w:t>10/31/2024</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Leisure, Amusement, Motion Pictures, Entertainment</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8.50%</w:t>
            </w:r>
          </w:p>
        </w:tc>
        <w:tc>
          <w:tcPr>
            <w:tcW w:w="14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751,480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744,986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692,188</w:t>
            </w:r>
          </w:p>
        </w:tc>
        <w:tc>
          <w:tcPr>
            <w:tcW w:w="100" w:type="dxa"/>
            <w:vAlign w:val="bottom"/>
          </w:tcPr>
          <w:p>
            <w:pPr>
              <w:spacing w:after="0"/>
              <w:rPr>
                <w:sz w:val="12"/>
                <w:szCs w:val="12"/>
                <w:color w:val="auto"/>
              </w:rPr>
            </w:pPr>
          </w:p>
        </w:tc>
      </w:tr>
      <w:tr>
        <w:trPr>
          <w:trHeight w:val="131"/>
        </w:trPr>
        <w:tc>
          <w:tcPr>
            <w:tcW w:w="2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(PIK 5.00%)</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02/03/2026</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1,564,213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1,548,989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1,544,661</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Lightspeed Buyer Inc. </w:t>
            </w:r>
            <w:r>
              <w:rPr>
                <w:rFonts w:ascii="Arial" w:cs="Arial" w:eastAsia="Arial" w:hAnsi="Arial"/>
                <w:sz w:val="9"/>
                <w:szCs w:val="9"/>
                <w:color w:val="auto"/>
              </w:rPr>
              <w:t>(7)</w:t>
            </w:r>
          </w:p>
        </w:tc>
        <w:tc>
          <w:tcPr>
            <w:tcW w:w="1160" w:type="dxa"/>
            <w:vAlign w:val="bottom"/>
          </w:tcPr>
          <w:p>
            <w:pPr>
              <w:ind w:left="460"/>
              <w:spacing w:after="0"/>
              <w:rPr>
                <w:sz w:val="20"/>
                <w:szCs w:val="20"/>
                <w:color w:val="auto"/>
              </w:rPr>
            </w:pPr>
            <w:r>
              <w:rPr>
                <w:rFonts w:ascii="Arial" w:cs="Arial" w:eastAsia="Arial" w:hAnsi="Arial"/>
                <w:sz w:val="11"/>
                <w:szCs w:val="11"/>
                <w:color w:val="auto"/>
              </w:rPr>
              <w:t>08/03/2021</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882,075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(2,205)</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 (Revolver)</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02/03/2026</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1,165,780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1,165,780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1,151,208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Lombart Brothers, Inc. (Revolver)</w:t>
            </w:r>
          </w:p>
        </w:tc>
        <w:tc>
          <w:tcPr>
            <w:tcW w:w="1160" w:type="dxa"/>
            <w:vAlign w:val="bottom"/>
          </w:tcPr>
          <w:p>
            <w:pPr>
              <w:ind w:left="460"/>
              <w:spacing w:after="0"/>
              <w:rPr>
                <w:sz w:val="20"/>
                <w:szCs w:val="20"/>
                <w:color w:val="auto"/>
              </w:rPr>
            </w:pPr>
            <w:r>
              <w:rPr>
                <w:rFonts w:ascii="Arial" w:cs="Arial" w:eastAsia="Arial" w:hAnsi="Arial"/>
                <w:sz w:val="11"/>
                <w:szCs w:val="11"/>
                <w:color w:val="auto"/>
              </w:rPr>
              <w:t>04/13/2023</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1,769,912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1,769,912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1,661,947</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05/23/2024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2,901,820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2,868,498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2,763,983</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w:t>
            </w:r>
          </w:p>
        </w:tc>
        <w:tc>
          <w:tcPr>
            <w:tcW w:w="1160" w:type="dxa"/>
            <w:vAlign w:val="bottom"/>
          </w:tcPr>
          <w:p>
            <w:pPr>
              <w:ind w:left="460"/>
              <w:spacing w:after="0"/>
              <w:rPr>
                <w:sz w:val="20"/>
                <w:szCs w:val="20"/>
                <w:color w:val="auto"/>
              </w:rPr>
            </w:pPr>
            <w:r>
              <w:rPr>
                <w:rFonts w:ascii="Arial" w:cs="Arial" w:eastAsia="Arial" w:hAnsi="Arial"/>
                <w:sz w:val="11"/>
                <w:szCs w:val="11"/>
                <w:color w:val="auto"/>
              </w:rPr>
              <w:t>05/23/2024</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2,518,345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(119,621)</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Ox Two, LLC</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02/27/2023</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21,352,147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21,112,545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21,245,386</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Ox Two, LLC (Revolver)</w:t>
            </w:r>
          </w:p>
        </w:tc>
        <w:tc>
          <w:tcPr>
            <w:tcW w:w="1160" w:type="dxa"/>
            <w:vAlign w:val="bottom"/>
          </w:tcPr>
          <w:p>
            <w:pPr>
              <w:ind w:left="460"/>
              <w:spacing w:after="0"/>
              <w:rPr>
                <w:sz w:val="20"/>
                <w:szCs w:val="20"/>
                <w:color w:val="auto"/>
              </w:rPr>
            </w:pPr>
            <w:r>
              <w:rPr>
                <w:rFonts w:ascii="Arial" w:cs="Arial" w:eastAsia="Arial" w:hAnsi="Arial"/>
                <w:sz w:val="11"/>
                <w:szCs w:val="11"/>
                <w:color w:val="auto"/>
              </w:rPr>
              <w:t>02/27/2023</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488,000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488,000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485,560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02/27/2023</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2,012,000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(10,060)</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Peninsula Pacific Entertainment LLC</w:t>
            </w:r>
          </w:p>
        </w:tc>
        <w:tc>
          <w:tcPr>
            <w:tcW w:w="1160" w:type="dxa"/>
            <w:vAlign w:val="bottom"/>
          </w:tcPr>
          <w:p>
            <w:pPr>
              <w:ind w:left="460"/>
              <w:spacing w:after="0"/>
              <w:rPr>
                <w:sz w:val="20"/>
                <w:szCs w:val="20"/>
                <w:color w:val="auto"/>
              </w:rPr>
            </w:pPr>
            <w:r>
              <w:rPr>
                <w:rFonts w:ascii="Arial" w:cs="Arial" w:eastAsia="Arial" w:hAnsi="Arial"/>
                <w:sz w:val="11"/>
                <w:szCs w:val="11"/>
                <w:color w:val="auto"/>
              </w:rPr>
              <w:t>11/13/2024</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Hotels, Motels, Inns and Gaming</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7.40%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L+725</w:t>
            </w:r>
          </w:p>
        </w:tc>
        <w:tc>
          <w:tcPr>
            <w:tcW w:w="660" w:type="dxa"/>
            <w:vAlign w:val="bottom"/>
          </w:tcPr>
          <w:p>
            <w:pPr>
              <w:jc w:val="right"/>
              <w:spacing w:after="0"/>
              <w:rPr>
                <w:sz w:val="20"/>
                <w:szCs w:val="20"/>
                <w:color w:val="auto"/>
              </w:rPr>
            </w:pPr>
            <w:r>
              <w:rPr>
                <w:rFonts w:ascii="Arial" w:cs="Arial" w:eastAsia="Arial" w:hAnsi="Arial"/>
                <w:sz w:val="11"/>
                <w:szCs w:val="11"/>
                <w:color w:val="auto"/>
              </w:rPr>
              <w:t>11,437,714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11,219,222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10,637,074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PRA Events, Inc.</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08/08/2022</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jc w:val="right"/>
              <w:spacing w:after="0"/>
              <w:rPr>
                <w:sz w:val="20"/>
                <w:szCs w:val="20"/>
                <w:color w:val="auto"/>
              </w:rPr>
            </w:pPr>
            <w:r>
              <w:rPr>
                <w:rFonts w:ascii="Arial" w:cs="Arial" w:eastAsia="Arial" w:hAnsi="Arial"/>
                <w:sz w:val="9"/>
                <w:szCs w:val="9"/>
                <w:color w:val="auto"/>
                <w:w w:val="90"/>
              </w:rPr>
              <w:t>(6)</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19,180,820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18,839,885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16,150,251</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PRA Events, Inc. (Revolver)</w:t>
            </w:r>
          </w:p>
        </w:tc>
        <w:tc>
          <w:tcPr>
            <w:tcW w:w="1160" w:type="dxa"/>
            <w:vAlign w:val="bottom"/>
          </w:tcPr>
          <w:p>
            <w:pPr>
              <w:ind w:left="460"/>
              <w:spacing w:after="0"/>
              <w:rPr>
                <w:sz w:val="20"/>
                <w:szCs w:val="20"/>
                <w:color w:val="auto"/>
              </w:rPr>
            </w:pPr>
            <w:r>
              <w:rPr>
                <w:rFonts w:ascii="Arial" w:cs="Arial" w:eastAsia="Arial" w:hAnsi="Arial"/>
                <w:sz w:val="11"/>
                <w:szCs w:val="11"/>
                <w:color w:val="auto"/>
              </w:rPr>
              <w:t>08/08/2022</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(6)</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2,000,000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1,684,000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Provation Medical, Inc.</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03/11/2024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7.15%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26,527,500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26,094,813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26,179,990</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Questex, LLC</w:t>
            </w:r>
          </w:p>
        </w:tc>
        <w:tc>
          <w:tcPr>
            <w:tcW w:w="1160" w:type="dxa"/>
            <w:vAlign w:val="bottom"/>
          </w:tcPr>
          <w:p>
            <w:pPr>
              <w:ind w:left="460"/>
              <w:spacing w:after="0"/>
              <w:rPr>
                <w:sz w:val="20"/>
                <w:szCs w:val="20"/>
                <w:color w:val="auto"/>
              </w:rPr>
            </w:pPr>
            <w:r>
              <w:rPr>
                <w:rFonts w:ascii="Arial" w:cs="Arial" w:eastAsia="Arial" w:hAnsi="Arial"/>
                <w:sz w:val="11"/>
                <w:szCs w:val="11"/>
                <w:color w:val="auto"/>
              </w:rPr>
              <w:t>09/09/2024</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22,050,000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21,733,659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20,286,000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Questex, LLC (Revolver)</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09/09/2024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1,795,213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1,795,213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1,651,596</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w:t>
            </w:r>
          </w:p>
        </w:tc>
        <w:tc>
          <w:tcPr>
            <w:tcW w:w="1160" w:type="dxa"/>
            <w:vAlign w:val="bottom"/>
          </w:tcPr>
          <w:p>
            <w:pPr>
              <w:ind w:left="460"/>
              <w:spacing w:after="0"/>
              <w:rPr>
                <w:sz w:val="20"/>
                <w:szCs w:val="20"/>
                <w:color w:val="auto"/>
              </w:rPr>
            </w:pPr>
            <w:r>
              <w:rPr>
                <w:rFonts w:ascii="Arial" w:cs="Arial" w:eastAsia="Arial" w:hAnsi="Arial"/>
                <w:sz w:val="11"/>
                <w:szCs w:val="11"/>
                <w:color w:val="auto"/>
              </w:rPr>
              <w:t>09/09/2024</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1,795,213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(143,617)</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Radius Aerospace, Inc. (Revolver)</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03/31/2025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1,336,285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1,336,285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1,298,602</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Radius Aerospace, Inc. (Revolver) </w:t>
            </w:r>
            <w:r>
              <w:rPr>
                <w:rFonts w:ascii="Arial" w:cs="Arial" w:eastAsia="Arial" w:hAnsi="Arial"/>
                <w:sz w:val="9"/>
                <w:szCs w:val="9"/>
                <w:color w:val="auto"/>
              </w:rPr>
              <w:t>(7)</w:t>
            </w:r>
          </w:p>
        </w:tc>
        <w:tc>
          <w:tcPr>
            <w:tcW w:w="1160" w:type="dxa"/>
            <w:vAlign w:val="bottom"/>
          </w:tcPr>
          <w:p>
            <w:pPr>
              <w:ind w:left="460"/>
              <w:spacing w:after="0"/>
              <w:rPr>
                <w:sz w:val="20"/>
                <w:szCs w:val="20"/>
                <w:color w:val="auto"/>
              </w:rPr>
            </w:pPr>
            <w:r>
              <w:rPr>
                <w:rFonts w:ascii="Arial" w:cs="Arial" w:eastAsia="Arial" w:hAnsi="Arial"/>
                <w:sz w:val="11"/>
                <w:szCs w:val="11"/>
                <w:color w:val="auto"/>
              </w:rPr>
              <w:t>03/31/2025</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890,857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(25,122)</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Research Horizons, LLC</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06/28/2022</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29,546,453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29,334,375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28,364,595</w:t>
            </w:r>
          </w:p>
        </w:tc>
        <w:tc>
          <w:tcPr>
            <w:tcW w:w="100" w:type="dxa"/>
            <w:vAlign w:val="bottom"/>
            <w:shd w:val="clear" w:color="auto" w:fill="CCECFF"/>
          </w:tcPr>
          <w:p>
            <w:pPr>
              <w:spacing w:after="0"/>
              <w:rPr>
                <w:sz w:val="11"/>
                <w:szCs w:val="11"/>
                <w:color w:val="auto"/>
              </w:rPr>
            </w:pPr>
          </w:p>
        </w:tc>
      </w:tr>
      <w:tr>
        <w:trPr>
          <w:trHeight w:val="125"/>
        </w:trPr>
        <w:tc>
          <w:tcPr>
            <w:tcW w:w="2740" w:type="dxa"/>
            <w:vAlign w:val="bottom"/>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11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2740" w:type="dxa"/>
            <w:vAlign w:val="bottom"/>
          </w:tcPr>
          <w:p>
            <w:pPr>
              <w:ind w:left="80"/>
              <w:spacing w:after="0"/>
              <w:rPr>
                <w:sz w:val="20"/>
                <w:szCs w:val="20"/>
                <w:color w:val="auto"/>
              </w:rPr>
            </w:pPr>
            <w:r>
              <w:rPr>
                <w:rFonts w:ascii="Arial" w:cs="Arial" w:eastAsia="Arial" w:hAnsi="Arial"/>
                <w:sz w:val="11"/>
                <w:szCs w:val="11"/>
                <w:color w:val="auto"/>
              </w:rPr>
              <w:t>Sampling International LLC</w:t>
            </w:r>
          </w:p>
        </w:tc>
        <w:tc>
          <w:tcPr>
            <w:tcW w:w="1160" w:type="dxa"/>
            <w:vAlign w:val="bottom"/>
          </w:tcPr>
          <w:p>
            <w:pPr>
              <w:ind w:left="460"/>
              <w:spacing w:after="0"/>
              <w:rPr>
                <w:sz w:val="20"/>
                <w:szCs w:val="20"/>
                <w:color w:val="auto"/>
              </w:rPr>
            </w:pPr>
            <w:r>
              <w:rPr>
                <w:rFonts w:ascii="Arial" w:cs="Arial" w:eastAsia="Arial" w:hAnsi="Arial"/>
                <w:sz w:val="11"/>
                <w:szCs w:val="11"/>
                <w:color w:val="auto"/>
              </w:rPr>
              <w:t>12/20/2024</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2,913,731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2,913,731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2,752,019</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06/20/2025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363,636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(12,764)</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Riverside Assessments, LLC</w:t>
            </w:r>
          </w:p>
        </w:tc>
        <w:tc>
          <w:tcPr>
            <w:tcW w:w="1160" w:type="dxa"/>
            <w:vAlign w:val="bottom"/>
          </w:tcPr>
          <w:p>
            <w:pPr>
              <w:ind w:left="460"/>
              <w:spacing w:after="0"/>
              <w:rPr>
                <w:sz w:val="20"/>
                <w:szCs w:val="20"/>
                <w:color w:val="auto"/>
              </w:rPr>
            </w:pPr>
            <w:r>
              <w:rPr>
                <w:rFonts w:ascii="Arial" w:cs="Arial" w:eastAsia="Arial" w:hAnsi="Arial"/>
                <w:sz w:val="11"/>
                <w:szCs w:val="11"/>
                <w:color w:val="auto"/>
              </w:rPr>
              <w:t>03/10/2025</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Education</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15,671,250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15,389,332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14,848,509</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9"/>
                <w:szCs w:val="9"/>
                <w:color w:val="auto"/>
              </w:rPr>
              <w:t>(7)</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12/20/2024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597,943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(10,763)</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Sales Benchmark Index LLC </w:t>
            </w:r>
            <w:r>
              <w:rPr>
                <w:rFonts w:ascii="Arial" w:cs="Arial" w:eastAsia="Arial" w:hAnsi="Arial"/>
                <w:sz w:val="9"/>
                <w:szCs w:val="9"/>
                <w:color w:val="auto"/>
              </w:rPr>
              <w:t>(7)</w:t>
            </w:r>
          </w:p>
        </w:tc>
        <w:tc>
          <w:tcPr>
            <w:tcW w:w="1160" w:type="dxa"/>
            <w:vAlign w:val="bottom"/>
          </w:tcPr>
          <w:p>
            <w:pPr>
              <w:ind w:left="460"/>
              <w:spacing w:after="0"/>
              <w:rPr>
                <w:sz w:val="20"/>
                <w:szCs w:val="20"/>
                <w:color w:val="auto"/>
              </w:rPr>
            </w:pPr>
            <w:r>
              <w:rPr>
                <w:rFonts w:ascii="Arial" w:cs="Arial" w:eastAsia="Arial" w:hAnsi="Arial"/>
                <w:sz w:val="11"/>
                <w:szCs w:val="11"/>
                <w:color w:val="auto"/>
              </w:rPr>
              <w:t>07/07/2021</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1,829,268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(43,902)</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9"/>
                <w:szCs w:val="9"/>
                <w:color w:val="auto"/>
              </w:rPr>
              <w:t>(7)</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01/03/2025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731,707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(17,561)</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Schlesinger Global, Inc.</w:t>
            </w:r>
          </w:p>
        </w:tc>
        <w:tc>
          <w:tcPr>
            <w:tcW w:w="1160" w:type="dxa"/>
            <w:vAlign w:val="bottom"/>
          </w:tcPr>
          <w:p>
            <w:pPr>
              <w:ind w:left="460"/>
              <w:spacing w:after="0"/>
              <w:rPr>
                <w:sz w:val="20"/>
                <w:szCs w:val="20"/>
                <w:color w:val="auto"/>
              </w:rPr>
            </w:pPr>
            <w:r>
              <w:rPr>
                <w:rFonts w:ascii="Arial" w:cs="Arial" w:eastAsia="Arial" w:hAnsi="Arial"/>
                <w:sz w:val="11"/>
                <w:szCs w:val="11"/>
                <w:color w:val="auto"/>
              </w:rPr>
              <w:t>07/14/2025</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516,273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510,389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478,844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 (Revolver)</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07/14/2025</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15,759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15,759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14,617</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w:t>
            </w:r>
          </w:p>
        </w:tc>
        <w:tc>
          <w:tcPr>
            <w:tcW w:w="1160" w:type="dxa"/>
            <w:vAlign w:val="bottom"/>
          </w:tcPr>
          <w:p>
            <w:pPr>
              <w:ind w:left="460"/>
              <w:spacing w:after="0"/>
              <w:rPr>
                <w:sz w:val="20"/>
                <w:szCs w:val="20"/>
                <w:color w:val="auto"/>
              </w:rPr>
            </w:pPr>
            <w:r>
              <w:rPr>
                <w:rFonts w:ascii="Arial" w:cs="Arial" w:eastAsia="Arial" w:hAnsi="Arial"/>
                <w:sz w:val="11"/>
                <w:szCs w:val="11"/>
                <w:color w:val="auto"/>
              </w:rPr>
              <w:t>07/14/2025</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22,281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(1,615)</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Signature Systems Holding Company (Revolver)</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05/03/2024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1,129,032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1,129,032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1,092,339</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w:t>
            </w:r>
          </w:p>
        </w:tc>
        <w:tc>
          <w:tcPr>
            <w:tcW w:w="1160" w:type="dxa"/>
            <w:vAlign w:val="bottom"/>
          </w:tcPr>
          <w:p>
            <w:pPr>
              <w:ind w:left="460"/>
              <w:spacing w:after="0"/>
              <w:rPr>
                <w:sz w:val="20"/>
                <w:szCs w:val="20"/>
                <w:color w:val="auto"/>
              </w:rPr>
            </w:pPr>
            <w:r>
              <w:rPr>
                <w:rFonts w:ascii="Arial" w:cs="Arial" w:eastAsia="Arial" w:hAnsi="Arial"/>
                <w:sz w:val="11"/>
                <w:szCs w:val="11"/>
                <w:color w:val="auto"/>
              </w:rPr>
              <w:t>05/03/2024</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887,097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(28,831)</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Solutionreach, Inc. (Revolver)</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01/17/2024</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Communications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1,248,750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1,248,750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1,235,014</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w:t>
            </w:r>
          </w:p>
        </w:tc>
        <w:tc>
          <w:tcPr>
            <w:tcW w:w="1160" w:type="dxa"/>
            <w:vAlign w:val="bottom"/>
          </w:tcPr>
          <w:p>
            <w:pPr>
              <w:ind w:left="460"/>
              <w:spacing w:after="0"/>
              <w:rPr>
                <w:sz w:val="20"/>
                <w:szCs w:val="20"/>
                <w:color w:val="auto"/>
              </w:rPr>
            </w:pPr>
            <w:r>
              <w:rPr>
                <w:rFonts w:ascii="Arial" w:cs="Arial" w:eastAsia="Arial" w:hAnsi="Arial"/>
                <w:sz w:val="11"/>
                <w:szCs w:val="11"/>
                <w:color w:val="auto"/>
              </w:rPr>
              <w:t>01/17/2024</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Communications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416,250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(4,579)</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Spear Education, LLC</w:t>
            </w:r>
          </w:p>
        </w:tc>
        <w:tc>
          <w:tcPr>
            <w:tcW w:w="116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02/26/2025</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Education</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15,049,375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14,906,170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14,673,140</w:t>
            </w:r>
          </w:p>
        </w:tc>
        <w:tc>
          <w:tcPr>
            <w:tcW w:w="100" w:type="dxa"/>
            <w:vAlign w:val="bottom"/>
            <w:shd w:val="clear" w:color="auto" w:fill="CCECFF"/>
          </w:tcPr>
          <w:p>
            <w:pPr>
              <w:spacing w:after="0"/>
              <w:rPr>
                <w:sz w:val="11"/>
                <w:szCs w:val="1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9"/>
                <w:szCs w:val="9"/>
                <w:color w:val="auto"/>
              </w:rPr>
              <w:t>(7)</w:t>
            </w:r>
          </w:p>
        </w:tc>
        <w:tc>
          <w:tcPr>
            <w:tcW w:w="1160" w:type="dxa"/>
            <w:vAlign w:val="bottom"/>
          </w:tcPr>
          <w:p>
            <w:pPr>
              <w:ind w:left="460"/>
              <w:spacing w:after="0"/>
              <w:rPr>
                <w:sz w:val="20"/>
                <w:szCs w:val="20"/>
                <w:color w:val="auto"/>
              </w:rPr>
            </w:pPr>
            <w:r>
              <w:rPr>
                <w:rFonts w:ascii="Arial" w:cs="Arial" w:eastAsia="Arial" w:hAnsi="Arial"/>
                <w:sz w:val="11"/>
                <w:szCs w:val="11"/>
                <w:color w:val="auto"/>
              </w:rPr>
              <w:t>02/26/2022</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Education</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6,875,000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(171,875)</w:t>
            </w:r>
          </w:p>
        </w:tc>
      </w:tr>
    </w:tbl>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Maturity /</w:t>
            </w: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900" w:type="dxa"/>
            <w:vAlign w:val="bottom"/>
            <w:gridSpan w:val="2"/>
          </w:tcPr>
          <w:p>
            <w:pPr>
              <w:ind w:left="220"/>
              <w:spacing w:after="0" w:line="122" w:lineRule="exact"/>
              <w:rPr>
                <w:sz w:val="20"/>
                <w:szCs w:val="20"/>
                <w:color w:val="auto"/>
              </w:rPr>
            </w:pPr>
            <w:r>
              <w:rPr>
                <w:rFonts w:ascii="Arial" w:cs="Arial" w:eastAsia="Arial" w:hAnsi="Arial"/>
                <w:sz w:val="11"/>
                <w:szCs w:val="11"/>
                <w:b w:val="1"/>
                <w:bCs w:val="1"/>
                <w:color w:val="auto"/>
              </w:rPr>
              <w:t>Par /</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2"/>
              </w:rPr>
              <w:t>Expiration</w:t>
            </w: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Spectacle Gary Holdings, LLC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12/23/2025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20,478,378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5"/>
              </w:rPr>
              <w:t>$  19,804,843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19,864,027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Spectacle Gary Holdings, LLC </w:t>
            </w:r>
            <w:r>
              <w:rPr>
                <w:rFonts w:ascii="Arial" w:cs="Arial" w:eastAsia="Arial" w:hAnsi="Arial"/>
                <w:sz w:val="9"/>
                <w:szCs w:val="9"/>
                <w:color w:val="auto"/>
              </w:rPr>
              <w:t>(7)</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12/23/2025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1,121,622</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1"/>
                <w:szCs w:val="11"/>
                <w:color w:val="auto"/>
              </w:rPr>
              <w:t>(33,649)</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9"/>
                <w:szCs w:val="9"/>
                <w:color w:val="auto"/>
              </w:rPr>
              <w:t>(8),(11)</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11/24/2025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Food</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1,789,156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1,789,156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1,735,482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01/18/2024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17,660,607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17,410,805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17,528,153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01/18/2024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2,702,151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(20,267)</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TWS Acquisition Corporation (Revolver)</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06/16/2025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1,137,857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1,137,857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1,115,100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06/16/2025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505,714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(10,114)</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Tyto Athene, LLC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08/27/2024</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tcPr>
          <w:p>
            <w:pPr>
              <w:jc w:val="right"/>
              <w:spacing w:after="0"/>
              <w:rPr>
                <w:sz w:val="20"/>
                <w:szCs w:val="20"/>
                <w:color w:val="auto"/>
              </w:rPr>
            </w:pPr>
            <w:r>
              <w:rPr>
                <w:rFonts w:ascii="Arial" w:cs="Arial" w:eastAsia="Arial" w:hAnsi="Arial"/>
                <w:sz w:val="11"/>
                <w:szCs w:val="11"/>
                <w:color w:val="auto"/>
              </w:rPr>
              <w:t>6,027,680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5,998,741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6,008,392</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US Med Acquisition,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08/13/2021</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8,301,563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8,301,563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8,218,547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Walker Edison Furniture Company LLC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09/26/2024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Home and Office Furnishings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21,515,625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21,203,376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21,515,625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Wildcat Buyerco,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02/27/2026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9,145,221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8,970,259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9,053,770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9"/>
                <w:szCs w:val="9"/>
                <w:color w:val="auto"/>
              </w:rPr>
              <w:t>(7)</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02/27/2022</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2,573,529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3,217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02/27/2026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551,471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(10,037)</w:t>
            </w:r>
          </w:p>
        </w:tc>
      </w:tr>
      <w:tr>
        <w:trPr>
          <w:trHeight w:val="128"/>
        </w:trPr>
        <w:tc>
          <w:tcPr>
            <w:tcW w:w="302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412,081,391</w:t>
            </w:r>
          </w:p>
        </w:tc>
        <w:tc>
          <w:tcPr>
            <w:tcW w:w="220" w:type="dxa"/>
            <w:vAlign w:val="bottom"/>
            <w:tcBorders>
              <w:bottom w:val="single" w:sz="8" w:color="CCEC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402,168,282</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Debt—32.0%</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Confie Seguros Holding Co.</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10/31/2025</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8.66%</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tcPr>
          <w:p>
            <w:pPr>
              <w:jc w:val="right"/>
              <w:spacing w:after="0"/>
              <w:rPr>
                <w:sz w:val="20"/>
                <w:szCs w:val="20"/>
                <w:color w:val="auto"/>
              </w:rPr>
            </w:pPr>
            <w:r>
              <w:rPr>
                <w:rFonts w:ascii="Arial" w:cs="Arial" w:eastAsia="Arial" w:hAnsi="Arial"/>
                <w:sz w:val="11"/>
                <w:szCs w:val="11"/>
                <w:color w:val="auto"/>
              </w:rPr>
              <w:t>14,500,000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14,281,633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13,920,000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DecoPac,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03/31/2025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19,627,143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19,382,758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19,627,143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Halo Buyer,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07/06/2026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L+825</w:t>
            </w:r>
          </w:p>
        </w:tc>
        <w:tc>
          <w:tcPr>
            <w:tcW w:w="660" w:type="dxa"/>
            <w:vAlign w:val="bottom"/>
          </w:tcPr>
          <w:p>
            <w:pPr>
              <w:jc w:val="right"/>
              <w:spacing w:after="0"/>
              <w:rPr>
                <w:sz w:val="20"/>
                <w:szCs w:val="20"/>
                <w:color w:val="auto"/>
              </w:rPr>
            </w:pPr>
            <w:r>
              <w:rPr>
                <w:rFonts w:ascii="Arial" w:cs="Arial" w:eastAsia="Arial" w:hAnsi="Arial"/>
                <w:sz w:val="11"/>
                <w:szCs w:val="11"/>
                <w:color w:val="auto"/>
              </w:rPr>
              <w:t>32,500,000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32,062,567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31,460,000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Infogroup,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04/03/2024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Other 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L+925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20,400,000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20,157,649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20,145,000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MailSouth,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10/23/2024</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9"/>
                <w:szCs w:val="9"/>
                <w:color w:val="auto"/>
              </w:rPr>
              <w:t>(6)</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36,828,975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36,224,201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18,782,777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MBS Holdings,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01/02/2024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9.59%</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19,623,649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19,359,314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19,329,294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VT Topco,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08/24/2026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7.15%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9,956,408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9,800,000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Winter Park Intermediate,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04/06/2026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8.65%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35,300,000</w:t>
            </w: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34,816,687</w:t>
            </w: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35,300,000</w:t>
            </w:r>
          </w:p>
        </w:tc>
        <w:tc>
          <w:tcPr>
            <w:tcW w:w="100" w:type="dxa"/>
            <w:vAlign w:val="bottom"/>
            <w:shd w:val="clear" w:color="auto" w:fill="CCECFF"/>
          </w:tcPr>
          <w:p>
            <w:pPr>
              <w:spacing w:after="0"/>
              <w:rPr>
                <w:sz w:val="11"/>
                <w:szCs w:val="11"/>
                <w:color w:val="auto"/>
              </w:rPr>
            </w:pPr>
          </w:p>
        </w:tc>
      </w:tr>
      <w:tr>
        <w:trPr>
          <w:trHeight w:val="128"/>
        </w:trPr>
        <w:tc>
          <w:tcPr>
            <w:tcW w:w="3020" w:type="dxa"/>
            <w:vAlign w:val="bottom"/>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186,241,217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168,364,214</w:t>
            </w:r>
          </w:p>
        </w:tc>
        <w:tc>
          <w:tcPr>
            <w:tcW w:w="100" w:type="dxa"/>
            <w:vAlign w:val="bottom"/>
          </w:tcPr>
          <w:p>
            <w:pPr>
              <w:spacing w:after="0"/>
              <w:rPr>
                <w:sz w:val="11"/>
                <w:szCs w:val="11"/>
                <w:color w:val="auto"/>
              </w:rPr>
            </w:pPr>
          </w:p>
        </w:tc>
      </w:tr>
      <w:tr>
        <w:trPr>
          <w:trHeight w:val="128"/>
        </w:trPr>
        <w:tc>
          <w:tcPr>
            <w:tcW w:w="30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Subordinated Debt/Corporate Notes—9.6%</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Blackhawk Industrial Distribution,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03/17/2025</w:t>
            </w:r>
          </w:p>
        </w:tc>
        <w:tc>
          <w:tcPr>
            <w:tcW w:w="2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14,051,843</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13,842,572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13,665,417</w:t>
            </w:r>
          </w:p>
        </w:tc>
        <w:tc>
          <w:tcPr>
            <w:tcW w:w="100" w:type="dxa"/>
            <w:vAlign w:val="bottom"/>
          </w:tcPr>
          <w:p>
            <w:pPr>
              <w:spacing w:after="0"/>
              <w:rPr>
                <w:sz w:val="12"/>
                <w:szCs w:val="12"/>
                <w:color w:val="auto"/>
              </w:rPr>
            </w:pPr>
          </w:p>
        </w:tc>
      </w:tr>
      <w:tr>
        <w:trPr>
          <w:trHeight w:val="131"/>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2.00%)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Cascade Environmental LLC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12/30/2023</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13.00%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37,371,131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36,938,019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36,903,992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13.00%)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29"/>
        </w:trPr>
        <w:tc>
          <w:tcPr>
            <w:tcW w:w="3020" w:type="dxa"/>
            <w:vAlign w:val="bottom"/>
          </w:tcPr>
          <w:p>
            <w:pPr>
              <w:spacing w:after="0"/>
              <w:rPr>
                <w:sz w:val="20"/>
                <w:szCs w:val="20"/>
                <w:color w:val="auto"/>
              </w:rPr>
            </w:pPr>
            <w:r>
              <w:rPr>
                <w:rFonts w:ascii="Arial" w:cs="Arial" w:eastAsia="Arial" w:hAnsi="Arial"/>
                <w:sz w:val="11"/>
                <w:szCs w:val="11"/>
                <w:b w:val="1"/>
                <w:bCs w:val="1"/>
                <w:color w:val="auto"/>
              </w:rPr>
              <w:t>Total Subordinated Debt/Corporate Notes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50,780,591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50,569,409</w:t>
            </w:r>
          </w:p>
        </w:tc>
        <w:tc>
          <w:tcPr>
            <w:tcW w:w="100" w:type="dxa"/>
            <w:vAlign w:val="bottom"/>
          </w:tcPr>
          <w:p>
            <w:pPr>
              <w:spacing w:after="0"/>
              <w:rPr>
                <w:sz w:val="11"/>
                <w:szCs w:val="11"/>
                <w:color w:val="auto"/>
              </w:rPr>
            </w:pPr>
          </w:p>
        </w:tc>
      </w:tr>
      <w:tr>
        <w:trPr>
          <w:trHeight w:val="128"/>
        </w:trPr>
        <w:tc>
          <w:tcPr>
            <w:tcW w:w="30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Equity/Partnership Interests—4.1% </w:t>
            </w:r>
            <w:r>
              <w:rPr>
                <w:rFonts w:ascii="Arial" w:cs="Arial" w:eastAsia="Arial" w:hAnsi="Arial"/>
                <w:sz w:val="9"/>
                <w:szCs w:val="9"/>
                <w:b w:val="1"/>
                <w:bCs w:val="1"/>
                <w:color w:val="auto"/>
              </w:rPr>
              <w:t>(6)</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AH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167,083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Cascade Environmental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16.00%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178,304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17,607,478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17,652,053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556,000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64,277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71,233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9"/>
                <w:szCs w:val="9"/>
                <w:color w:val="auto"/>
              </w:rPr>
              <w:t>(8),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556,000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491,723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1,308,363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540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540,000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357,199</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NXOF Holdings, Inc. (Tyto Athene,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106,823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129,098</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1,347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1,346,530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1,409,711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(8),(11)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Food</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w:t>
            </w: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219,010</w:t>
            </w: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237,288</w:t>
            </w:r>
          </w:p>
        </w:tc>
        <w:tc>
          <w:tcPr>
            <w:tcW w:w="100" w:type="dxa"/>
            <w:vAlign w:val="bottom"/>
            <w:shd w:val="clear" w:color="auto" w:fill="CCECFF"/>
          </w:tcPr>
          <w:p>
            <w:pPr>
              <w:spacing w:after="0"/>
              <w:rPr>
                <w:sz w:val="11"/>
                <w:szCs w:val="11"/>
                <w:color w:val="auto"/>
              </w:rPr>
            </w:pPr>
          </w:p>
        </w:tc>
      </w:tr>
      <w:tr>
        <w:trPr>
          <w:trHeight w:val="129"/>
        </w:trPr>
        <w:tc>
          <w:tcPr>
            <w:tcW w:w="3020" w:type="dxa"/>
            <w:vAlign w:val="bottom"/>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20,875,841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21,332,028</w:t>
            </w:r>
          </w:p>
        </w:tc>
        <w:tc>
          <w:tcPr>
            <w:tcW w:w="100" w:type="dxa"/>
            <w:vAlign w:val="bottom"/>
          </w:tcPr>
          <w:p>
            <w:pPr>
              <w:spacing w:after="0"/>
              <w:rPr>
                <w:sz w:val="11"/>
                <w:szCs w:val="11"/>
                <w:color w:val="auto"/>
              </w:rPr>
            </w:pPr>
          </w:p>
        </w:tc>
      </w:tr>
      <w:tr>
        <w:trPr>
          <w:trHeight w:val="128"/>
        </w:trPr>
        <w:tc>
          <w:tcPr>
            <w:tcW w:w="30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w w:val="98"/>
              </w:rPr>
              <w:t xml:space="preserve">Common Equity/Partnership Interests/Warrants—17.7% </w:t>
            </w:r>
            <w:r>
              <w:rPr>
                <w:rFonts w:ascii="Arial" w:cs="Arial" w:eastAsia="Arial" w:hAnsi="Arial"/>
                <w:sz w:val="9"/>
                <w:szCs w:val="9"/>
                <w:b w:val="1"/>
                <w:bCs w:val="1"/>
                <w:color w:val="auto"/>
                <w:w w:val="98"/>
              </w:rPr>
              <w:t>(6)</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Affinion Group Holdings, Inc. (Warrants)</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04/10/2024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77,190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2,126,399</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805,164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1,002,599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194,836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AH Holdings, Inc. (Warrants)</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03/23/2021</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Altamira Intermediate Company II,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125,000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125,000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81,148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ASP LCG Holdings, Inc. (Warrants)</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05/05/2026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586,975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2,236,540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Cascade Environmental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33,901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2,852,080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696,346</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CI (Allied) Investment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120,962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1,243,217</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CI (Summit) Investment Holdings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Buildings and Real Estate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122,870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1,270,646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1,647,095</w:t>
            </w:r>
          </w:p>
        </w:tc>
        <w:tc>
          <w:tcPr>
            <w:tcW w:w="100" w:type="dxa"/>
            <w:vAlign w:val="bottom"/>
          </w:tcPr>
          <w:p>
            <w:pPr>
              <w:spacing w:after="0"/>
              <w:rPr>
                <w:sz w:val="12"/>
                <w:szCs w:val="12"/>
                <w:color w:val="auto"/>
              </w:rPr>
            </w:pPr>
          </w:p>
        </w:tc>
      </w:tr>
      <w:tr>
        <w:trPr>
          <w:trHeight w:val="131"/>
        </w:trPr>
        <w:tc>
          <w:tcPr>
            <w:tcW w:w="3020" w:type="dxa"/>
            <w:vAlign w:val="bottom"/>
          </w:tcPr>
          <w:p>
            <w:pPr>
              <w:ind w:left="140"/>
              <w:spacing w:after="0"/>
              <w:rPr>
                <w:sz w:val="20"/>
                <w:szCs w:val="20"/>
                <w:color w:val="auto"/>
              </w:rPr>
            </w:pPr>
            <w:r>
              <w:rPr>
                <w:rFonts w:ascii="Arial" w:cs="Arial" w:eastAsia="Arial" w:hAnsi="Arial"/>
                <w:sz w:val="11"/>
                <w:szCs w:val="11"/>
                <w:color w:val="auto"/>
              </w:rPr>
              <w:t>(SFP Holdings,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Cowboy Parent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22,500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2,250,000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1,165,785</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Arial" w:cs="Arial" w:eastAsia="Arial" w:hAnsi="Arial"/>
                <w:sz w:val="11"/>
                <w:szCs w:val="11"/>
                <w:color w:val="auto"/>
              </w:rPr>
              <w:t>(Blackhawk Industrial Distribution,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DecoPac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3,449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3,448,658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5,072,041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Electronics</w:t>
            </w: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167,537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167,537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254,307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1,004,625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1,029,685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Faraday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Building Materials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4,277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217,635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1,408,259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Gauge Lash Coinvest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889,376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1,053,800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1,565,301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Gauge Schlesinger Coinvest,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8,896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8,662</w:t>
            </w:r>
          </w:p>
        </w:tc>
        <w:tc>
          <w:tcPr>
            <w:tcW w:w="100" w:type="dxa"/>
            <w:vAlign w:val="bottom"/>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Gauge TVC Coinvest,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810,645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810,645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999,520</w:t>
            </w:r>
          </w:p>
        </w:tc>
        <w:tc>
          <w:tcPr>
            <w:tcW w:w="100" w:type="dxa"/>
            <w:vAlign w:val="bottom"/>
          </w:tcPr>
          <w:p>
            <w:pPr>
              <w:spacing w:after="0"/>
              <w:rPr>
                <w:sz w:val="12"/>
                <w:szCs w:val="12"/>
                <w:color w:val="auto"/>
              </w:rPr>
            </w:pPr>
          </w:p>
        </w:tc>
      </w:tr>
      <w:tr>
        <w:trPr>
          <w:trHeight w:val="131"/>
        </w:trPr>
        <w:tc>
          <w:tcPr>
            <w:tcW w:w="3020" w:type="dxa"/>
            <w:vAlign w:val="bottom"/>
          </w:tcPr>
          <w:p>
            <w:pPr>
              <w:ind w:left="140"/>
              <w:spacing w:after="0"/>
              <w:rPr>
                <w:sz w:val="20"/>
                <w:szCs w:val="20"/>
                <w:color w:val="auto"/>
              </w:rPr>
            </w:pPr>
            <w:r>
              <w:rPr>
                <w:rFonts w:ascii="Arial" w:cs="Arial" w:eastAsia="Arial" w:hAnsi="Arial"/>
                <w:sz w:val="11"/>
                <w:szCs w:val="11"/>
                <w:color w:val="auto"/>
              </w:rPr>
              <w:t>(TVC Enterprises, LLC)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111,574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Go Dawgs Capital III, LP</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Building Materials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675,325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675,325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675,325</w:t>
            </w:r>
          </w:p>
        </w:tc>
        <w:tc>
          <w:tcPr>
            <w:tcW w:w="100" w:type="dxa"/>
            <w:vAlign w:val="bottom"/>
          </w:tcPr>
          <w:p>
            <w:pPr>
              <w:spacing w:after="0"/>
              <w:rPr>
                <w:sz w:val="12"/>
                <w:szCs w:val="12"/>
                <w:color w:val="auto"/>
              </w:rPr>
            </w:pPr>
          </w:p>
        </w:tc>
      </w:tr>
      <w:tr>
        <w:trPr>
          <w:trHeight w:val="131"/>
        </w:trPr>
        <w:tc>
          <w:tcPr>
            <w:tcW w:w="3020" w:type="dxa"/>
            <w:vAlign w:val="bottom"/>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Green Veracity Holdings, LP - Class A</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2,886,104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Arial" w:cs="Arial" w:eastAsia="Arial" w:hAnsi="Arial"/>
                <w:sz w:val="11"/>
                <w:szCs w:val="11"/>
                <w:color w:val="auto"/>
              </w:rPr>
              <w:t>(VT Topco,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Infogroup Parent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Other 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181,495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2,040,000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2,522,594</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375,675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4,317,307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18,761,506</w:t>
            </w:r>
          </w:p>
        </w:tc>
        <w:tc>
          <w:tcPr>
            <w:tcW w:w="100" w:type="dxa"/>
            <w:vAlign w:val="bottom"/>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JWC-WE Holdings, L.P.</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Home and Office Furnishings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1,906,433</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1,906,433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12,010,531</w:t>
            </w:r>
          </w:p>
        </w:tc>
        <w:tc>
          <w:tcPr>
            <w:tcW w:w="100" w:type="dxa"/>
            <w:vAlign w:val="bottom"/>
          </w:tcPr>
          <w:p>
            <w:pPr>
              <w:spacing w:after="0"/>
              <w:rPr>
                <w:sz w:val="12"/>
                <w:szCs w:val="12"/>
                <w:color w:val="auto"/>
              </w:rPr>
            </w:pPr>
          </w:p>
        </w:tc>
      </w:tr>
      <w:tr>
        <w:trPr>
          <w:trHeight w:val="131"/>
        </w:trPr>
        <w:tc>
          <w:tcPr>
            <w:tcW w:w="3020" w:type="dxa"/>
            <w:vAlign w:val="bottom"/>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Kadmon Holdings, Inc. </w:t>
            </w:r>
            <w:r>
              <w:rPr>
                <w:rFonts w:ascii="Arial" w:cs="Arial" w:eastAsia="Arial" w:hAnsi="Arial"/>
                <w:sz w:val="9"/>
                <w:szCs w:val="9"/>
                <w:color w:val="auto"/>
              </w:rPr>
              <w:t>(5)</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252,014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2,265,639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987,895</w:t>
            </w:r>
          </w:p>
        </w:tc>
        <w:tc>
          <w:tcPr>
            <w:tcW w:w="100" w:type="dxa"/>
            <w:vAlign w:val="bottom"/>
            <w:shd w:val="clear" w:color="auto" w:fill="CCECFF"/>
          </w:tcPr>
          <w:p>
            <w:pPr>
              <w:spacing w:after="0"/>
              <w:rPr>
                <w:sz w:val="11"/>
                <w:szCs w:val="1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Maturity /</w:t>
            </w: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Expiration</w:t>
            </w:r>
          </w:p>
        </w:tc>
        <w:tc>
          <w:tcPr>
            <w:tcW w:w="240" w:type="dxa"/>
            <w:vAlign w:val="bottom"/>
          </w:tcPr>
          <w:p>
            <w:pPr>
              <w:spacing w:after="0"/>
              <w:rPr>
                <w:sz w:val="11"/>
                <w:szCs w:val="11"/>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Coupon</w:t>
            </w:r>
          </w:p>
        </w:tc>
        <w:tc>
          <w:tcPr>
            <w:tcW w:w="28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2"/>
              </w:rPr>
              <w:t>Shares</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rPr>
                <w:sz w:val="20"/>
                <w:szCs w:val="20"/>
                <w:color w:val="auto"/>
              </w:rPr>
            </w:pPr>
            <w:r>
              <w:rPr>
                <w:rFonts w:ascii="Arial" w:cs="Arial" w:eastAsia="Arial" w:hAnsi="Arial"/>
                <w:sz w:val="11"/>
                <w:szCs w:val="11"/>
                <w:color w:val="auto"/>
              </w:rPr>
              <w:t>Kentucky Racing Holdco, LLC (Warrants)</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161,252</w:t>
            </w: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417,910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Lariat ecoserv Co-Invest Holdings,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363,656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593,924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Lightspeed Investment Holdco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273,143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273,143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313,596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NXOF Holdings, Inc.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2,180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5,432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Pr>
          <w:p>
            <w:pPr>
              <w:ind w:left="140"/>
              <w:spacing w:after="0"/>
              <w:rPr>
                <w:sz w:val="20"/>
                <w:szCs w:val="20"/>
                <w:color w:val="auto"/>
              </w:rPr>
            </w:pPr>
            <w:r>
              <w:rPr>
                <w:rFonts w:ascii="Arial" w:cs="Arial" w:eastAsia="Arial" w:hAnsi="Arial"/>
                <w:sz w:val="11"/>
                <w:szCs w:val="11"/>
                <w:color w:val="auto"/>
              </w:rPr>
              <w:t>(Tyto Athene, LLC)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OceanSound Discovery Equity,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982,857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987,611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(Holdco Sands Intermediate,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103,995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96,667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SBI Holdings Investments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36,585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365,854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259,298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Pr>
          <w:p>
            <w:pPr>
              <w:ind w:left="140"/>
              <w:spacing w:after="0"/>
              <w:rPr>
                <w:sz w:val="20"/>
                <w:szCs w:val="20"/>
                <w:color w:val="auto"/>
              </w:rPr>
            </w:pPr>
            <w:r>
              <w:rPr>
                <w:rFonts w:ascii="Arial" w:cs="Arial" w:eastAsia="Arial" w:hAnsi="Arial"/>
                <w:sz w:val="11"/>
                <w:szCs w:val="11"/>
                <w:color w:val="auto"/>
              </w:rPr>
              <w:t>(Sales Benchmark Index LLC)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70,870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1,500,000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1,749,600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Pr>
          <w:p>
            <w:pPr>
              <w:ind w:left="140"/>
              <w:spacing w:after="0"/>
              <w:rPr>
                <w:sz w:val="20"/>
                <w:szCs w:val="20"/>
                <w:color w:val="auto"/>
              </w:rPr>
            </w:pPr>
            <w:r>
              <w:rPr>
                <w:rFonts w:ascii="Arial" w:cs="Arial" w:eastAsia="Arial" w:hAnsi="Arial"/>
                <w:sz w:val="11"/>
                <w:szCs w:val="11"/>
                <w:color w:val="auto"/>
              </w:rPr>
              <w:t>Class A (US Dominion, Inc.)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4,756,165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Class B (US Dominion, Inc.)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Food</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11,527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11,527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56,482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U.S. Well Services, Inc. - Class A </w:t>
            </w:r>
            <w:r>
              <w:rPr>
                <w:rFonts w:ascii="Arial" w:cs="Arial" w:eastAsia="Arial" w:hAnsi="Arial"/>
                <w:sz w:val="9"/>
                <w:szCs w:val="9"/>
                <w:color w:val="auto"/>
              </w:rPr>
              <w:t>(5),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1,261,201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3,021,880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341,029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WBB Equity,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628,571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628,571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2,753,143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Pr>
          <w:p>
            <w:pPr>
              <w:ind w:left="140"/>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Wheel Pros Holdings,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3,778,704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4,450,000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23,022,380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(Winter Park Intermediate, Inc.)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Wildcat Parent, LP (Wildcat Buyerco,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2,314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231,400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254,847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ZS Juniper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1,056,250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2,614,078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(Juniper Landscaping of Florida,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43,704,169</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93,240,733</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20" w:type="dxa"/>
            <w:vAlign w:val="bottom"/>
            <w:gridSpan w:val="4"/>
            <w:shd w:val="clear" w:color="auto" w:fill="CCECFF"/>
          </w:tcPr>
          <w:p>
            <w:pPr>
              <w:spacing w:after="0"/>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713,683,209</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735,674,666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20" w:type="dxa"/>
            <w:vAlign w:val="bottom"/>
            <w:gridSpan w:val="4"/>
          </w:tcPr>
          <w:p>
            <w:pPr>
              <w:spacing w:after="0"/>
              <w:rPr>
                <w:sz w:val="20"/>
                <w:szCs w:val="20"/>
                <w:color w:val="auto"/>
              </w:rPr>
            </w:pPr>
            <w:r>
              <w:rPr>
                <w:rFonts w:ascii="Arial" w:cs="Arial" w:eastAsia="Arial" w:hAnsi="Arial"/>
                <w:sz w:val="11"/>
                <w:szCs w:val="11"/>
                <w:b w:val="1"/>
                <w:bCs w:val="1"/>
                <w:color w:val="auto"/>
                <w:w w:val="97"/>
              </w:rPr>
              <w:t xml:space="preserve">Investments in Non-Controlled, Affiliated Portfolio Companies—5.3% </w:t>
            </w:r>
            <w:r>
              <w:rPr>
                <w:rFonts w:ascii="Arial" w:cs="Arial" w:eastAsia="Arial" w:hAnsi="Arial"/>
                <w:sz w:val="9"/>
                <w:szCs w:val="9"/>
                <w:b w:val="1"/>
                <w:bCs w:val="1"/>
                <w:color w:val="auto"/>
                <w:w w:val="97"/>
              </w:rPr>
              <w:t>(1), (2)</w:t>
            </w: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Equity/Partnership Interests—5.1% </w:t>
            </w:r>
            <w:r>
              <w:rPr>
                <w:rFonts w:ascii="Arial" w:cs="Arial" w:eastAsia="Arial" w:hAnsi="Arial"/>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61,732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6,173,200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5,055,851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153,922</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15,392,189</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21,795,244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21,565,389</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26,851,095</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w w:val="98"/>
              </w:rPr>
              <w:t xml:space="preserve">Common Equity/Partnership Interests/Warrants—0.2% </w:t>
            </w:r>
            <w:r>
              <w:rPr>
                <w:rFonts w:ascii="Arial" w:cs="Arial" w:eastAsia="Arial" w:hAnsi="Arial"/>
                <w:sz w:val="9"/>
                <w:szCs w:val="9"/>
                <w:b w:val="1"/>
                <w:bCs w:val="1"/>
                <w:color w:val="auto"/>
                <w:w w:val="98"/>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1,658,389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29,711,576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ETX Energy Management Company,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1,754,104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1,562,020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65,933</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24,789,935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902,798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56,063,531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902,798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20" w:type="dxa"/>
            <w:vAlign w:val="bottom"/>
            <w:tcBorders>
              <w:bottom w:val="single" w:sz="8" w:color="CCECFF"/>
            </w:tcBorders>
            <w:gridSpan w:val="4"/>
          </w:tcPr>
          <w:p>
            <w:pPr>
              <w:spacing w:after="0"/>
              <w:rPr>
                <w:sz w:val="20"/>
                <w:szCs w:val="20"/>
                <w:color w:val="auto"/>
              </w:rPr>
            </w:pPr>
            <w:r>
              <w:rPr>
                <w:rFonts w:ascii="Arial" w:cs="Arial" w:eastAsia="Arial" w:hAnsi="Arial"/>
                <w:sz w:val="11"/>
                <w:szCs w:val="11"/>
                <w:b w:val="1"/>
                <w:bCs w:val="1"/>
                <w:color w:val="auto"/>
              </w:rPr>
              <w:t>Total Investments in Non-Controlled, Affiliated Portfolio Companies</w:t>
            </w: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77,628,920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27,753,893</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20" w:type="dxa"/>
            <w:vAlign w:val="bottom"/>
            <w:gridSpan w:val="4"/>
            <w:shd w:val="clear" w:color="auto" w:fill="CCECFF"/>
          </w:tcPr>
          <w:p>
            <w:pPr>
              <w:spacing w:after="0"/>
              <w:rPr>
                <w:sz w:val="20"/>
                <w:szCs w:val="20"/>
                <w:color w:val="auto"/>
              </w:rPr>
            </w:pPr>
            <w:r>
              <w:rPr>
                <w:rFonts w:ascii="Arial" w:cs="Arial" w:eastAsia="Arial" w:hAnsi="Arial"/>
                <w:sz w:val="11"/>
                <w:szCs w:val="11"/>
                <w:b w:val="1"/>
                <w:bCs w:val="1"/>
                <w:color w:val="auto"/>
              </w:rPr>
              <w:t xml:space="preserve">Investments in Controlled, Affiliated Portfolio Companies—60.6% </w:t>
            </w:r>
            <w:r>
              <w:rPr>
                <w:rFonts w:ascii="Arial" w:cs="Arial" w:eastAsia="Arial" w:hAnsi="Arial"/>
                <w:sz w:val="9"/>
                <w:szCs w:val="9"/>
                <w:b w:val="1"/>
                <w:bCs w:val="1"/>
                <w:color w:val="auto"/>
              </w:rPr>
              <w:t>(1), (2)</w:t>
            </w: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b w:val="1"/>
                <w:bCs w:val="1"/>
                <w:color w:val="auto"/>
              </w:rPr>
              <w:t>First Lien Secured Debt—7.0%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03/13/2024</w:t>
            </w: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3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28,500,000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39,682,375</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36,844,800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39,682,375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36,844,800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Debt—10.0%</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PT Network Intermediate Holdings, LLC</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11/30/2024</w:t>
            </w:r>
          </w:p>
        </w:tc>
        <w:tc>
          <w:tcPr>
            <w:tcW w:w="240" w:type="dxa"/>
            <w:vAlign w:val="bottom"/>
          </w:tcPr>
          <w:p>
            <w:pPr>
              <w:spacing w:after="0"/>
              <w:rPr>
                <w:sz w:val="12"/>
                <w:szCs w:val="12"/>
                <w:color w:val="auto"/>
              </w:rPr>
            </w:pP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11.00%</w:t>
            </w:r>
          </w:p>
        </w:tc>
        <w:tc>
          <w:tcPr>
            <w:tcW w:w="840" w:type="dxa"/>
            <w:vAlign w:val="bottom"/>
          </w:tcPr>
          <w:p>
            <w:pPr>
              <w:jc w:val="right"/>
              <w:spacing w:after="0"/>
              <w:rPr>
                <w:sz w:val="20"/>
                <w:szCs w:val="20"/>
                <w:color w:val="auto"/>
              </w:rPr>
            </w:pPr>
            <w:r>
              <w:rPr>
                <w:rFonts w:ascii="Arial" w:cs="Arial" w:eastAsia="Arial" w:hAnsi="Arial"/>
                <w:sz w:val="11"/>
                <w:szCs w:val="11"/>
                <w:color w:val="auto"/>
              </w:rPr>
              <w:t>3M L+1,000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4"/>
              </w:rPr>
              <w:t>52,479,266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52,094,291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52,479,266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11.00%)</w:t>
            </w: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52,094,291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52,479,266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rPr>
                <w:sz w:val="20"/>
                <w:szCs w:val="20"/>
                <w:color w:val="auto"/>
              </w:rPr>
            </w:pPr>
            <w:r>
              <w:rPr>
                <w:rFonts w:ascii="Arial" w:cs="Arial" w:eastAsia="Arial" w:hAnsi="Arial"/>
                <w:sz w:val="11"/>
                <w:szCs w:val="11"/>
                <w:b w:val="1"/>
                <w:bCs w:val="1"/>
                <w:color w:val="auto"/>
              </w:rPr>
              <w:t>Subordinated Debt—12.0%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9"/>
                <w:szCs w:val="9"/>
                <w:color w:val="auto"/>
              </w:rPr>
              <w:t>(11)</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07/31/2027</w:t>
            </w: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9.00%</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L+800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63,000,000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63,000,000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63,000,000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Subordinated Debt</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63,000,000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63,000,000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Equity—2.3% </w:t>
            </w:r>
            <w:r>
              <w:rPr>
                <w:rFonts w:ascii="Arial" w:cs="Arial" w:eastAsia="Arial" w:hAnsi="Arial"/>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36,450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546,750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296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L+1,000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10,725,000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12,215,888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Preferred Equity</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11,271,750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12,215,888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Common Equity—29.3% </w:t>
            </w:r>
            <w:r>
              <w:rPr>
                <w:rFonts w:ascii="Arial" w:cs="Arial" w:eastAsia="Arial" w:hAnsi="Arial"/>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950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132,497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927,315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333,333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9"/>
                <w:szCs w:val="9"/>
                <w:color w:val="auto"/>
              </w:rPr>
              <w:t>(11)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4"/>
              </w:rPr>
              <w:t>33,221,176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33,221,176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36,262,577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7,150,000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26,689,495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RAM Energy Holdings LLC</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90"/>
              </w:rPr>
              <w:t>Energy and Utilities</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180,805</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162,708,073</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89,923,518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Common Equity</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208,211,746</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153,802,905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w w:val="89"/>
              </w:rPr>
              <w:t>Total Investments in Controlled, Affiliated Portfolio Companies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374,260,162</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318,342,859</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Investments—205.8%</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88"/>
              </w:rPr>
              <w:t>1,165,572,291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3"/>
              </w:rPr>
              <w:t>1,081,771,418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rPr>
                <w:sz w:val="20"/>
                <w:szCs w:val="20"/>
                <w:color w:val="auto"/>
              </w:rPr>
            </w:pPr>
            <w:r>
              <w:rPr>
                <w:rFonts w:ascii="Arial" w:cs="Arial" w:eastAsia="Arial" w:hAnsi="Arial"/>
                <w:sz w:val="11"/>
                <w:szCs w:val="11"/>
                <w:b w:val="1"/>
                <w:bCs w:val="1"/>
                <w:color w:val="auto"/>
              </w:rPr>
              <w:t>Cash and Cash Equivalents—4.9%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2,277,244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2,277,244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BNY Mellon Cash Reserve and Cash</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23,523,843</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23,528,758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25,801,087</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25,806,002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1"/>
                <w:szCs w:val="11"/>
                <w:b w:val="1"/>
                <w:bCs w:val="1"/>
                <w:color w:val="auto"/>
              </w:rPr>
              <w:t>Total Investments and Cash Equivalents—210.7%</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w w:val="88"/>
              </w:rPr>
              <w:t>1,191,373,378</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w w:val="93"/>
              </w:rPr>
              <w:t>1,107,577,420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CFF"/>
            </w:tcBorders>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Assets—(110.7%)</w:t>
            </w: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5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6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8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4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960" w:type="dxa"/>
            <w:vAlign w:val="bottom"/>
            <w:vMerge w:val="continue"/>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rPr>
              <w:t>(581,868,568)</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b w:val="1"/>
                <w:bCs w:val="1"/>
                <w:color w:val="auto"/>
              </w:rPr>
              <w:t>Net Assets—100.0%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525,708,852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9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right="120" w:hanging="372"/>
        <w:spacing w:after="0" w:line="269"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4" w:name="page15"/>
    <w:bookmarkEnd w:id="14"/>
    <w:p>
      <w:pPr>
        <w:ind w:left="372" w:hanging="372"/>
        <w:spacing w:after="0"/>
        <w:tabs>
          <w:tab w:leader="none" w:pos="372"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5"/>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5"/>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72" w:hanging="372"/>
        <w:spacing w:after="0"/>
        <w:tabs>
          <w:tab w:leader="none" w:pos="372" w:val="left"/>
        </w:tabs>
        <w:numPr>
          <w:ilvl w:val="0"/>
          <w:numId w:val="5"/>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5"/>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5"/>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spacing w:after="0" w:line="7" w:lineRule="exact"/>
        <w:rPr>
          <w:rFonts w:ascii="Arial" w:cs="Arial" w:eastAsia="Arial" w:hAnsi="Arial"/>
          <w:sz w:val="12"/>
          <w:szCs w:val="12"/>
          <w:color w:val="auto"/>
        </w:rPr>
      </w:pPr>
    </w:p>
    <w:p>
      <w:pPr>
        <w:ind w:left="372" w:hanging="372"/>
        <w:spacing w:after="0" w:line="278" w:lineRule="auto"/>
        <w:tabs>
          <w:tab w:leader="none" w:pos="372"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2020, qualifying assets represent 87% of the Company’s total assets and non-qualifying assets represent 13% of the Company’s total assets.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390" w:right="35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40"/>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ind w:left="5060"/>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221"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Our investment objectives are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88"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the day-to-day operations of, and provides investment advisory services to, SBIC II under a separate investment management agreement. We have also entered into an administration agreement, or the Administration Agreement, with the Administrator, which provides the administrative services necessary for us to operate. PennantPark Investment, through the Administrator, also provides similar services to SBIC II under a separate administration agreement. See Note 3.</w:t>
      </w:r>
    </w:p>
    <w:p>
      <w:pPr>
        <w:spacing w:after="0" w:line="188"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SBIC II, our wholly 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196"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Funding I, a wholly-owned subsidiary and a special purpose entity of the Company prior to July 31, 2020, was organized in Delaware as a limited liability company in February 2019. We formed Funding I in order to establish the BNP Credit Facility. The Investment Adviser serves as the servicer to Funding I and, prior to deconsolidation, had irrevocably directed that the management fee owed to it with respect to such services be paid to us so long as the Investment Adviser remains the servicer. This arrangement did not increase our consolidated management fee. The BNP Credit Facility allows Funding I to borrow up to $275 million at LIBOR (or an alternative risk-free floating interest rate index) plus 260 basis points during the reinvestment period. The BNP Credit Facility is secured by all of the assets held by Funding I. Funding I is no longer a subsidiary of PennantPark Investment as result of the joint venture described below.</w:t>
      </w:r>
    </w:p>
    <w:p>
      <w:pPr>
        <w:spacing w:after="0" w:line="190" w:lineRule="exact"/>
        <w:rPr>
          <w:sz w:val="20"/>
          <w:szCs w:val="20"/>
          <w:color w:val="auto"/>
        </w:rPr>
      </w:pPr>
    </w:p>
    <w:p>
      <w:pPr>
        <w:ind w:right="220" w:firstLine="438"/>
        <w:spacing w:after="0" w:line="255" w:lineRule="auto"/>
        <w:rPr>
          <w:sz w:val="20"/>
          <w:szCs w:val="20"/>
          <w:color w:val="auto"/>
        </w:rPr>
      </w:pPr>
      <w:r>
        <w:rPr>
          <w:rFonts w:ascii="Arial" w:cs="Arial" w:eastAsia="Arial" w:hAnsi="Arial"/>
          <w:sz w:val="13"/>
          <w:szCs w:val="13"/>
          <w:color w:val="auto"/>
        </w:rPr>
        <w:t>On July 31, 2020, we and certain entities and managed accounts of the private credit investment manager of Pantheon Ventures (UK) LLP, or Pantheon, entered into a limited liability company agreement to co-manage PSLF, a newly-formed unconsolidated joint venture. In connection with this transaction, we contributed in-kind our formerly wholly-owned subsidiary, Funding I. As a result of this transaction, Funding I became a wholly-owned subsidiary of PSLF and has been deconsolidated from our financial statements. PSLF invests primarily in middle-market and other corporate debt securities consistent with our strategy. PSLF was formed as a Delaware limited liability company. See Note 4.</w:t>
      </w:r>
    </w:p>
    <w:p>
      <w:pPr>
        <w:spacing w:after="0" w:line="188"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87"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We are operated by a person who has claimed an exclusion from the definition of the term “commodity pool operator” under the Commodity Exchange Act and, therefore, is not subject to registration or regulation as a commodity pool operator under the Commodity Exchange Act.</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221" w:lineRule="exact"/>
        <w:rPr>
          <w:sz w:val="20"/>
          <w:szCs w:val="20"/>
          <w:color w:val="auto"/>
        </w:rPr>
      </w:pPr>
    </w:p>
    <w:p>
      <w:pPr>
        <w:ind w:firstLine="438"/>
        <w:spacing w:after="0" w:line="271" w:lineRule="auto"/>
        <w:rPr>
          <w:sz w:val="20"/>
          <w:szCs w:val="20"/>
          <w:color w:val="auto"/>
        </w:rPr>
      </w:pPr>
      <w:r>
        <w:rPr>
          <w:rFonts w:ascii="Arial" w:cs="Arial" w:eastAsia="Arial" w:hAnsi="Arial"/>
          <w:sz w:val="12"/>
          <w:szCs w:val="12"/>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the global outbreak of the novel coronavirus (“COVID-19”) and any other parameters used in determining these estimates and assumptions could cause actual results to differ from such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78"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217" w:lineRule="exact"/>
        <w:rPr>
          <w:sz w:val="20"/>
          <w:szCs w:val="20"/>
          <w:color w:val="auto"/>
        </w:rPr>
      </w:pPr>
    </w:p>
    <w:p>
      <w:pPr>
        <w:ind w:left="620" w:hanging="369"/>
        <w:spacing w:after="0"/>
        <w:tabs>
          <w:tab w:leader="none" w:pos="62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217" w:lineRule="exact"/>
        <w:rPr>
          <w:sz w:val="20"/>
          <w:szCs w:val="20"/>
          <w:color w:val="auto"/>
        </w:rPr>
      </w:pPr>
    </w:p>
    <w:p>
      <w:pPr>
        <w:ind w:right="100"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92"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87" w:lineRule="exact"/>
        <w:rPr>
          <w:sz w:val="20"/>
          <w:szCs w:val="20"/>
          <w:color w:val="auto"/>
        </w:rPr>
      </w:pPr>
    </w:p>
    <w:p>
      <w:pPr>
        <w:ind w:left="800" w:right="400" w:hanging="360"/>
        <w:spacing w:after="0" w:line="253" w:lineRule="auto"/>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87" w:lineRule="exact"/>
        <w:rPr>
          <w:rFonts w:ascii="Arial" w:cs="Arial" w:eastAsia="Arial" w:hAnsi="Arial"/>
          <w:sz w:val="14"/>
          <w:szCs w:val="14"/>
          <w:color w:val="auto"/>
        </w:rPr>
      </w:pPr>
    </w:p>
    <w:p>
      <w:pPr>
        <w:ind w:left="800" w:hanging="360"/>
        <w:spacing w:after="0"/>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217" w:lineRule="exact"/>
        <w:rPr>
          <w:rFonts w:ascii="Arial" w:cs="Arial" w:eastAsia="Arial" w:hAnsi="Arial"/>
          <w:sz w:val="14"/>
          <w:szCs w:val="14"/>
          <w:color w:val="auto"/>
        </w:rPr>
      </w:pPr>
    </w:p>
    <w:p>
      <w:pPr>
        <w:ind w:left="800" w:right="160" w:hanging="360"/>
        <w:spacing w:after="0" w:line="253" w:lineRule="auto"/>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6" w:name="page17"/>
    <w:bookmarkEnd w:id="16"/>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left="800"/>
        <w:spacing w:after="0" w:line="253" w:lineRule="auto"/>
        <w:rPr>
          <w:sz w:val="20"/>
          <w:szCs w:val="20"/>
          <w:color w:val="auto"/>
        </w:rPr>
      </w:pPr>
      <w:r>
        <w:rPr>
          <w:rFonts w:ascii="Arial" w:cs="Arial" w:eastAsia="Arial" w:hAnsi="Arial"/>
          <w:sz w:val="14"/>
          <w:szCs w:val="14"/>
          <w:color w:val="auto"/>
        </w:rPr>
        <w:t>preliminary valuations in light of their own independent assessment and also in light of any market quotations obtained from an independent pricing service, broker, dealer or market maker;</w:t>
      </w:r>
    </w:p>
    <w:p>
      <w:pPr>
        <w:spacing w:after="0" w:line="187" w:lineRule="exact"/>
        <w:rPr>
          <w:sz w:val="20"/>
          <w:szCs w:val="20"/>
          <w:color w:val="auto"/>
        </w:rPr>
      </w:pPr>
    </w:p>
    <w:p>
      <w:pPr>
        <w:ind w:left="800" w:right="60" w:hanging="360"/>
        <w:spacing w:after="0" w:line="238" w:lineRule="auto"/>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96" w:lineRule="exact"/>
        <w:rPr>
          <w:rFonts w:ascii="Arial" w:cs="Arial" w:eastAsia="Arial" w:hAnsi="Arial"/>
          <w:sz w:val="14"/>
          <w:szCs w:val="14"/>
          <w:color w:val="auto"/>
        </w:rPr>
      </w:pPr>
    </w:p>
    <w:p>
      <w:pPr>
        <w:ind w:left="800" w:right="200" w:hanging="360"/>
        <w:spacing w:after="0" w:line="253" w:lineRule="auto"/>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87" w:lineRule="exact"/>
        <w:rPr>
          <w:sz w:val="20"/>
          <w:szCs w:val="20"/>
          <w:color w:val="auto"/>
        </w:rPr>
      </w:pPr>
    </w:p>
    <w:p>
      <w:pPr>
        <w:ind w:right="400" w:firstLine="438"/>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73" w:lineRule="exact"/>
        <w:rPr>
          <w:sz w:val="20"/>
          <w:szCs w:val="20"/>
          <w:color w:val="auto"/>
        </w:rPr>
      </w:pPr>
    </w:p>
    <w:p>
      <w:pPr>
        <w:ind w:left="620" w:hanging="369"/>
        <w:spacing w:after="0"/>
        <w:tabs>
          <w:tab w:leader="none" w:pos="62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217"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Credit Facilities during the reporting period, including the reversal of previously recorded unrealized appreciation or depreciation, when gains or losses are realized.</w:t>
      </w:r>
    </w:p>
    <w:p>
      <w:pPr>
        <w:spacing w:after="0" w:line="198"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92"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March 31, 2021, we did not have any portfolio companies on non-accrual. As of September 30, 2020, we had two portfolio companies on non-accrual, representing 4.9% and 3.4% of our overall portfolio on a cost and fair value basis, respectively.</w:t>
      </w:r>
    </w:p>
    <w:p>
      <w:pPr>
        <w:spacing w:after="0" w:line="197" w:lineRule="exact"/>
        <w:rPr>
          <w:sz w:val="20"/>
          <w:szCs w:val="20"/>
          <w:color w:val="auto"/>
        </w:rPr>
      </w:pPr>
    </w:p>
    <w:p>
      <w:pPr>
        <w:ind w:left="620" w:hanging="369"/>
        <w:spacing w:after="0"/>
        <w:tabs>
          <w:tab w:leader="none" w:pos="62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217" w:lineRule="exact"/>
        <w:rPr>
          <w:sz w:val="20"/>
          <w:szCs w:val="20"/>
          <w:color w:val="auto"/>
        </w:rPr>
      </w:pPr>
    </w:p>
    <w:p>
      <w:pPr>
        <w:ind w:right="20" w:firstLine="438"/>
        <w:spacing w:after="0" w:line="269" w:lineRule="auto"/>
        <w:rPr>
          <w:sz w:val="20"/>
          <w:szCs w:val="20"/>
          <w:color w:val="auto"/>
        </w:rPr>
      </w:pPr>
      <w:r>
        <w:rPr>
          <w:rFonts w:ascii="Arial" w:cs="Arial" w:eastAsia="Arial" w:hAnsi="Arial"/>
          <w:sz w:val="12"/>
          <w:szCs w:val="12"/>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U.S. federal excise tax. Additionally, certain of the Company’s consolidated subsidiaries are subject to U.S. federal and state income taxes. For the three and six months ended March 31, 2021, we recorded a provision for taxes of $0.2 million and $0.3 million (approximately one-half of which was for U.S. federal excise tax and the remainder for U.S. federal and state income taxes and franchise taxes related to the Taxable Subsidiaries), respectively. For the three and six months ended March 31, 2020, we recorded a provision for taxes of $0.3 million and $0.6 million (approximately one-half of which was for U.S. federal excise tax and the remainder for U.S. federal and state income taxes and franchise taxes related to the Taxable Subsidiaries), respectively.</w:t>
      </w:r>
    </w:p>
    <w:p>
      <w:pPr>
        <w:spacing w:after="0" w:line="180" w:lineRule="exact"/>
        <w:rPr>
          <w:sz w:val="20"/>
          <w:szCs w:val="20"/>
          <w:color w:val="auto"/>
        </w:rPr>
      </w:pPr>
    </w:p>
    <w:p>
      <w:pPr>
        <w:ind w:right="22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U.S. federal and state income tax returns, the Company’s major tax jurisdiction is federal.</w:t>
      </w:r>
    </w:p>
    <w:p>
      <w:pPr>
        <w:spacing w:after="0" w:line="113" w:lineRule="exact"/>
        <w:rPr>
          <w:sz w:val="20"/>
          <w:szCs w:val="20"/>
          <w:color w:val="auto"/>
        </w:rPr>
      </w:pPr>
    </w:p>
    <w:p>
      <w:pPr>
        <w:ind w:right="320" w:firstLine="438"/>
        <w:spacing w:after="0" w:line="296" w:lineRule="auto"/>
        <w:rPr>
          <w:sz w:val="20"/>
          <w:szCs w:val="20"/>
          <w:color w:val="auto"/>
        </w:rPr>
      </w:pPr>
      <w:r>
        <w:rPr>
          <w:rFonts w:ascii="Arial" w:cs="Arial" w:eastAsia="Arial" w:hAnsi="Arial"/>
          <w:sz w:val="12"/>
          <w:szCs w:val="12"/>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64" w:lineRule="exact"/>
        <w:rPr>
          <w:sz w:val="20"/>
          <w:szCs w:val="20"/>
          <w:color w:val="auto"/>
        </w:rPr>
      </w:pPr>
    </w:p>
    <w:p>
      <w:pPr>
        <w:ind w:left="620" w:hanging="369"/>
        <w:spacing w:after="0"/>
        <w:tabs>
          <w:tab w:leader="none" w:pos="62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217"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96"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40"/>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ind w:left="620" w:hanging="369"/>
        <w:spacing w:after="0"/>
        <w:tabs>
          <w:tab w:leader="none" w:pos="62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217" w:lineRule="exact"/>
        <w:rPr>
          <w:sz w:val="20"/>
          <w:szCs w:val="20"/>
          <w:color w:val="auto"/>
        </w:rPr>
      </w:pPr>
    </w:p>
    <w:p>
      <w:pPr>
        <w:ind w:left="800" w:hanging="360"/>
        <w:spacing w:after="0"/>
        <w:tabs>
          <w:tab w:leader="none" w:pos="8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85" w:lineRule="exact"/>
        <w:rPr>
          <w:sz w:val="20"/>
          <w:szCs w:val="20"/>
          <w:color w:val="auto"/>
        </w:rPr>
      </w:pPr>
    </w:p>
    <w:p>
      <w:pPr>
        <w:jc w:val="both"/>
        <w:ind w:right="26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96"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96" w:lineRule="exact"/>
        <w:rPr>
          <w:sz w:val="20"/>
          <w:szCs w:val="20"/>
          <w:color w:val="auto"/>
        </w:rPr>
      </w:pPr>
    </w:p>
    <w:p>
      <w:pPr>
        <w:ind w:left="620" w:hanging="369"/>
        <w:spacing w:after="0"/>
        <w:tabs>
          <w:tab w:leader="none" w:pos="620" w:val="left"/>
        </w:tabs>
        <w:numPr>
          <w:ilvl w:val="0"/>
          <w:numId w:val="1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136"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SBIC II and our Taxable Subsidiaries in our Consolidated Financial Statements. We do not consolidate our investment in PSLF. See further description of our investment in PSLF in Note 4.</w:t>
      </w:r>
    </w:p>
    <w:p>
      <w:pPr>
        <w:spacing w:after="0" w:line="182" w:lineRule="exact"/>
        <w:rPr>
          <w:sz w:val="20"/>
          <w:szCs w:val="20"/>
          <w:color w:val="auto"/>
        </w:rPr>
      </w:pPr>
    </w:p>
    <w:p>
      <w:pPr>
        <w:ind w:left="620" w:hanging="369"/>
        <w:spacing w:after="0"/>
        <w:tabs>
          <w:tab w:leader="none" w:pos="620" w:val="left"/>
        </w:tabs>
        <w:numPr>
          <w:ilvl w:val="0"/>
          <w:numId w:val="1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Asset Transfers and Servicing</w:t>
      </w:r>
    </w:p>
    <w:p>
      <w:pPr>
        <w:spacing w:after="0" w:line="217"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its assets and such assets are not intended to be available to the creditors of PennantPark Investment or any of its affiliates.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221" w:lineRule="exact"/>
        <w:rPr>
          <w:sz w:val="20"/>
          <w:szCs w:val="20"/>
          <w:color w:val="auto"/>
        </w:rPr>
      </w:pPr>
    </w:p>
    <w:p>
      <w:pPr>
        <w:ind w:right="40" w:firstLine="438"/>
        <w:spacing w:after="0" w:line="248"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2021. Under the Investment Management Agreement, the Investment Adviser, subject to the overall supervision of our board of directors, manages the day-to-day operations of, and provides investment advisory services to, us. The Investment Adviser serves as the servicer to Funding I and, prior to deconsolidation, had irrevocably directed that the management fee owed to it with respect to such services be paid to the Company so long as the Investment Adviser remains the servicer. SBIC II’s investment management agreement does not affect the management or incentive fees that we pay to the Investment Adviser on a consolidated basis. For providing these services, the Investment Adviser receives a fee from us, consisting of two components — a base management fee and an incentive fee or, collectively, Management Fees.</w:t>
      </w:r>
    </w:p>
    <w:p>
      <w:pPr>
        <w:spacing w:after="0" w:line="194"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2021, the Investment Adviser earned a base management fee of $4.3 million and $8.4 million, respectively, from us. For the three and six months ended March 31, 2020, the Investment Adviser earned a base management fee of $4.9 million and $9.6 million, respectively, from us.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23" w:lineRule="exact"/>
        <w:rPr>
          <w:sz w:val="20"/>
          <w:szCs w:val="20"/>
          <w:color w:val="auto"/>
        </w:rPr>
      </w:pPr>
    </w:p>
    <w:p>
      <w:pPr>
        <w:ind w:right="40" w:firstLine="438"/>
        <w:spacing w:after="0" w:line="243"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w:t>
      </w:r>
    </w:p>
    <w:p>
      <w:pPr>
        <w:spacing w:after="0" w:line="114" w:lineRule="exact"/>
        <w:rPr>
          <w:sz w:val="20"/>
          <w:szCs w:val="20"/>
          <w:color w:val="auto"/>
        </w:rPr>
      </w:pPr>
    </w:p>
    <w:p>
      <w:pPr>
        <w:ind w:right="180" w:firstLine="438"/>
        <w:spacing w:after="0" w:line="264" w:lineRule="auto"/>
        <w:rPr>
          <w:sz w:val="20"/>
          <w:szCs w:val="20"/>
          <w:color w:val="auto"/>
        </w:rPr>
      </w:pPr>
      <w:r>
        <w:rPr>
          <w:rFonts w:ascii="Arial" w:cs="Arial" w:eastAsia="Arial" w:hAnsi="Arial"/>
          <w:sz w:val="13"/>
          <w:szCs w:val="13"/>
          <w:color w:val="auto"/>
        </w:rPr>
        <w:t>Beginning April 1, 2020 and through March 31, 2021, the Investment Adviser has voluntarily agreed, in consultation with our board of directors, to irrevocably waive the performance-based incentive fees. For the three and six months ended March 31, 2021, the Investment Adviser did not earn an incentive fee on net investment income from us. For the three and six months ended March 31, 2020, the Investment Adviser earned $1.9 million and $2.7 million, respectively, in incentive fees on net investment income from us.</w:t>
      </w:r>
    </w:p>
    <w:p>
      <w:pPr>
        <w:spacing w:after="0" w:line="101" w:lineRule="exact"/>
        <w:rPr>
          <w:sz w:val="20"/>
          <w:szCs w:val="20"/>
          <w:color w:val="auto"/>
        </w:rPr>
      </w:pPr>
    </w:p>
    <w:p>
      <w:pPr>
        <w:ind w:right="100" w:firstLine="438"/>
        <w:spacing w:after="0" w:line="290"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340" w:lineRule="exact"/>
        <w:rPr>
          <w:sz w:val="20"/>
          <w:szCs w:val="20"/>
          <w:color w:val="auto"/>
        </w:rPr>
      </w:pPr>
    </w:p>
    <w:p>
      <w:pPr>
        <w:ind w:right="240"/>
        <w:spacing w:after="0" w:line="335" w:lineRule="auto"/>
        <w:rPr>
          <w:sz w:val="20"/>
          <w:szCs w:val="20"/>
          <w:color w:val="auto"/>
        </w:rPr>
      </w:pPr>
      <w:r>
        <w:rPr>
          <w:rFonts w:ascii="Arial" w:cs="Arial" w:eastAsia="Arial" w:hAnsi="Arial"/>
          <w:sz w:val="12"/>
          <w:szCs w:val="12"/>
          <w:color w:val="auto"/>
        </w:rPr>
        <w:t>realized capital losses and unrealized capital depreciation on a cumulative basis, less the aggregate amount of any previously paid capital gain incentive fees. For each of the three and six months ended March 31, 2021 and 2020, the Investment Adviser did not accrue an incentive fee on capital gains as calculated under the Investment Management Agreement (as described above).</w:t>
      </w:r>
    </w:p>
    <w:p>
      <w:pPr>
        <w:spacing w:after="0" w:line="47"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For each of the three and six months ended March 31, 2021 and 2020, the Investment Adviser did not accrue an incentive fee on capital gains as calculated under GAAP.</w:t>
      </w:r>
    </w:p>
    <w:p>
      <w:pPr>
        <w:spacing w:after="0" w:line="192" w:lineRule="exact"/>
        <w:rPr>
          <w:sz w:val="20"/>
          <w:szCs w:val="20"/>
          <w:color w:val="auto"/>
        </w:rPr>
      </w:pPr>
    </w:p>
    <w:p>
      <w:pPr>
        <w:ind w:right="100" w:firstLine="438"/>
        <w:spacing w:after="0" w:line="244"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2021. Under the Administration Agreement, the Administrator provides administrative services and office facilities to us. The Administrator provides similar services to SBIC II under its administration agreement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six months ended March 31, 2021, we reimbursed the Investment Adviser approximately $0.5 million and $0.7 million, respectively, including expenses the Investment Adviser incurred on behalf of the Administrator, for the services described above. For the three and six months ended March 31, 2020, we reimbursed the Investment Adviser approximately $0.5 million and $0.8 million, respectively, including expenses the Investment Adviser incurred on behalf of the Administrator, for the services described above.</w:t>
      </w:r>
    </w:p>
    <w:p>
      <w:pPr>
        <w:spacing w:after="0" w:line="198"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There were no transactions subject to Rule 17a-7 under the 1940 Act during both the three and six months ended March 31, 2021. For the each of three and six months ended March 31, 2020, the Company purchased $15.0 million in total investments from an affiliated fund managed by our Investment Adviser in accordance with, and pursuant to, procedures adopted under Rule 17a-7 of the 1940 Act.</w:t>
      </w:r>
    </w:p>
    <w:p>
      <w:pPr>
        <w:spacing w:after="0" w:line="196" w:lineRule="exact"/>
        <w:rPr>
          <w:sz w:val="20"/>
          <w:szCs w:val="20"/>
          <w:color w:val="auto"/>
        </w:rPr>
      </w:pPr>
    </w:p>
    <w:p>
      <w:pPr>
        <w:jc w:val="both"/>
        <w:ind w:right="120" w:firstLine="438"/>
        <w:spacing w:after="0" w:line="253" w:lineRule="auto"/>
        <w:rPr>
          <w:sz w:val="20"/>
          <w:szCs w:val="20"/>
          <w:color w:val="auto"/>
        </w:rPr>
      </w:pPr>
      <w:r>
        <w:rPr>
          <w:rFonts w:ascii="Arial" w:cs="Arial" w:eastAsia="Arial" w:hAnsi="Arial"/>
          <w:sz w:val="14"/>
          <w:szCs w:val="14"/>
          <w:color w:val="auto"/>
        </w:rPr>
        <w:t>For the three and six months ended March 31, 2021, we sold $15.5 million $37.8 million in investments to PSLF at fair value, respectively, and recognized $0.1 million and $0.5 million of net realized gains,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221" w:lineRule="exact"/>
        <w:rPr>
          <w:sz w:val="20"/>
          <w:szCs w:val="20"/>
          <w:color w:val="auto"/>
        </w:rPr>
      </w:pPr>
    </w:p>
    <w:p>
      <w:pPr>
        <w:jc w:val="both"/>
        <w:ind w:right="140" w:firstLine="438"/>
        <w:spacing w:after="0" w:line="296" w:lineRule="auto"/>
        <w:rPr>
          <w:sz w:val="20"/>
          <w:szCs w:val="20"/>
          <w:color w:val="auto"/>
        </w:rPr>
      </w:pPr>
      <w:r>
        <w:rPr>
          <w:rFonts w:ascii="Arial" w:cs="Arial" w:eastAsia="Arial" w:hAnsi="Arial"/>
          <w:sz w:val="12"/>
          <w:szCs w:val="12"/>
          <w:color w:val="auto"/>
        </w:rPr>
        <w:t>Purchases of investments, including PIK interest, for the three and six months ended March 31, 2021 totaled $78.4 million and $150.1 million, respectively. For the same periods in the prior year, purchases of investments, including PIK interest, totaled $110.3 million and $288.7 million, respectively. Sales and repayments of investments for the three and six months ended March 31, 2021 totaled $65.0 million and $167.6 million, respectively. For the same periods in the prior year, sales and repayments of investments totaled $16.4 million and $47.5 million, respectively.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ind w:left="780"/>
              <w:spacing w:after="0"/>
              <w:rPr>
                <w:sz w:val="20"/>
                <w:szCs w:val="20"/>
                <w:color w:val="auto"/>
              </w:rPr>
            </w:pPr>
            <w:r>
              <w:rPr>
                <w:rFonts w:ascii="Arial" w:cs="Arial" w:eastAsia="Arial" w:hAnsi="Arial"/>
                <w:sz w:val="14"/>
                <w:szCs w:val="14"/>
                <w:b w:val="1"/>
                <w:bCs w:val="1"/>
                <w:color w:val="auto"/>
                <w:w w:val="98"/>
              </w:rPr>
              <w:t>March 31, 2021</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3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444,419,098</w:t>
            </w:r>
          </w:p>
        </w:tc>
        <w:tc>
          <w:tcPr>
            <w:tcW w:w="260" w:type="dxa"/>
            <w:vAlign w:val="bottom"/>
            <w:tcBorders>
              <w:top w:val="single" w:sz="8" w:color="CCECFF"/>
            </w:tcBorders>
            <w:shd w:val="clear" w:color="auto" w:fill="CCECFF"/>
          </w:tcPr>
          <w:p>
            <w:pPr>
              <w:spacing w:after="0"/>
              <w:rPr>
                <w:sz w:val="13"/>
                <w:szCs w:val="13"/>
                <w:color w:val="auto"/>
              </w:rPr>
            </w:pPr>
          </w:p>
        </w:tc>
        <w:tc>
          <w:tcPr>
            <w:tcW w:w="380" w:type="dxa"/>
            <w:vAlign w:val="bottom"/>
            <w:tcBorders>
              <w:top w:val="single" w:sz="8" w:color="auto"/>
            </w:tcBorders>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443,453,935</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451,763,766</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439,013,082</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194,171,645</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194,558,646</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238,335,508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220,843,480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53,472,154</w:t>
            </w:r>
          </w:p>
        </w:tc>
        <w:tc>
          <w:tcPr>
            <w:tcW w:w="2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54,007,950</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50,780,591</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50,569,409</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Subordinated notes in PSLF</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64,154,571</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64,154,571</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63,000,000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63,000,000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342,262,469</w:t>
            </w:r>
          </w:p>
        </w:tc>
        <w:tc>
          <w:tcPr>
            <w:tcW w:w="2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378,823,151</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328,471,250</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272,082,870</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 in PSLF</w:t>
            </w:r>
          </w:p>
        </w:tc>
        <w:tc>
          <w:tcPr>
            <w:tcW w:w="1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33,892,823</w:t>
            </w:r>
          </w:p>
        </w:tc>
        <w:tc>
          <w:tcPr>
            <w:tcW w:w="260" w:type="dxa"/>
            <w:vAlign w:val="bottom"/>
            <w:tcBorders>
              <w:bottom w:val="single" w:sz="8" w:color="CCEC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40,239,290</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33,221,176</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36,262,577</w:t>
            </w:r>
          </w:p>
        </w:tc>
        <w:tc>
          <w:tcPr>
            <w:tcW w:w="12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1,132,372,760</w:t>
            </w:r>
          </w:p>
        </w:tc>
        <w:tc>
          <w:tcPr>
            <w:tcW w:w="260" w:type="dxa"/>
            <w:vAlign w:val="bottom"/>
            <w:shd w:val="clear" w:color="auto" w:fill="CCECFF"/>
          </w:tcPr>
          <w:p>
            <w:pPr>
              <w:spacing w:after="0"/>
              <w:rPr>
                <w:sz w:val="13"/>
                <w:szCs w:val="13"/>
                <w:color w:val="auto"/>
              </w:rPr>
            </w:pPr>
          </w:p>
        </w:tc>
        <w:tc>
          <w:tcPr>
            <w:tcW w:w="38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1,175,237,543</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1,165,572,291</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1,081,771,418</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33,833,269</w:t>
            </w:r>
          </w:p>
        </w:tc>
        <w:tc>
          <w:tcPr>
            <w:tcW w:w="260" w:type="dxa"/>
            <w:vAlign w:val="bottom"/>
            <w:tcBorders>
              <w:bottom w:val="single" w:sz="8" w:color="CCEC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33,855,496</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25,801,087</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25,806,002</w:t>
            </w:r>
          </w:p>
        </w:tc>
        <w:tc>
          <w:tcPr>
            <w:tcW w:w="12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1,166,206,029</w:t>
            </w:r>
          </w:p>
        </w:tc>
        <w:tc>
          <w:tcPr>
            <w:tcW w:w="260" w:type="dxa"/>
            <w:vAlign w:val="bottom"/>
            <w:tcBorders>
              <w:bottom w:val="single" w:sz="8" w:color="CCECFF"/>
            </w:tcBorders>
            <w:shd w:val="clear" w:color="auto" w:fill="CCECFF"/>
          </w:tcPr>
          <w:p>
            <w:pPr>
              <w:spacing w:after="0"/>
              <w:rPr>
                <w:sz w:val="13"/>
                <w:szCs w:val="13"/>
                <w:color w:val="auto"/>
              </w:rPr>
            </w:pPr>
          </w:p>
        </w:tc>
        <w:tc>
          <w:tcPr>
            <w:tcW w:w="380" w:type="dxa"/>
            <w:vAlign w:val="bottom"/>
            <w:tcBorders>
              <w:bottom w:val="single" w:sz="8" w:color="auto"/>
            </w:tcBorders>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1,209,093,039</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1,191,373,378</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1,107,577,420</w:t>
            </w:r>
          </w:p>
        </w:tc>
        <w:tc>
          <w:tcPr>
            <w:tcW w:w="12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ind w:left="800"/>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9" w:name="page20"/>
    <w:bookmarkEnd w:id="19"/>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ind w:right="54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1860" w:type="dxa"/>
            <w:vAlign w:val="bottom"/>
          </w:tcPr>
          <w:p>
            <w:pPr>
              <w:jc w:val="right"/>
              <w:ind w:right="308"/>
              <w:spacing w:after="0"/>
              <w:rPr>
                <w:sz w:val="20"/>
                <w:szCs w:val="20"/>
                <w:color w:val="auto"/>
              </w:rPr>
            </w:pPr>
            <w:r>
              <w:rPr>
                <w:rFonts w:ascii="Arial" w:cs="Arial" w:eastAsia="Arial" w:hAnsi="Arial"/>
                <w:sz w:val="14"/>
                <w:szCs w:val="14"/>
                <w:b w:val="1"/>
                <w:bCs w:val="1"/>
                <w:color w:val="auto"/>
              </w:rPr>
              <w:t xml:space="preserve">March 31, 2021 </w:t>
            </w:r>
            <w:r>
              <w:rPr>
                <w:rFonts w:ascii="Arial" w:cs="Arial" w:eastAsia="Arial" w:hAnsi="Arial"/>
                <w:sz w:val="12"/>
                <w:szCs w:val="12"/>
                <w:b w:val="1"/>
                <w:bCs w:val="1"/>
                <w:color w:val="auto"/>
              </w:rPr>
              <w:t>(1)</w:t>
            </w:r>
          </w:p>
        </w:tc>
        <w:tc>
          <w:tcPr>
            <w:tcW w:w="520" w:type="dxa"/>
            <w:vAlign w:val="bottom"/>
          </w:tcPr>
          <w:p>
            <w:pPr>
              <w:spacing w:after="0"/>
              <w:rPr>
                <w:sz w:val="18"/>
                <w:szCs w:val="18"/>
                <w:color w:val="auto"/>
              </w:rPr>
            </w:pPr>
          </w:p>
        </w:tc>
        <w:tc>
          <w:tcPr>
            <w:tcW w:w="2880" w:type="dxa"/>
            <w:vAlign w:val="bottom"/>
          </w:tcPr>
          <w:p>
            <w:pPr>
              <w:jc w:val="right"/>
              <w:ind w:right="688"/>
              <w:spacing w:after="0"/>
              <w:rPr>
                <w:sz w:val="20"/>
                <w:szCs w:val="20"/>
                <w:color w:val="auto"/>
              </w:rPr>
            </w:pPr>
            <w:r>
              <w:rPr>
                <w:rFonts w:ascii="Arial" w:cs="Arial" w:eastAsia="Arial" w:hAnsi="Arial"/>
                <w:sz w:val="14"/>
                <w:szCs w:val="14"/>
                <w:b w:val="1"/>
                <w:bCs w:val="1"/>
                <w:color w:val="auto"/>
              </w:rPr>
              <w:t xml:space="preserve">September 30, 2020 </w:t>
            </w:r>
            <w:r>
              <w:rPr>
                <w:rFonts w:ascii="Arial" w:cs="Arial" w:eastAsia="Arial" w:hAnsi="Arial"/>
                <w:sz w:val="12"/>
                <w:szCs w:val="12"/>
                <w:b w:val="1"/>
                <w:bCs w:val="1"/>
                <w:color w:val="auto"/>
              </w:rPr>
              <w:t>(1)</w:t>
            </w:r>
          </w:p>
        </w:tc>
        <w:tc>
          <w:tcPr>
            <w:tcW w:w="320" w:type="dxa"/>
            <w:vAlign w:val="bottom"/>
          </w:tcPr>
          <w:p>
            <w:pPr>
              <w:spacing w:after="0"/>
              <w:rPr>
                <w:sz w:val="18"/>
                <w:szCs w:val="18"/>
                <w:color w:val="auto"/>
              </w:rPr>
            </w:pPr>
          </w:p>
        </w:tc>
      </w:tr>
      <w:tr>
        <w:trPr>
          <w:trHeight w:val="156"/>
        </w:trPr>
        <w:tc>
          <w:tcPr>
            <w:tcW w:w="544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220" w:type="dxa"/>
            <w:vAlign w:val="bottom"/>
            <w:tcBorders>
              <w:top w:val="single" w:sz="8" w:color="CCECFF"/>
            </w:tcBorders>
            <w:shd w:val="clear" w:color="auto" w:fill="CCECFF"/>
          </w:tcPr>
          <w:p>
            <w:pPr>
              <w:spacing w:after="0"/>
              <w:rPr>
                <w:sz w:val="13"/>
                <w:szCs w:val="13"/>
                <w:color w:val="auto"/>
              </w:rPr>
            </w:pPr>
          </w:p>
        </w:tc>
        <w:tc>
          <w:tcPr>
            <w:tcW w:w="1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w:t>
            </w:r>
          </w:p>
        </w:tc>
        <w:tc>
          <w:tcPr>
            <w:tcW w:w="520" w:type="dxa"/>
            <w:vAlign w:val="bottom"/>
            <w:tcBorders>
              <w:top w:val="single" w:sz="8" w:color="CCECFF"/>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2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w:t>
            </w:r>
          </w:p>
        </w:tc>
        <w:tc>
          <w:tcPr>
            <w:tcW w:w="320" w:type="dxa"/>
            <w:vAlign w:val="bottom"/>
            <w:tcBorders>
              <w:top w:val="single" w:sz="8" w:color="CCECFF"/>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62"/>
        </w:trPr>
        <w:tc>
          <w:tcPr>
            <w:tcW w:w="5660" w:type="dxa"/>
            <w:vAlign w:val="bottom"/>
            <w:gridSpan w:val="3"/>
          </w:tcPr>
          <w:p>
            <w:pPr>
              <w:spacing w:after="0"/>
              <w:rPr>
                <w:sz w:val="20"/>
                <w:szCs w:val="20"/>
                <w:color w:val="auto"/>
              </w:rPr>
            </w:pPr>
            <w:r>
              <w:rPr>
                <w:rFonts w:ascii="Arial" w:cs="Arial" w:eastAsia="Arial" w:hAnsi="Arial"/>
                <w:sz w:val="14"/>
                <w:szCs w:val="14"/>
                <w:color w:val="auto"/>
              </w:rPr>
              <w:t>Energy and Utilities</w:t>
            </w:r>
          </w:p>
        </w:tc>
        <w:tc>
          <w:tcPr>
            <w:tcW w:w="1860" w:type="dxa"/>
            <w:vAlign w:val="bottom"/>
          </w:tcPr>
          <w:p>
            <w:pPr>
              <w:jc w:val="right"/>
              <w:spacing w:after="0"/>
              <w:rPr>
                <w:sz w:val="20"/>
                <w:szCs w:val="20"/>
                <w:color w:val="auto"/>
              </w:rPr>
            </w:pPr>
            <w:r>
              <w:rPr>
                <w:rFonts w:ascii="Arial" w:cs="Arial" w:eastAsia="Arial" w:hAnsi="Arial"/>
                <w:sz w:val="14"/>
                <w:szCs w:val="14"/>
                <w:color w:val="auto"/>
              </w:rPr>
              <w:t>7</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9</w:t>
            </w:r>
          </w:p>
        </w:tc>
        <w:tc>
          <w:tcPr>
            <w:tcW w:w="320" w:type="dxa"/>
            <w:vAlign w:val="bottom"/>
          </w:tcPr>
          <w:p>
            <w:pPr>
              <w:spacing w:after="0"/>
              <w:rPr>
                <w:sz w:val="14"/>
                <w:szCs w:val="14"/>
                <w:color w:val="auto"/>
              </w:rPr>
            </w:pPr>
          </w:p>
        </w:tc>
      </w:tr>
      <w:tr>
        <w:trPr>
          <w:trHeight w:val="162"/>
        </w:trPr>
        <w:tc>
          <w:tcPr>
            <w:tcW w:w="56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Consumer Products</w:t>
            </w:r>
          </w:p>
        </w:tc>
        <w:tc>
          <w:tcPr>
            <w:tcW w:w="1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20" w:type="dxa"/>
            <w:vAlign w:val="bottom"/>
            <w:shd w:val="clear" w:color="auto" w:fill="CCECFF"/>
          </w:tcPr>
          <w:p>
            <w:pPr>
              <w:spacing w:after="0"/>
              <w:rPr>
                <w:sz w:val="14"/>
                <w:szCs w:val="14"/>
                <w:color w:val="auto"/>
              </w:rPr>
            </w:pPr>
          </w:p>
        </w:tc>
      </w:tr>
      <w:tr>
        <w:trPr>
          <w:trHeight w:val="162"/>
        </w:trPr>
        <w:tc>
          <w:tcPr>
            <w:tcW w:w="5660" w:type="dxa"/>
            <w:vAlign w:val="bottom"/>
            <w:gridSpan w:val="3"/>
          </w:tcPr>
          <w:p>
            <w:pPr>
              <w:spacing w:after="0"/>
              <w:rPr>
                <w:sz w:val="20"/>
                <w:szCs w:val="20"/>
                <w:color w:val="auto"/>
              </w:rPr>
            </w:pPr>
            <w:r>
              <w:rPr>
                <w:rFonts w:ascii="Arial" w:cs="Arial" w:eastAsia="Arial" w:hAnsi="Arial"/>
                <w:sz w:val="14"/>
                <w:szCs w:val="14"/>
                <w:color w:val="auto"/>
              </w:rPr>
              <w:t>Environmental Services</w:t>
            </w:r>
          </w:p>
        </w:tc>
        <w:tc>
          <w:tcPr>
            <w:tcW w:w="1860" w:type="dxa"/>
            <w:vAlign w:val="bottom"/>
          </w:tcPr>
          <w:p>
            <w:pPr>
              <w:jc w:val="right"/>
              <w:spacing w:after="0"/>
              <w:rPr>
                <w:sz w:val="20"/>
                <w:szCs w:val="20"/>
                <w:color w:val="auto"/>
              </w:rPr>
            </w:pPr>
            <w:r>
              <w:rPr>
                <w:rFonts w:ascii="Arial" w:cs="Arial" w:eastAsia="Arial" w:hAnsi="Arial"/>
                <w:sz w:val="14"/>
                <w:szCs w:val="14"/>
                <w:color w:val="auto"/>
              </w:rPr>
              <w:t>6</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4"/>
                <w:szCs w:val="14"/>
                <w:color w:val="auto"/>
              </w:rPr>
            </w:pPr>
          </w:p>
        </w:tc>
      </w:tr>
      <w:tr>
        <w:trPr>
          <w:trHeight w:val="162"/>
        </w:trPr>
        <w:tc>
          <w:tcPr>
            <w:tcW w:w="56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Distribution</w:t>
            </w:r>
          </w:p>
        </w:tc>
        <w:tc>
          <w:tcPr>
            <w:tcW w:w="1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r>
      <w:tr>
        <w:trPr>
          <w:trHeight w:val="162"/>
        </w:trPr>
        <w:tc>
          <w:tcPr>
            <w:tcW w:w="5660" w:type="dxa"/>
            <w:vAlign w:val="bottom"/>
            <w:gridSpan w:val="3"/>
          </w:tcPr>
          <w:p>
            <w:pPr>
              <w:spacing w:after="0"/>
              <w:rPr>
                <w:sz w:val="20"/>
                <w:szCs w:val="20"/>
                <w:color w:val="auto"/>
              </w:rPr>
            </w:pPr>
            <w:r>
              <w:rPr>
                <w:rFonts w:ascii="Arial" w:cs="Arial" w:eastAsia="Arial" w:hAnsi="Arial"/>
                <w:sz w:val="14"/>
                <w:szCs w:val="14"/>
                <w:color w:val="auto"/>
              </w:rPr>
              <w:t>Media</w:t>
            </w:r>
          </w:p>
        </w:tc>
        <w:tc>
          <w:tcPr>
            <w:tcW w:w="1860" w:type="dxa"/>
            <w:vAlign w:val="bottom"/>
          </w:tcPr>
          <w:p>
            <w:pPr>
              <w:jc w:val="right"/>
              <w:spacing w:after="0"/>
              <w:rPr>
                <w:sz w:val="20"/>
                <w:szCs w:val="20"/>
                <w:color w:val="auto"/>
              </w:rPr>
            </w:pPr>
            <w:r>
              <w:rPr>
                <w:rFonts w:ascii="Arial" w:cs="Arial" w:eastAsia="Arial" w:hAnsi="Arial"/>
                <w:sz w:val="14"/>
                <w:szCs w:val="14"/>
                <w:color w:val="auto"/>
              </w:rPr>
              <w:t>5</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4"/>
                <w:szCs w:val="14"/>
                <w:color w:val="auto"/>
              </w:rPr>
            </w:pPr>
          </w:p>
        </w:tc>
      </w:tr>
      <w:tr>
        <w:trPr>
          <w:trHeight w:val="162"/>
        </w:trPr>
        <w:tc>
          <w:tcPr>
            <w:tcW w:w="56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Building Materials</w:t>
            </w:r>
          </w:p>
        </w:tc>
        <w:tc>
          <w:tcPr>
            <w:tcW w:w="1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r>
      <w:tr>
        <w:trPr>
          <w:trHeight w:val="162"/>
        </w:trPr>
        <w:tc>
          <w:tcPr>
            <w:tcW w:w="5660" w:type="dxa"/>
            <w:vAlign w:val="bottom"/>
            <w:gridSpan w:val="3"/>
          </w:tcPr>
          <w:p>
            <w:pPr>
              <w:spacing w:after="0"/>
              <w:rPr>
                <w:sz w:val="20"/>
                <w:szCs w:val="20"/>
                <w:color w:val="auto"/>
              </w:rPr>
            </w:pPr>
            <w:r>
              <w:rPr>
                <w:rFonts w:ascii="Arial" w:cs="Arial" w:eastAsia="Arial" w:hAnsi="Arial"/>
                <w:sz w:val="14"/>
                <w:szCs w:val="14"/>
                <w:color w:val="auto"/>
              </w:rPr>
              <w:t>Business Services</w:t>
            </w:r>
          </w:p>
        </w:tc>
        <w:tc>
          <w:tcPr>
            <w:tcW w:w="1860" w:type="dxa"/>
            <w:vAlign w:val="bottom"/>
          </w:tcPr>
          <w:p>
            <w:pPr>
              <w:jc w:val="right"/>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r>
      <w:tr>
        <w:trPr>
          <w:trHeight w:val="162"/>
        </w:trPr>
        <w:tc>
          <w:tcPr>
            <w:tcW w:w="56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Home and Office Furnishings</w:t>
            </w:r>
          </w:p>
        </w:tc>
        <w:tc>
          <w:tcPr>
            <w:tcW w:w="1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r>
      <w:tr>
        <w:trPr>
          <w:trHeight w:val="162"/>
        </w:trPr>
        <w:tc>
          <w:tcPr>
            <w:tcW w:w="5660" w:type="dxa"/>
            <w:vAlign w:val="bottom"/>
            <w:gridSpan w:val="3"/>
          </w:tcPr>
          <w:p>
            <w:pPr>
              <w:spacing w:after="0"/>
              <w:rPr>
                <w:sz w:val="20"/>
                <w:szCs w:val="20"/>
                <w:color w:val="auto"/>
              </w:rPr>
            </w:pPr>
            <w:r>
              <w:rPr>
                <w:rFonts w:ascii="Arial" w:cs="Arial" w:eastAsia="Arial" w:hAnsi="Arial"/>
                <w:sz w:val="14"/>
                <w:szCs w:val="14"/>
                <w:color w:val="auto"/>
              </w:rPr>
              <w:t>Hotels, Motels, Inns and Gaming</w:t>
            </w:r>
          </w:p>
        </w:tc>
        <w:tc>
          <w:tcPr>
            <w:tcW w:w="1860" w:type="dxa"/>
            <w:vAlign w:val="bottom"/>
          </w:tcPr>
          <w:p>
            <w:pPr>
              <w:jc w:val="right"/>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r>
      <w:tr>
        <w:trPr>
          <w:trHeight w:val="162"/>
        </w:trPr>
        <w:tc>
          <w:tcPr>
            <w:tcW w:w="56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Aerospace and Defense</w:t>
            </w:r>
          </w:p>
        </w:tc>
        <w:tc>
          <w:tcPr>
            <w:tcW w:w="1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r>
      <w:tr>
        <w:trPr>
          <w:trHeight w:val="162"/>
        </w:trPr>
        <w:tc>
          <w:tcPr>
            <w:tcW w:w="5660" w:type="dxa"/>
            <w:vAlign w:val="bottom"/>
            <w:gridSpan w:val="3"/>
          </w:tcPr>
          <w:p>
            <w:pPr>
              <w:spacing w:after="0"/>
              <w:rPr>
                <w:sz w:val="20"/>
                <w:szCs w:val="20"/>
                <w:color w:val="auto"/>
              </w:rPr>
            </w:pPr>
            <w:r>
              <w:rPr>
                <w:rFonts w:ascii="Arial" w:cs="Arial" w:eastAsia="Arial" w:hAnsi="Arial"/>
                <w:sz w:val="14"/>
                <w:szCs w:val="14"/>
                <w:color w:val="auto"/>
              </w:rPr>
              <w:t>Education</w:t>
            </w:r>
          </w:p>
        </w:tc>
        <w:tc>
          <w:tcPr>
            <w:tcW w:w="1860" w:type="dxa"/>
            <w:vAlign w:val="bottom"/>
          </w:tcPr>
          <w:p>
            <w:pPr>
              <w:jc w:val="right"/>
              <w:spacing w:after="0"/>
              <w:rPr>
                <w:sz w:val="20"/>
                <w:szCs w:val="20"/>
                <w:color w:val="auto"/>
              </w:rPr>
            </w:pPr>
            <w:r>
              <w:rPr>
                <w:rFonts w:ascii="Arial" w:cs="Arial" w:eastAsia="Arial" w:hAnsi="Arial"/>
                <w:sz w:val="14"/>
                <w:szCs w:val="14"/>
                <w:color w:val="auto"/>
              </w:rPr>
              <w:t>3</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r>
      <w:tr>
        <w:trPr>
          <w:trHeight w:val="162"/>
        </w:trPr>
        <w:tc>
          <w:tcPr>
            <w:tcW w:w="56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Insurance</w:t>
            </w:r>
          </w:p>
        </w:tc>
        <w:tc>
          <w:tcPr>
            <w:tcW w:w="1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r>
      <w:tr>
        <w:trPr>
          <w:trHeight w:val="162"/>
        </w:trPr>
        <w:tc>
          <w:tcPr>
            <w:tcW w:w="5660" w:type="dxa"/>
            <w:vAlign w:val="bottom"/>
            <w:gridSpan w:val="3"/>
          </w:tcPr>
          <w:p>
            <w:pPr>
              <w:spacing w:after="0"/>
              <w:rPr>
                <w:sz w:val="20"/>
                <w:szCs w:val="20"/>
                <w:color w:val="auto"/>
              </w:rPr>
            </w:pPr>
            <w:r>
              <w:rPr>
                <w:rFonts w:ascii="Arial" w:cs="Arial" w:eastAsia="Arial" w:hAnsi="Arial"/>
                <w:sz w:val="14"/>
                <w:szCs w:val="14"/>
                <w:color w:val="auto"/>
              </w:rPr>
              <w:t>Personal, Food and Miscellaneous Services</w:t>
            </w:r>
          </w:p>
        </w:tc>
        <w:tc>
          <w:tcPr>
            <w:tcW w:w="1860" w:type="dxa"/>
            <w:vAlign w:val="bottom"/>
          </w:tcPr>
          <w:p>
            <w:pPr>
              <w:jc w:val="right"/>
              <w:spacing w:after="0"/>
              <w:rPr>
                <w:sz w:val="20"/>
                <w:szCs w:val="20"/>
                <w:color w:val="auto"/>
              </w:rPr>
            </w:pPr>
            <w:r>
              <w:rPr>
                <w:rFonts w:ascii="Arial" w:cs="Arial" w:eastAsia="Arial" w:hAnsi="Arial"/>
                <w:sz w:val="14"/>
                <w:szCs w:val="14"/>
                <w:color w:val="auto"/>
              </w:rPr>
              <w:t>3</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r>
      <w:tr>
        <w:trPr>
          <w:trHeight w:val="162"/>
        </w:trPr>
        <w:tc>
          <w:tcPr>
            <w:tcW w:w="56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Printing and Publishing</w:t>
            </w:r>
          </w:p>
        </w:tc>
        <w:tc>
          <w:tcPr>
            <w:tcW w:w="1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r>
      <w:tr>
        <w:trPr>
          <w:trHeight w:val="162"/>
        </w:trPr>
        <w:tc>
          <w:tcPr>
            <w:tcW w:w="5660" w:type="dxa"/>
            <w:vAlign w:val="bottom"/>
            <w:gridSpan w:val="3"/>
          </w:tcPr>
          <w:p>
            <w:pPr>
              <w:spacing w:after="0"/>
              <w:rPr>
                <w:sz w:val="20"/>
                <w:szCs w:val="20"/>
                <w:color w:val="auto"/>
              </w:rPr>
            </w:pPr>
            <w:r>
              <w:rPr>
                <w:rFonts w:ascii="Arial" w:cs="Arial" w:eastAsia="Arial" w:hAnsi="Arial"/>
                <w:sz w:val="14"/>
                <w:szCs w:val="14"/>
                <w:color w:val="auto"/>
              </w:rPr>
              <w:t>Auto Sector</w:t>
            </w:r>
          </w:p>
        </w:tc>
        <w:tc>
          <w:tcPr>
            <w:tcW w:w="1860" w:type="dxa"/>
            <w:vAlign w:val="bottom"/>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4"/>
                <w:szCs w:val="14"/>
                <w:color w:val="auto"/>
              </w:rPr>
            </w:pPr>
          </w:p>
        </w:tc>
      </w:tr>
      <w:tr>
        <w:trPr>
          <w:trHeight w:val="162"/>
        </w:trPr>
        <w:tc>
          <w:tcPr>
            <w:tcW w:w="56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Beverage, Food and Tobacco</w:t>
            </w:r>
          </w:p>
        </w:tc>
        <w:tc>
          <w:tcPr>
            <w:tcW w:w="1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r>
      <w:tr>
        <w:trPr>
          <w:trHeight w:val="162"/>
        </w:trPr>
        <w:tc>
          <w:tcPr>
            <w:tcW w:w="5660" w:type="dxa"/>
            <w:vAlign w:val="bottom"/>
            <w:gridSpan w:val="3"/>
          </w:tcPr>
          <w:p>
            <w:pPr>
              <w:spacing w:after="0"/>
              <w:rPr>
                <w:sz w:val="20"/>
                <w:szCs w:val="20"/>
                <w:color w:val="auto"/>
              </w:rPr>
            </w:pPr>
            <w:r>
              <w:rPr>
                <w:rFonts w:ascii="Arial" w:cs="Arial" w:eastAsia="Arial" w:hAnsi="Arial"/>
                <w:sz w:val="14"/>
                <w:szCs w:val="14"/>
                <w:color w:val="auto"/>
              </w:rPr>
              <w:t>Chemicals, Plastics and Rubber</w:t>
            </w:r>
          </w:p>
        </w:tc>
        <w:tc>
          <w:tcPr>
            <w:tcW w:w="1860" w:type="dxa"/>
            <w:vAlign w:val="bottom"/>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r>
      <w:tr>
        <w:trPr>
          <w:trHeight w:val="162"/>
        </w:trPr>
        <w:tc>
          <w:tcPr>
            <w:tcW w:w="56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Electronics</w:t>
            </w:r>
          </w:p>
        </w:tc>
        <w:tc>
          <w:tcPr>
            <w:tcW w:w="1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r>
      <w:tr>
        <w:trPr>
          <w:trHeight w:val="162"/>
        </w:trPr>
        <w:tc>
          <w:tcPr>
            <w:tcW w:w="5660" w:type="dxa"/>
            <w:vAlign w:val="bottom"/>
            <w:gridSpan w:val="3"/>
          </w:tcPr>
          <w:p>
            <w:pPr>
              <w:spacing w:after="0"/>
              <w:rPr>
                <w:sz w:val="20"/>
                <w:szCs w:val="20"/>
                <w:color w:val="auto"/>
              </w:rPr>
            </w:pPr>
            <w:r>
              <w:rPr>
                <w:rFonts w:ascii="Arial" w:cs="Arial" w:eastAsia="Arial" w:hAnsi="Arial"/>
                <w:sz w:val="14"/>
                <w:szCs w:val="14"/>
                <w:color w:val="auto"/>
              </w:rPr>
              <w:t>Other Media</w:t>
            </w:r>
          </w:p>
        </w:tc>
        <w:tc>
          <w:tcPr>
            <w:tcW w:w="1860" w:type="dxa"/>
            <w:vAlign w:val="bottom"/>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r>
      <w:tr>
        <w:trPr>
          <w:trHeight w:val="162"/>
        </w:trPr>
        <w:tc>
          <w:tcPr>
            <w:tcW w:w="56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1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r>
      <w:tr>
        <w:trPr>
          <w:trHeight w:val="162"/>
        </w:trPr>
        <w:tc>
          <w:tcPr>
            <w:tcW w:w="5660" w:type="dxa"/>
            <w:vAlign w:val="bottom"/>
            <w:gridSpan w:val="3"/>
          </w:tcPr>
          <w:p>
            <w:pPr>
              <w:spacing w:after="0"/>
              <w:rPr>
                <w:sz w:val="20"/>
                <w:szCs w:val="20"/>
                <w:color w:val="auto"/>
              </w:rPr>
            </w:pPr>
            <w:r>
              <w:rPr>
                <w:rFonts w:ascii="Arial" w:cs="Arial" w:eastAsia="Arial" w:hAnsi="Arial"/>
                <w:sz w:val="14"/>
                <w:szCs w:val="14"/>
                <w:color w:val="auto"/>
              </w:rPr>
              <w:t>Transportation</w:t>
            </w:r>
          </w:p>
        </w:tc>
        <w:tc>
          <w:tcPr>
            <w:tcW w:w="1860" w:type="dxa"/>
            <w:vAlign w:val="bottom"/>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r>
      <w:tr>
        <w:trPr>
          <w:trHeight w:val="162"/>
        </w:trPr>
        <w:tc>
          <w:tcPr>
            <w:tcW w:w="56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Manufacturing / Basic Industries</w:t>
            </w:r>
          </w:p>
        </w:tc>
        <w:tc>
          <w:tcPr>
            <w:tcW w:w="1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520" w:type="dxa"/>
            <w:vAlign w:val="bottom"/>
            <w:shd w:val="clear" w:color="auto" w:fill="CCECFF"/>
          </w:tcPr>
          <w:p>
            <w:pPr>
              <w:spacing w:after="0"/>
              <w:rPr>
                <w:sz w:val="14"/>
                <w:szCs w:val="14"/>
                <w:color w:val="auto"/>
              </w:rPr>
            </w:pPr>
          </w:p>
        </w:tc>
        <w:tc>
          <w:tcPr>
            <w:tcW w:w="2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r>
      <w:tr>
        <w:trPr>
          <w:trHeight w:val="162"/>
        </w:trPr>
        <w:tc>
          <w:tcPr>
            <w:tcW w:w="566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Other</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520" w:type="dxa"/>
            <w:vAlign w:val="bottom"/>
            <w:tcBorders>
              <w:bottom w:val="single" w:sz="8" w:color="CCECFF"/>
            </w:tcBorders>
          </w:tcPr>
          <w:p>
            <w:pPr>
              <w:spacing w:after="0"/>
              <w:rPr>
                <w:sz w:val="14"/>
                <w:szCs w:val="14"/>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CFF"/>
            </w:tcBorders>
          </w:tcPr>
          <w:p>
            <w:pPr>
              <w:spacing w:after="0"/>
              <w:rPr>
                <w:sz w:val="14"/>
                <w:szCs w:val="14"/>
                <w:color w:val="auto"/>
              </w:rPr>
            </w:pPr>
          </w:p>
        </w:tc>
      </w:tr>
      <w:tr>
        <w:trPr>
          <w:trHeight w:val="155"/>
        </w:trPr>
        <w:tc>
          <w:tcPr>
            <w:tcW w:w="5660" w:type="dxa"/>
            <w:vAlign w:val="bottom"/>
            <w:tcBorders>
              <w:bottom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color w:val="auto"/>
              </w:rPr>
              <w:t>Total</w:t>
            </w:r>
          </w:p>
        </w:tc>
        <w:tc>
          <w:tcPr>
            <w:tcW w:w="1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w:t>
            </w:r>
          </w:p>
        </w:tc>
        <w:tc>
          <w:tcPr>
            <w:tcW w:w="520" w:type="dxa"/>
            <w:vAlign w:val="bottom"/>
            <w:tcBorders>
              <w:bottom w:val="single" w:sz="8" w:color="CCECFF"/>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2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w:t>
            </w:r>
          </w:p>
        </w:tc>
        <w:tc>
          <w:tcPr>
            <w:tcW w:w="320" w:type="dxa"/>
            <w:vAlign w:val="bottom"/>
            <w:tcBorders>
              <w:bottom w:val="single" w:sz="8" w:color="CCECFF"/>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20"/>
        </w:trPr>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3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20" w:type="dxa"/>
            <w:vAlign w:val="bottom"/>
          </w:tcPr>
          <w:p>
            <w:pPr>
              <w:spacing w:after="0"/>
              <w:rPr>
                <w:sz w:val="3"/>
                <w:szCs w:val="3"/>
                <w:color w:val="auto"/>
              </w:rPr>
            </w:pPr>
          </w:p>
        </w:tc>
      </w:tr>
    </w:tbl>
    <w:p>
      <w:pPr>
        <w:spacing w:after="0" w:line="31"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9"/>
          <w:szCs w:val="9"/>
          <w:b w:val="1"/>
          <w:bCs w:val="1"/>
          <w:color w:val="auto"/>
        </w:rPr>
      </w:pPr>
      <w:r>
        <w:rPr>
          <w:rFonts w:ascii="Arial" w:cs="Arial" w:eastAsia="Arial" w:hAnsi="Arial"/>
          <w:sz w:val="11"/>
          <w:szCs w:val="11"/>
          <w:color w:val="auto"/>
        </w:rPr>
        <w:t>Excludes investments in PSLF.</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Loan Fund, LLC</w:t>
      </w:r>
    </w:p>
    <w:p>
      <w:pPr>
        <w:spacing w:after="0" w:line="221"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On July 31, 2020, we and Pantheon formed PSLF, an unconsolidated joint venture. PSLF invests primarily in middle-market and other corporate debt securities consistent with our strategy. PSLF was formed as a Delaware limited liability company. PSLF invests in portfolio companies in the same industries in which we may directly invest. We provide capital to PSLF in the form of subordinated notes and equity interests. As of March 31, 2021 and September 30, 2020, we and Pantheon owned 60.5% and 39.5%, respectively, and 72.0% and 28.0%, respectively, of each of the outstanding subordinated notes and equity interests in PSLF. As of the same dates, our investment in PSLF consisted of subordinated notes of $64.2 million and $63.0 million, respectively, and equity interests of $40.2 million and $36.3 million, respectively.</w:t>
      </w:r>
    </w:p>
    <w:p>
      <w:pPr>
        <w:spacing w:after="0" w:line="197" w:lineRule="exact"/>
        <w:rPr>
          <w:sz w:val="20"/>
          <w:szCs w:val="20"/>
          <w:color w:val="auto"/>
        </w:rPr>
      </w:pPr>
    </w:p>
    <w:p>
      <w:pPr>
        <w:ind w:right="200" w:firstLine="438"/>
        <w:spacing w:after="0" w:line="264" w:lineRule="auto"/>
        <w:rPr>
          <w:sz w:val="20"/>
          <w:szCs w:val="20"/>
          <w:color w:val="auto"/>
        </w:rPr>
      </w:pPr>
      <w:r>
        <w:rPr>
          <w:rFonts w:ascii="Arial" w:cs="Arial" w:eastAsia="Arial" w:hAnsi="Arial"/>
          <w:sz w:val="13"/>
          <w:szCs w:val="13"/>
          <w:color w:val="auto"/>
        </w:rPr>
        <w:t>As of March 31, 2021 and September 30, 2020, PSLF had total assets of $395.1 million and $361.8 million, respectively. As of March 31, 2021, PSLF had $63.0 million of unused borrowing capacity under the PSLF Credit Facility (as defined below), subject to leverage and borrowing base restrictions, and cash and cash equivalents of $12.5 million. As of September 30, 2020, PSLF had $36.5 million of unused borrowing capacity under the PSLF Credit Facility, subject to leverage and borrowing base restrictions, and cash and cash equivalents of $7.5 million.</w:t>
      </w:r>
    </w:p>
    <w:p>
      <w:pPr>
        <w:spacing w:after="0" w:line="182"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or (iii) the presence of four members of the Member Designees’ Committee, provided that two individuals are present that were elected, designated or appointed by each of us and Pantheon.</w:t>
      </w:r>
    </w:p>
    <w:p>
      <w:pPr>
        <w:spacing w:after="0" w:line="199"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Additionally, PSLF has entered into a $275.0 million (increased from $250.0 million on November 6, 2020) senior secured revolving credit facility which bears interest at LIBOR (or an alternative risk-free interest rate index) plus 260 basis points, or the PSLF Credit Facility, with BNP Paribas through its wholly-owned subsidiary, or PSLF Subsidiary, subject to leverage and borrowing base restrictions.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ind w:left="440"/>
              <w:spacing w:after="0"/>
              <w:rPr>
                <w:sz w:val="20"/>
                <w:szCs w:val="20"/>
                <w:color w:val="auto"/>
              </w:rPr>
            </w:pPr>
            <w:r>
              <w:rPr>
                <w:rFonts w:ascii="Arial" w:cs="Arial" w:eastAsia="Arial" w:hAnsi="Arial"/>
                <w:sz w:val="14"/>
                <w:szCs w:val="14"/>
                <w:color w:val="auto"/>
              </w:rPr>
              <w:t>Below is a summary of PSLF’s portfolio at fair value:</w:t>
            </w:r>
          </w:p>
        </w:tc>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4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2020</w:t>
            </w:r>
          </w:p>
        </w:tc>
        <w:tc>
          <w:tcPr>
            <w:tcW w:w="20" w:type="dxa"/>
            <w:vAlign w:val="bottom"/>
          </w:tcPr>
          <w:p>
            <w:pPr>
              <w:spacing w:after="0"/>
              <w:rPr>
                <w:sz w:val="16"/>
                <w:szCs w:val="16"/>
                <w:color w:val="auto"/>
              </w:rPr>
            </w:pPr>
          </w:p>
        </w:tc>
      </w:tr>
      <w:tr>
        <w:trPr>
          <w:trHeight w:val="155"/>
        </w:trPr>
        <w:tc>
          <w:tcPr>
            <w:tcW w:w="45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6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381,654,953</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353,366,358</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Weighted average yield on debt investments</w:t>
            </w: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7.3%</w:t>
            </w:r>
          </w:p>
        </w:tc>
        <w:tc>
          <w:tcPr>
            <w:tcW w:w="20" w:type="dxa"/>
            <w:vAlign w:val="bottom"/>
          </w:tcPr>
          <w:p>
            <w:pPr>
              <w:spacing w:after="0"/>
              <w:rPr>
                <w:sz w:val="14"/>
                <w:szCs w:val="14"/>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PSLF</w:t>
            </w:r>
          </w:p>
        </w:tc>
        <w:tc>
          <w:tcPr>
            <w:tcW w:w="26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288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16,188,243</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18,411,916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288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75,352,184</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77,896,431</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676"/>
        </w:trPr>
        <w:tc>
          <w:tcPr>
            <w:tcW w:w="4540" w:type="dxa"/>
            <w:vAlign w:val="bottom"/>
          </w:tcPr>
          <w:p>
            <w:pPr>
              <w:spacing w:after="0"/>
              <w:rPr>
                <w:sz w:val="24"/>
                <w:szCs w:val="24"/>
                <w:color w:val="auto"/>
              </w:rPr>
            </w:pPr>
          </w:p>
        </w:tc>
        <w:tc>
          <w:tcPr>
            <w:tcW w:w="2640" w:type="dxa"/>
            <w:vAlign w:val="bottom"/>
          </w:tcPr>
          <w:p>
            <w:pPr>
              <w:jc w:val="right"/>
              <w:ind w:right="1408"/>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54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0" w:name="page21"/>
    <w:bookmarkEnd w:id="20"/>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PSLF’s individual investments as of March 31, 2021: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400"/>
              <w:spacing w:after="0" w:line="122" w:lineRule="exact"/>
              <w:rPr>
                <w:sz w:val="20"/>
                <w:szCs w:val="20"/>
                <w:color w:val="auto"/>
              </w:rPr>
            </w:pPr>
            <w:r>
              <w:rPr>
                <w:rFonts w:ascii="Arial" w:cs="Arial" w:eastAsia="Arial" w:hAnsi="Arial"/>
                <w:sz w:val="11"/>
                <w:szCs w:val="11"/>
                <w:b w:val="1"/>
                <w:bCs w:val="1"/>
                <w:color w:val="auto"/>
              </w:rPr>
              <w:t>Current</w:t>
            </w:r>
          </w:p>
        </w:tc>
        <w:tc>
          <w:tcPr>
            <w:tcW w:w="10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Issuer Name</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Coupon</w:t>
            </w: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9"/>
        </w:trPr>
        <w:tc>
          <w:tcPr>
            <w:tcW w:w="30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First Lien Secured Debt—573.8%</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07/24/2025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946,231</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935,343</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910,747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American Insulated Glass,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12/21/2023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14,700,175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14,525,350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14,553,173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Apex Service Partners,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07/31/2025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6,569,222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6,513,036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6,569,222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Apex Service Partners, LLC Term Loan B</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07/31/2025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2,887,307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2,849,444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2,887,307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 xml:space="preserve">Apex Service Partners, LLC Term Loan B </w:t>
            </w:r>
            <w:r>
              <w:rPr>
                <w:rFonts w:ascii="Arial" w:cs="Arial" w:eastAsia="Arial" w:hAnsi="Arial"/>
                <w:sz w:val="9"/>
                <w:szCs w:val="9"/>
                <w:color w:val="auto"/>
              </w:rPr>
              <w:t>(3)</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07/31/2021</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505,870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Bazaarvoice,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02/01/2024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14,554,206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14,453,043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14,554,206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Bottom Line Systems,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02/13/2023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13,729,432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13,654,333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13,729,432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Datalot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7,081,132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6,969,481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7,081,132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DRS Holdings III,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13,496,389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13,392,116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13,631,353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ECL Entertainment,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04/01/2028</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Hotels, Motels, Inns and Gaming</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8.25%</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4,615,385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4,569,231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4,615,385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ECM Industries,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12/23/2025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Electronics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80" w:type="dxa"/>
            <w:vAlign w:val="bottom"/>
          </w:tcPr>
          <w:p>
            <w:pPr>
              <w:jc w:val="right"/>
              <w:spacing w:after="0"/>
              <w:rPr>
                <w:sz w:val="20"/>
                <w:szCs w:val="20"/>
                <w:color w:val="auto"/>
              </w:rPr>
            </w:pPr>
            <w:r>
              <w:rPr>
                <w:rFonts w:ascii="Arial" w:cs="Arial" w:eastAsia="Arial" w:hAnsi="Arial"/>
                <w:sz w:val="11"/>
                <w:szCs w:val="11"/>
                <w:color w:val="auto"/>
              </w:rPr>
              <w:t>2,826,993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2,802,723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2,812,858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Global Holdings InterCo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03/16/2026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Banking, Finance, Insurance &amp; Real Estate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7,387,731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7,481,250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Holdco Sands Intermediate,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12/19/2025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12,132,143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11,981,532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11,950,161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HW Holdco,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12/10/2024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14,662,500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14,562,909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14,369,249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IMIA Holdings,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10/26/2025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5,545,103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5,518,102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5,545,103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Integrity Marketing Acquisition,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08/27/2025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7,907,956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7,835,094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7,789,337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Juniper Landscaping of Florida,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12/22/2021</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10,000,000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12/20/2023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14,662,500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14,531,185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14,350,188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Kentucky Downs,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03/07/2025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Hotels, Motels, Inns and Gaming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10.00%</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1M L+900</w:t>
            </w:r>
          </w:p>
        </w:tc>
        <w:tc>
          <w:tcPr>
            <w:tcW w:w="680" w:type="dxa"/>
            <w:vAlign w:val="bottom"/>
          </w:tcPr>
          <w:p>
            <w:pPr>
              <w:jc w:val="right"/>
              <w:spacing w:after="0"/>
              <w:rPr>
                <w:sz w:val="20"/>
                <w:szCs w:val="20"/>
                <w:color w:val="auto"/>
              </w:rPr>
            </w:pPr>
            <w:r>
              <w:rPr>
                <w:rFonts w:ascii="Arial" w:cs="Arial" w:eastAsia="Arial" w:hAnsi="Arial"/>
                <w:sz w:val="11"/>
                <w:szCs w:val="11"/>
                <w:color w:val="auto"/>
              </w:rPr>
              <w:t>10,205,877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10,044,256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10,843,744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10/31/2024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Amusement, Motion Pictures, Entertainment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2,066,695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2,052,119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1,915,413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Lightspeed Buyer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02/03/2026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12,534,901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12,318,777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12,346,877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Lombart Brothers,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04/13/2023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9.25%</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16,862,753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16,747,224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16,188,243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MAG DS Corp.</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04/01/2027</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5,970,000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5,690,193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5,850,600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05/23/2024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13,738,046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13,600,767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13,428,940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PlayPower,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05/08/2026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5.70%</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4,004,520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3,972,682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3,949,458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Radius Aerospace,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03/31/2025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13,709,619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13,557,021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13,435,427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80" w:type="dxa"/>
            <w:vAlign w:val="bottom"/>
            <w:gridSpan w:val="3"/>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180" w:type="dxa"/>
            <w:vAlign w:val="bottom"/>
            <w:gridSpan w:val="3"/>
          </w:tcPr>
          <w:p>
            <w:pPr>
              <w:ind w:left="80"/>
              <w:spacing w:after="0"/>
              <w:rPr>
                <w:sz w:val="20"/>
                <w:szCs w:val="20"/>
                <w:color w:val="auto"/>
              </w:rPr>
            </w:pPr>
            <w:r>
              <w:rPr>
                <w:rFonts w:ascii="Arial" w:cs="Arial" w:eastAsia="Arial" w:hAnsi="Arial"/>
                <w:sz w:val="11"/>
                <w:szCs w:val="11"/>
                <w:color w:val="auto"/>
              </w:rPr>
              <w:t>Sampling International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12/20/2024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14,770,992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14,665,291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14,597,433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Riverpoint Medical,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1,950,151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1,953,014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Sales Benchmark Index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7.75%</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7,847,561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7,723,814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7,317,850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Sargent &amp; Greenleaf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5,379,340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5,318,630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5,379,340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Signature Systems Holding Company</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05/03/2024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3M L+650</w:t>
            </w:r>
          </w:p>
        </w:tc>
        <w:tc>
          <w:tcPr>
            <w:tcW w:w="680" w:type="dxa"/>
            <w:vAlign w:val="bottom"/>
          </w:tcPr>
          <w:p>
            <w:pPr>
              <w:jc w:val="right"/>
              <w:spacing w:after="0"/>
              <w:rPr>
                <w:sz w:val="20"/>
                <w:szCs w:val="20"/>
                <w:color w:val="auto"/>
              </w:rPr>
            </w:pPr>
            <w:r>
              <w:rPr>
                <w:rFonts w:ascii="Arial" w:cs="Arial" w:eastAsia="Arial" w:hAnsi="Arial"/>
                <w:sz w:val="11"/>
                <w:szCs w:val="11"/>
                <w:color w:val="auto"/>
              </w:rPr>
              <w:t>13,875,000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13,748,286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13,701,562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Solutionreach,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01/17/2024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Communications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12,464,523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12,309,758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12,464,523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STV Group Incorporated</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12/11/2026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5.36%</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12,162,305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12,058,444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11,615,001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TeleGuam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11/20/2025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4,877,809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4,836,844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4,829,030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Teneo Holdings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07/18/2025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7,442,222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7,182,469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7,421,756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Food</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5,621,612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5,565,396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5,452,963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03/26/2026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12,837,421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12,681,035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12,709,047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06/16/2025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9,647,753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9,497,821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9,647,753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UBEO,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04/03/2024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4,734,322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4,700,190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4,677,303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Vision Purchaser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06/10/2025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7.75%</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14,321,451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14,102,097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13,748,593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Wheel Pros,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11/10/2027</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Automotive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3,990,000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3,970,083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3,972,564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10/18/2022</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13,815,260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13,691,368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13,953,413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Wildcat Buyerco, Inc.</w:t>
            </w:r>
          </w:p>
        </w:tc>
        <w:tc>
          <w:tcPr>
            <w:tcW w:w="640" w:type="dxa"/>
            <w:vAlign w:val="bottom"/>
            <w:tcBorders>
              <w:bottom w:val="single" w:sz="8" w:color="CCECFF"/>
            </w:tcBorders>
          </w:tcPr>
          <w:p>
            <w:pPr>
              <w:jc w:val="center"/>
              <w:spacing w:after="0"/>
              <w:rPr>
                <w:sz w:val="20"/>
                <w:szCs w:val="20"/>
                <w:color w:val="auto"/>
              </w:rPr>
            </w:pPr>
            <w:r>
              <w:rPr>
                <w:rFonts w:ascii="Arial" w:cs="Arial" w:eastAsia="Arial" w:hAnsi="Arial"/>
                <w:sz w:val="11"/>
                <w:szCs w:val="11"/>
                <w:color w:val="auto"/>
                <w:w w:val="87"/>
              </w:rPr>
              <w:t>02/27/2026</w:t>
            </w:r>
          </w:p>
        </w:tc>
        <w:tc>
          <w:tcPr>
            <w:tcW w:w="12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92"/>
              </w:rPr>
              <w:t>Electronics</w:t>
            </w:r>
          </w:p>
        </w:tc>
        <w:tc>
          <w:tcPr>
            <w:tcW w:w="8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3M L+525</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7,462,312</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7,392,228</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7,425,003</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381,857,597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381,654,953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Cash and Cash Equivalents—18.9%</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9,916,869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9,916,869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US Bank Cash</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7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2,623,145</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2,623,145</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12,540,014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12,540,014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Total Investments and Cash Equivalents—592.7%</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394,397,611</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394,194,967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CFF"/>
            </w:tcBorders>
            <w:gridSpan w:val="3"/>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Assets—(492.7)%</w:t>
            </w:r>
          </w:p>
        </w:tc>
        <w:tc>
          <w:tcPr>
            <w:tcW w:w="6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76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80" w:type="dxa"/>
            <w:vAlign w:val="bottom"/>
            <w:gridSpan w:val="3"/>
            <w:vMerge w:val="continue"/>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(327,683,744)</w:t>
            </w:r>
          </w:p>
        </w:tc>
        <w:tc>
          <w:tcPr>
            <w:tcW w:w="0" w:type="dxa"/>
            <w:vAlign w:val="bottom"/>
          </w:tcPr>
          <w:p>
            <w:pPr>
              <w:spacing w:after="0"/>
              <w:rPr>
                <w:sz w:val="1"/>
                <w:szCs w:val="1"/>
                <w:color w:val="auto"/>
              </w:rPr>
            </w:pPr>
          </w:p>
        </w:tc>
      </w:tr>
      <w:tr>
        <w:trPr>
          <w:trHeight w:val="128"/>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Members' Equity—100.0%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66,511,223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80" w:right="40" w:hanging="372"/>
        <w:spacing w:after="0" w:line="239" w:lineRule="auto"/>
        <w:tabs>
          <w:tab w:leader="none" w:pos="380" w:val="left"/>
        </w:tabs>
        <w:numPr>
          <w:ilvl w:val="0"/>
          <w:numId w:val="17"/>
        </w:numPr>
        <w:rPr>
          <w:rFonts w:ascii="Arial" w:cs="Arial" w:eastAsia="Arial" w:hAnsi="Arial"/>
          <w:sz w:val="9"/>
          <w:szCs w:val="9"/>
          <w:b w:val="1"/>
          <w:bCs w:val="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7" w:lineRule="exact"/>
        <w:rPr>
          <w:rFonts w:ascii="Arial" w:cs="Arial" w:eastAsia="Arial" w:hAnsi="Arial"/>
          <w:sz w:val="9"/>
          <w:szCs w:val="9"/>
          <w:b w:val="1"/>
          <w:bCs w:val="1"/>
          <w:color w:val="auto"/>
        </w:rPr>
      </w:pPr>
    </w:p>
    <w:p>
      <w:pPr>
        <w:ind w:left="380" w:hanging="372"/>
        <w:spacing w:after="0"/>
        <w:tabs>
          <w:tab w:leader="none" w:pos="380" w:val="left"/>
        </w:tabs>
        <w:numPr>
          <w:ilvl w:val="0"/>
          <w:numId w:val="17"/>
        </w:numPr>
        <w:rPr>
          <w:rFonts w:ascii="Arial" w:cs="Arial" w:eastAsia="Arial" w:hAnsi="Arial"/>
          <w:sz w:val="9"/>
          <w:szCs w:val="9"/>
          <w:b w:val="1"/>
          <w:bCs w:val="1"/>
          <w:color w:val="auto"/>
        </w:rPr>
      </w:pPr>
      <w:r>
        <w:rPr>
          <w:rFonts w:ascii="Arial" w:cs="Arial" w:eastAsia="Arial" w:hAnsi="Arial"/>
          <w:sz w:val="11"/>
          <w:szCs w:val="11"/>
          <w:color w:val="auto"/>
        </w:rPr>
        <w:t>Valued based on PSLF’s accounting policy.</w:t>
      </w:r>
    </w:p>
    <w:p>
      <w:pPr>
        <w:spacing w:after="0" w:line="35" w:lineRule="exact"/>
        <w:rPr>
          <w:rFonts w:ascii="Arial" w:cs="Arial" w:eastAsia="Arial" w:hAnsi="Arial"/>
          <w:sz w:val="9"/>
          <w:szCs w:val="9"/>
          <w:b w:val="1"/>
          <w:bCs w:val="1"/>
          <w:color w:val="auto"/>
        </w:rPr>
      </w:pPr>
    </w:p>
    <w:p>
      <w:pPr>
        <w:ind w:left="380" w:hanging="372"/>
        <w:spacing w:after="0"/>
        <w:tabs>
          <w:tab w:leader="none" w:pos="380" w:val="left"/>
        </w:tabs>
        <w:numPr>
          <w:ilvl w:val="0"/>
          <w:numId w:val="17"/>
        </w:numPr>
        <w:rPr>
          <w:rFonts w:ascii="Arial" w:cs="Arial" w:eastAsia="Arial" w:hAnsi="Arial"/>
          <w:sz w:val="9"/>
          <w:szCs w:val="9"/>
          <w:b w:val="1"/>
          <w:bCs w:val="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PSLF’s individual investments as of September 30,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400"/>
              <w:spacing w:after="0" w:line="122" w:lineRule="exact"/>
              <w:rPr>
                <w:sz w:val="20"/>
                <w:szCs w:val="20"/>
                <w:color w:val="auto"/>
              </w:rPr>
            </w:pPr>
            <w:r>
              <w:rPr>
                <w:rFonts w:ascii="Arial" w:cs="Arial" w:eastAsia="Arial" w:hAnsi="Arial"/>
                <w:sz w:val="11"/>
                <w:szCs w:val="11"/>
                <w:b w:val="1"/>
                <w:bCs w:val="1"/>
                <w:color w:val="auto"/>
              </w:rPr>
              <w:t>Current</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Issuer Name</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Coupon</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First Lien Secured Debt—701.6%</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Advantage Sales &amp; Marketing</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07/23/2021</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Grocery</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4.25%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L+325</w:t>
            </w:r>
          </w:p>
        </w:tc>
        <w:tc>
          <w:tcPr>
            <w:tcW w:w="680" w:type="dxa"/>
            <w:vAlign w:val="bottom"/>
          </w:tcPr>
          <w:p>
            <w:pPr>
              <w:jc w:val="right"/>
              <w:spacing w:after="0"/>
              <w:rPr>
                <w:sz w:val="20"/>
                <w:szCs w:val="20"/>
                <w:color w:val="auto"/>
              </w:rPr>
            </w:pPr>
            <w:r>
              <w:rPr>
                <w:rFonts w:ascii="Arial" w:cs="Arial" w:eastAsia="Arial" w:hAnsi="Arial"/>
                <w:sz w:val="11"/>
                <w:szCs w:val="11"/>
                <w:color w:val="auto"/>
              </w:rPr>
              <w:t>8,627,315</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8,418,699</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8,456,926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07/24/2025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971,231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958,950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937,238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American Insulated Glass,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12/21/2023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14,775,105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14,571,097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14,479,603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Apex Service Partners,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07/31/2025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6,607,449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6,546,594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6,409,225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Bazaarvoice,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02/01/2024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14,628,085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14,509,210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14,408,664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Bottom Line Systems,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02/13/2023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14,895,515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14,683,499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Cano Health,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06/02/2025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L+750</w:t>
            </w:r>
          </w:p>
        </w:tc>
        <w:tc>
          <w:tcPr>
            <w:tcW w:w="680" w:type="dxa"/>
            <w:vAlign w:val="bottom"/>
          </w:tcPr>
          <w:p>
            <w:pPr>
              <w:jc w:val="right"/>
              <w:spacing w:after="0"/>
              <w:rPr>
                <w:sz w:val="20"/>
                <w:szCs w:val="20"/>
                <w:color w:val="auto"/>
              </w:rPr>
            </w:pPr>
            <w:r>
              <w:rPr>
                <w:rFonts w:ascii="Arial" w:cs="Arial" w:eastAsia="Arial" w:hAnsi="Arial"/>
                <w:sz w:val="11"/>
                <w:szCs w:val="11"/>
                <w:color w:val="auto"/>
              </w:rPr>
              <w:t>18,274,854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18,174,687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18,411,916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Datalot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7,116,895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6,991,975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7,125,435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DRS Holdings III,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13,564,726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13,448,313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13,316,490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ECM Industries,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12/23/2025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2,873,184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2,846,226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2,858,818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Holdco Sands Intermediate,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12/19/2025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12,193,571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12,028,384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11,888,732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HW Holdco,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12/10/2024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14,619,623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14,295,375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Integrity Marketing Acquisition,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08/27/2025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447,833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444,755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443,354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12/20/2023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14,583,983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14,413,275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Kentucky Downs,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03/07/2025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Hotels, Motels, Inns and Gaming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9.50%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L+850</w:t>
            </w:r>
          </w:p>
        </w:tc>
        <w:tc>
          <w:tcPr>
            <w:tcW w:w="680" w:type="dxa"/>
            <w:vAlign w:val="bottom"/>
          </w:tcPr>
          <w:p>
            <w:pPr>
              <w:jc w:val="right"/>
              <w:spacing w:after="0"/>
              <w:rPr>
                <w:sz w:val="20"/>
                <w:szCs w:val="20"/>
                <w:color w:val="auto"/>
              </w:rPr>
            </w:pPr>
            <w:r>
              <w:rPr>
                <w:rFonts w:ascii="Arial" w:cs="Arial" w:eastAsia="Arial" w:hAnsi="Arial"/>
                <w:sz w:val="11"/>
                <w:szCs w:val="11"/>
                <w:color w:val="auto"/>
              </w:rPr>
              <w:t>10,153,350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9,978,792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10,001,050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10/31/2024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Amusement, Motion Pictures, Entertainment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L+750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2,015,428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1,998,623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1,856,411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Lightspeed Buyer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02/03/2026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12,598,209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12,365,207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12,440,731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Lombart Brothers,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04/13/2023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16,914,403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16,770,520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15,882,625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MAG DS Corp.</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04/01/2027</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6,000,000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5,700,000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5,707,500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05/23/2024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14,076,563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13,914,921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13,407,926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PlayPower,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05/08/2026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5.72%</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4,025,520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3,990,631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3,824,244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Radius Aerospace,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03/31/2025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13,779,429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13,608,176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13,503,840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80" w:type="dxa"/>
            <w:vAlign w:val="bottom"/>
            <w:gridSpan w:val="3"/>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180" w:type="dxa"/>
            <w:vAlign w:val="bottom"/>
            <w:gridSpan w:val="3"/>
          </w:tcPr>
          <w:p>
            <w:pPr>
              <w:ind w:left="80"/>
              <w:spacing w:after="0"/>
              <w:rPr>
                <w:sz w:val="20"/>
                <w:szCs w:val="20"/>
                <w:color w:val="auto"/>
              </w:rPr>
            </w:pPr>
            <w:r>
              <w:rPr>
                <w:rFonts w:ascii="Arial" w:cs="Arial" w:eastAsia="Arial" w:hAnsi="Arial"/>
                <w:sz w:val="11"/>
                <w:szCs w:val="11"/>
                <w:color w:val="auto"/>
              </w:rPr>
              <w:t>Sampling International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12/20/2024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14,847,328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14,728,854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14,023,302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Riverpoint Medical,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1,958,417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1,905,678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Sales Benchmark Index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7.75%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7,887,195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7,748,712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7,697,903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Sargent &amp; Greenleaf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5,448,483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5,378,893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5,350,411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Signature Systems Holding Company</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05/03/2024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L+650</w:t>
            </w:r>
          </w:p>
        </w:tc>
        <w:tc>
          <w:tcPr>
            <w:tcW w:w="680" w:type="dxa"/>
            <w:vAlign w:val="bottom"/>
          </w:tcPr>
          <w:p>
            <w:pPr>
              <w:jc w:val="right"/>
              <w:spacing w:after="0"/>
              <w:rPr>
                <w:sz w:val="20"/>
                <w:szCs w:val="20"/>
                <w:color w:val="auto"/>
              </w:rPr>
            </w:pPr>
            <w:r>
              <w:rPr>
                <w:rFonts w:ascii="Arial" w:cs="Arial" w:eastAsia="Arial" w:hAnsi="Arial"/>
                <w:sz w:val="11"/>
                <w:szCs w:val="11"/>
                <w:color w:val="auto"/>
              </w:rPr>
              <w:t>14,250,000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14,096,623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13,786,875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Solutionreach,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01/17/2024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Communications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12,531,123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12,351,398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12,393,282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STV Group Incorporated</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12/11/2026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5.40%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12,351,980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12,238,771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12,228,460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TeleGuam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11/20/2025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5,080,832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5,034,725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4,928,407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Teneo Holdings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07/18/2025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1,980,000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1,874,970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1,905,750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Food</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5,650,076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5,593,575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5,480,573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01/18/2024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14,547,897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14,343,185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14,438,788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06/16/2025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8,644,186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8,469,082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8,471,302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UBEO,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04/03/2024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4,738,102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4,700,032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4,453,816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Vision Purchaser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06/10/2025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14,358,203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14,112,113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13,496,711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tcBorders>
              <w:bottom w:val="single" w:sz="8" w:color="CCECFF"/>
            </w:tcBorders>
          </w:tcPr>
          <w:p>
            <w:pPr>
              <w:jc w:val="center"/>
              <w:spacing w:after="0"/>
              <w:rPr>
                <w:sz w:val="20"/>
                <w:szCs w:val="20"/>
                <w:color w:val="auto"/>
              </w:rPr>
            </w:pPr>
            <w:r>
              <w:rPr>
                <w:rFonts w:ascii="Arial" w:cs="Arial" w:eastAsia="Arial" w:hAnsi="Arial"/>
                <w:sz w:val="11"/>
                <w:szCs w:val="11"/>
                <w:color w:val="auto"/>
                <w:w w:val="87"/>
              </w:rPr>
              <w:t>10/18/2022</w:t>
            </w:r>
          </w:p>
        </w:tc>
        <w:tc>
          <w:tcPr>
            <w:tcW w:w="12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tcBorders>
              <w:bottom w:val="single" w:sz="8" w:color="CCECFF"/>
            </w:tcBorders>
            <w:gridSpan w:val="2"/>
          </w:tcPr>
          <w:p>
            <w:pPr>
              <w:ind w:left="400"/>
              <w:spacing w:after="0"/>
              <w:rPr>
                <w:sz w:val="20"/>
                <w:szCs w:val="20"/>
                <w:color w:val="auto"/>
              </w:rPr>
            </w:pPr>
            <w:r>
              <w:rPr>
                <w:rFonts w:ascii="Arial" w:cs="Arial" w:eastAsia="Arial" w:hAnsi="Arial"/>
                <w:sz w:val="11"/>
                <w:szCs w:val="11"/>
                <w:color w:val="auto"/>
              </w:rPr>
              <w:t>1M L+750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14,194,162</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14,029,177</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14,052,223</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358,023,408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353,366,358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Cash and Cash Equivalents—15.0%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7,353,307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7,353,307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US Bank Cash</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183,412</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183,412</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7,536,719</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7,536,719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Total Investments and Cash Equivalents—716.6%</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365,560,127</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360,903,077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CFF"/>
            </w:tcBorders>
            <w:gridSpan w:val="3"/>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Assets—(616.6)%</w:t>
            </w:r>
          </w:p>
        </w:tc>
        <w:tc>
          <w:tcPr>
            <w:tcW w:w="6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8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180" w:type="dxa"/>
            <w:vAlign w:val="bottom"/>
            <w:gridSpan w:val="3"/>
            <w:vMerge w:val="continue"/>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(310,538,386)</w:t>
            </w:r>
          </w:p>
        </w:tc>
        <w:tc>
          <w:tcPr>
            <w:tcW w:w="0" w:type="dxa"/>
            <w:vAlign w:val="bottom"/>
          </w:tcPr>
          <w:p>
            <w:pPr>
              <w:spacing w:after="0"/>
              <w:rPr>
                <w:sz w:val="1"/>
                <w:szCs w:val="1"/>
                <w:color w:val="auto"/>
              </w:rPr>
            </w:pPr>
          </w:p>
        </w:tc>
      </w:tr>
      <w:tr>
        <w:trPr>
          <w:trHeight w:val="128"/>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Members' Equity—100.0%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50,364,691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80" w:right="40" w:hanging="372"/>
        <w:spacing w:after="0" w:line="239" w:lineRule="auto"/>
        <w:tabs>
          <w:tab w:leader="none" w:pos="380" w:val="left"/>
        </w:tabs>
        <w:numPr>
          <w:ilvl w:val="0"/>
          <w:numId w:val="18"/>
        </w:numPr>
        <w:rPr>
          <w:rFonts w:ascii="Arial" w:cs="Arial" w:eastAsia="Arial" w:hAnsi="Arial"/>
          <w:sz w:val="9"/>
          <w:szCs w:val="9"/>
          <w:b w:val="1"/>
          <w:bCs w:val="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7" w:lineRule="exact"/>
        <w:rPr>
          <w:rFonts w:ascii="Arial" w:cs="Arial" w:eastAsia="Arial" w:hAnsi="Arial"/>
          <w:sz w:val="9"/>
          <w:szCs w:val="9"/>
          <w:b w:val="1"/>
          <w:bCs w:val="1"/>
          <w:color w:val="auto"/>
        </w:rPr>
      </w:pPr>
    </w:p>
    <w:p>
      <w:pPr>
        <w:ind w:left="380" w:hanging="372"/>
        <w:spacing w:after="0"/>
        <w:tabs>
          <w:tab w:leader="none" w:pos="380" w:val="left"/>
        </w:tabs>
        <w:numPr>
          <w:ilvl w:val="0"/>
          <w:numId w:val="18"/>
        </w:numPr>
        <w:rPr>
          <w:rFonts w:ascii="Arial" w:cs="Arial" w:eastAsia="Arial" w:hAnsi="Arial"/>
          <w:sz w:val="9"/>
          <w:szCs w:val="9"/>
          <w:b w:val="1"/>
          <w:bCs w:val="1"/>
          <w:color w:val="auto"/>
        </w:rPr>
      </w:pPr>
      <w:r>
        <w:rPr>
          <w:rFonts w:ascii="Arial" w:cs="Arial" w:eastAsia="Arial" w:hAnsi="Arial"/>
          <w:sz w:val="11"/>
          <w:szCs w:val="11"/>
          <w:color w:val="auto"/>
        </w:rPr>
        <w:t>Valued based on PSLF’s accounting policy.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40" w:type="dxa"/>
            <w:vAlign w:val="bottom"/>
            <w:gridSpan w:val="2"/>
          </w:tcPr>
          <w:p>
            <w:pPr>
              <w:ind w:left="440"/>
              <w:spacing w:after="0"/>
              <w:rPr>
                <w:sz w:val="20"/>
                <w:szCs w:val="20"/>
                <w:color w:val="auto"/>
              </w:rPr>
            </w:pPr>
            <w:r>
              <w:rPr>
                <w:rFonts w:ascii="Arial" w:cs="Arial" w:eastAsia="Arial" w:hAnsi="Arial"/>
                <w:sz w:val="14"/>
                <w:szCs w:val="14"/>
                <w:color w:val="auto"/>
              </w:rPr>
              <w:t>Below is the financial information for PSLF:</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4080" w:type="dxa"/>
            <w:vAlign w:val="bottom"/>
          </w:tcPr>
          <w:p>
            <w:pPr>
              <w:ind w:left="1520"/>
              <w:spacing w:after="0"/>
              <w:rPr>
                <w:sz w:val="20"/>
                <w:szCs w:val="20"/>
                <w:color w:val="auto"/>
              </w:rPr>
            </w:pPr>
            <w:r>
              <w:rPr>
                <w:rFonts w:ascii="Arial" w:cs="Arial" w:eastAsia="Arial" w:hAnsi="Arial"/>
                <w:sz w:val="14"/>
                <w:szCs w:val="14"/>
                <w:b w:val="1"/>
                <w:bCs w:val="1"/>
                <w:color w:val="auto"/>
              </w:rPr>
              <w:t>Statements of Assets and Liabilities</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7"/>
                <w:szCs w:val="17"/>
                <w:color w:val="auto"/>
              </w:rPr>
            </w:pPr>
          </w:p>
        </w:tc>
        <w:tc>
          <w:tcPr>
            <w:tcW w:w="1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62"/>
        </w:trPr>
        <w:tc>
          <w:tcPr>
            <w:tcW w:w="7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0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Investments at fair value (cost—$381,857,597 and $358,023,408, respectively)</w:t>
            </w:r>
          </w:p>
        </w:tc>
        <w:tc>
          <w:tcPr>
            <w:tcW w:w="620" w:type="dxa"/>
            <w:vAlign w:val="bottom"/>
            <w:gridSpan w:val="2"/>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381,654,953</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353,366,358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tcPr>
          <w:p>
            <w:pPr>
              <w:spacing w:after="0"/>
              <w:rPr>
                <w:sz w:val="20"/>
                <w:szCs w:val="20"/>
                <w:color w:val="auto"/>
              </w:rPr>
            </w:pPr>
            <w:r>
              <w:rPr>
                <w:rFonts w:ascii="Arial" w:cs="Arial" w:eastAsia="Arial" w:hAnsi="Arial"/>
                <w:sz w:val="14"/>
                <w:szCs w:val="14"/>
                <w:color w:val="auto"/>
              </w:rPr>
              <w:t>Cash and cash equivalents (cost—$12,540,014 and $7,536,719, respectively)</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12,540,014</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7,536,719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40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912,621</w:t>
            </w:r>
          </w:p>
        </w:tc>
        <w:tc>
          <w:tcPr>
            <w:tcW w:w="30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877,008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40" w:type="dxa"/>
            <w:vAlign w:val="bottom"/>
            <w:tcBorders>
              <w:bottom w:val="single" w:sz="8" w:color="CCECFF"/>
            </w:tcBorders>
            <w:gridSpan w:val="2"/>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40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395,107,588</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361,780,085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4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4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5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40" w:type="dxa"/>
            <w:vAlign w:val="bottom"/>
            <w:gridSpan w:val="2"/>
          </w:tcPr>
          <w:p>
            <w:pPr>
              <w:spacing w:after="0"/>
              <w:rPr>
                <w:sz w:val="20"/>
                <w:szCs w:val="20"/>
                <w:color w:val="auto"/>
              </w:rPr>
            </w:pPr>
            <w:r>
              <w:rPr>
                <w:rFonts w:ascii="Arial" w:cs="Arial" w:eastAsia="Arial" w:hAnsi="Arial"/>
                <w:sz w:val="14"/>
                <w:szCs w:val="14"/>
                <w:color w:val="auto"/>
              </w:rPr>
              <w:t>Distribution payable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2,400,000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1,393,716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4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4,569,231</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tcPr>
          <w:p>
            <w:pPr>
              <w:spacing w:after="0"/>
              <w:rPr>
                <w:sz w:val="20"/>
                <w:szCs w:val="20"/>
                <w:color w:val="auto"/>
              </w:rPr>
            </w:pPr>
            <w:r>
              <w:rPr>
                <w:rFonts w:ascii="Arial" w:cs="Arial" w:eastAsia="Arial" w:hAnsi="Arial"/>
                <w:sz w:val="14"/>
                <w:szCs w:val="14"/>
                <w:color w:val="auto"/>
              </w:rPr>
              <w:t>Credit facility payable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212,000,000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213,500,000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Notes payable to members</w:t>
            </w:r>
          </w:p>
        </w:tc>
        <w:tc>
          <w:tcPr>
            <w:tcW w:w="4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106,040,612</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tcPr>
          <w:p>
            <w:pPr>
              <w:spacing w:after="0"/>
              <w:rPr>
                <w:sz w:val="20"/>
                <w:szCs w:val="20"/>
                <w:color w:val="auto"/>
              </w:rPr>
            </w:pPr>
            <w:r>
              <w:rPr>
                <w:rFonts w:ascii="Arial" w:cs="Arial" w:eastAsia="Arial" w:hAnsi="Arial"/>
                <w:sz w:val="14"/>
                <w:szCs w:val="14"/>
                <w:color w:val="auto"/>
              </w:rPr>
              <w:t>Interest payable on credit facility</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1,477,458</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1,649,852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payable on members notes</w:t>
            </w:r>
          </w:p>
        </w:tc>
        <w:tc>
          <w:tcPr>
            <w:tcW w:w="4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1,590,609</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1,356,250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Accrued other expenses</w:t>
            </w:r>
          </w:p>
        </w:tc>
        <w:tc>
          <w:tcPr>
            <w:tcW w:w="40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518,455</w:t>
            </w:r>
          </w:p>
        </w:tc>
        <w:tc>
          <w:tcPr>
            <w:tcW w:w="30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315,576</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40" w:type="dxa"/>
            <w:vAlign w:val="bottom"/>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40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328,596,365</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311,415,394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40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40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66,511,223</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50,364,691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40" w:type="dxa"/>
            <w:vAlign w:val="bottom"/>
            <w:gridSpan w:val="2"/>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40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395,107,588</w:t>
            </w:r>
          </w:p>
        </w:tc>
        <w:tc>
          <w:tcPr>
            <w:tcW w:w="30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361,780,085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960" w:type="dxa"/>
            <w:vAlign w:val="bottom"/>
            <w:tcBorders>
              <w:bottom w:val="single" w:sz="8" w:color="auto"/>
            </w:tcBorders>
          </w:tcPr>
          <w:p>
            <w:pPr>
              <w:spacing w:after="0"/>
              <w:rPr>
                <w:sz w:val="3"/>
                <w:szCs w:val="3"/>
                <w:color w:val="auto"/>
              </w:rPr>
            </w:pPr>
          </w:p>
        </w:tc>
        <w:tc>
          <w:tcPr>
            <w:tcW w:w="4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9"/>
          <w:szCs w:val="9"/>
          <w:b w:val="1"/>
          <w:bCs w:val="1"/>
          <w:color w:val="auto"/>
        </w:rPr>
      </w:pPr>
      <w:r>
        <w:rPr>
          <w:rFonts w:ascii="Arial" w:cs="Arial" w:eastAsia="Arial" w:hAnsi="Arial"/>
          <w:sz w:val="11"/>
          <w:szCs w:val="11"/>
          <w:color w:val="auto"/>
        </w:rPr>
        <w:t>As of March 31, 2021 and September 30, 2020, PSLF had unfunded commitments to fund investments of $0.5 million and zero,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3100" w:type="dxa"/>
            <w:vAlign w:val="bottom"/>
            <w:gridSpan w:val="2"/>
          </w:tcPr>
          <w:p>
            <w:pPr>
              <w:jc w:val="right"/>
              <w:ind w:right="748"/>
              <w:spacing w:after="0"/>
              <w:rPr>
                <w:sz w:val="20"/>
                <w:szCs w:val="20"/>
                <w:color w:val="auto"/>
              </w:rPr>
            </w:pPr>
            <w:r>
              <w:rPr>
                <w:rFonts w:ascii="Arial" w:cs="Arial" w:eastAsia="Arial" w:hAnsi="Arial"/>
                <w:sz w:val="14"/>
                <w:szCs w:val="14"/>
                <w:b w:val="1"/>
                <w:bCs w:val="1"/>
                <w:color w:val="auto"/>
              </w:rPr>
              <w:t xml:space="preserve">Statements of Operations </w:t>
            </w:r>
            <w:r>
              <w:rPr>
                <w:rFonts w:ascii="Arial" w:cs="Arial" w:eastAsia="Arial" w:hAnsi="Arial"/>
                <w:sz w:val="12"/>
                <w:szCs w:val="12"/>
                <w:b w:val="1"/>
                <w:bCs w:val="1"/>
                <w:color w:val="auto"/>
              </w:rPr>
              <w:t>(1)</w:t>
            </w: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22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2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CCECFF"/>
            </w:tcBorders>
          </w:tcPr>
          <w:p>
            <w:pPr>
              <w:spacing w:after="0"/>
              <w:rPr>
                <w:sz w:val="13"/>
                <w:szCs w:val="13"/>
                <w:color w:val="auto"/>
              </w:rPr>
            </w:pPr>
          </w:p>
        </w:tc>
        <w:tc>
          <w:tcPr>
            <w:tcW w:w="292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center"/>
              <w:ind w:right="108"/>
              <w:spacing w:after="0" w:line="155" w:lineRule="exact"/>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CFF"/>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708"/>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29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6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4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31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6,695,820</w:t>
            </w:r>
          </w:p>
        </w:tc>
        <w:tc>
          <w:tcPr>
            <w:tcW w:w="10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13,257,816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29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289,777</w:t>
            </w:r>
          </w:p>
        </w:tc>
        <w:tc>
          <w:tcPr>
            <w:tcW w:w="100" w:type="dxa"/>
            <w:vAlign w:val="bottom"/>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726,734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9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6,985,597</w:t>
            </w:r>
          </w:p>
        </w:tc>
        <w:tc>
          <w:tcPr>
            <w:tcW w:w="100" w:type="dxa"/>
            <w:vAlign w:val="bottom"/>
            <w:tcBorders>
              <w:bottom w:val="single" w:sz="8" w:color="CCEC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13,984,550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9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6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4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260"/>
              <w:spacing w:after="0"/>
              <w:rPr>
                <w:sz w:val="20"/>
                <w:szCs w:val="20"/>
                <w:color w:val="auto"/>
              </w:rPr>
            </w:pPr>
            <w:r>
              <w:rPr>
                <w:rFonts w:ascii="Arial" w:cs="Arial" w:eastAsia="Arial" w:hAnsi="Arial"/>
                <w:sz w:val="14"/>
                <w:szCs w:val="14"/>
                <w:color w:val="auto"/>
              </w:rPr>
              <w:t>Interest and expenses on credit facility</w:t>
            </w: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1,497,604</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3,249,951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expense on members notes</w:t>
            </w:r>
          </w:p>
        </w:tc>
        <w:tc>
          <w:tcPr>
            <w:tcW w:w="29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2,381,279</w:t>
            </w:r>
          </w:p>
        </w:tc>
        <w:tc>
          <w:tcPr>
            <w:tcW w:w="10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4,683,188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260"/>
              <w:spacing w:after="0"/>
              <w:rPr>
                <w:sz w:val="20"/>
                <w:szCs w:val="20"/>
                <w:color w:val="auto"/>
              </w:rPr>
            </w:pPr>
            <w:r>
              <w:rPr>
                <w:rFonts w:ascii="Arial" w:cs="Arial" w:eastAsia="Arial" w:hAnsi="Arial"/>
                <w:sz w:val="14"/>
                <w:szCs w:val="14"/>
                <w:color w:val="auto"/>
              </w:rPr>
              <w:t>Administrative services expenses</w:t>
            </w: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292,965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585,930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(2)</w:t>
            </w:r>
          </w:p>
        </w:tc>
        <w:tc>
          <w:tcPr>
            <w:tcW w:w="29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111,648</w:t>
            </w:r>
          </w:p>
        </w:tc>
        <w:tc>
          <w:tcPr>
            <w:tcW w:w="100" w:type="dxa"/>
            <w:vAlign w:val="bottom"/>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223,296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29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4,283,496</w:t>
            </w:r>
          </w:p>
        </w:tc>
        <w:tc>
          <w:tcPr>
            <w:tcW w:w="100" w:type="dxa"/>
            <w:vAlign w:val="bottom"/>
            <w:tcBorders>
              <w:bottom w:val="single" w:sz="8" w:color="CCEC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8,742,365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9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16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2,702,101</w:t>
            </w:r>
          </w:p>
        </w:tc>
        <w:tc>
          <w:tcPr>
            <w:tcW w:w="100" w:type="dxa"/>
            <w:vAlign w:val="bottom"/>
            <w:shd w:val="clear" w:color="auto" w:fill="CCECFF"/>
          </w:tcPr>
          <w:p>
            <w:pPr>
              <w:spacing w:after="0"/>
              <w:rPr>
                <w:sz w:val="13"/>
                <w:szCs w:val="13"/>
                <w:color w:val="auto"/>
              </w:rPr>
            </w:pPr>
          </w:p>
        </w:tc>
        <w:tc>
          <w:tcPr>
            <w:tcW w:w="68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5,242,185</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gain on investments:</w:t>
            </w:r>
          </w:p>
        </w:tc>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spacing w:after="0"/>
              <w:rPr>
                <w:sz w:val="20"/>
                <w:szCs w:val="20"/>
                <w:color w:val="auto"/>
              </w:rPr>
            </w:pPr>
            <w:r>
              <w:rPr>
                <w:rFonts w:ascii="Arial" w:cs="Arial" w:eastAsia="Arial" w:hAnsi="Arial"/>
                <w:sz w:val="14"/>
                <w:szCs w:val="14"/>
                <w:color w:val="auto"/>
              </w:rPr>
              <w:t>Net realized gain on investments</w:t>
            </w:r>
          </w:p>
        </w:tc>
        <w:tc>
          <w:tcPr>
            <w:tcW w:w="29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7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464,337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Net change in unrealized appreciation on investments</w:t>
            </w:r>
          </w:p>
        </w:tc>
        <w:tc>
          <w:tcPr>
            <w:tcW w:w="29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1,744,154</w:t>
            </w:r>
          </w:p>
        </w:tc>
        <w:tc>
          <w:tcPr>
            <w:tcW w:w="100" w:type="dxa"/>
            <w:vAlign w:val="bottom"/>
            <w:tcBorders>
              <w:bottom w:val="single" w:sz="8" w:color="CCEC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4,454,406</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w:t>
            </w:r>
          </w:p>
        </w:tc>
        <w:tc>
          <w:tcPr>
            <w:tcW w:w="29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16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1,744,154</w:t>
            </w:r>
          </w:p>
        </w:tc>
        <w:tc>
          <w:tcPr>
            <w:tcW w:w="100" w:type="dxa"/>
            <w:vAlign w:val="bottom"/>
            <w:shd w:val="clear" w:color="auto" w:fill="CCECFF"/>
          </w:tcPr>
          <w:p>
            <w:pPr>
              <w:spacing w:after="0"/>
              <w:rPr>
                <w:sz w:val="13"/>
                <w:szCs w:val="13"/>
                <w:color w:val="auto"/>
              </w:rPr>
            </w:pPr>
          </w:p>
        </w:tc>
        <w:tc>
          <w:tcPr>
            <w:tcW w:w="68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4,918,743</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292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4,446,255</w:t>
            </w:r>
          </w:p>
        </w:tc>
        <w:tc>
          <w:tcPr>
            <w:tcW w:w="100" w:type="dxa"/>
            <w:vAlign w:val="bottom"/>
          </w:tcPr>
          <w:p>
            <w:pPr>
              <w:spacing w:after="0"/>
              <w:rPr>
                <w:sz w:val="13"/>
                <w:szCs w:val="13"/>
                <w:color w:val="auto"/>
              </w:rPr>
            </w:pPr>
          </w:p>
        </w:tc>
        <w:tc>
          <w:tcPr>
            <w:tcW w:w="68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10,160,928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8599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8"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9"/>
          <w:szCs w:val="9"/>
          <w:b w:val="1"/>
          <w:bCs w:val="1"/>
          <w:color w:val="auto"/>
        </w:rPr>
      </w:pPr>
      <w:r>
        <w:rPr>
          <w:rFonts w:ascii="Arial" w:cs="Arial" w:eastAsia="Arial" w:hAnsi="Arial"/>
          <w:sz w:val="11"/>
          <w:szCs w:val="11"/>
          <w:color w:val="auto"/>
        </w:rPr>
        <w:t>PSLF commenced operations on July 31, 2020.</w:t>
      </w:r>
    </w:p>
    <w:p>
      <w:pPr>
        <w:spacing w:after="0" w:line="3" w:lineRule="exact"/>
        <w:rPr>
          <w:rFonts w:ascii="Arial" w:cs="Arial" w:eastAsia="Arial" w:hAnsi="Arial"/>
          <w:sz w:val="9"/>
          <w:szCs w:val="9"/>
          <w:b w:val="1"/>
          <w:bCs w:val="1"/>
          <w:color w:val="auto"/>
        </w:rPr>
      </w:pPr>
    </w:p>
    <w:p>
      <w:pPr>
        <w:ind w:left="380" w:hanging="372"/>
        <w:spacing w:after="0"/>
        <w:tabs>
          <w:tab w:leader="none" w:pos="380" w:val="left"/>
        </w:tabs>
        <w:numPr>
          <w:ilvl w:val="0"/>
          <w:numId w:val="20"/>
        </w:numPr>
        <w:rPr>
          <w:rFonts w:ascii="Arial" w:cs="Arial" w:eastAsia="Arial" w:hAnsi="Arial"/>
          <w:sz w:val="9"/>
          <w:szCs w:val="9"/>
          <w:b w:val="1"/>
          <w:bCs w:val="1"/>
          <w:color w:val="auto"/>
        </w:rPr>
      </w:pPr>
      <w:r>
        <w:rPr>
          <w:rFonts w:ascii="Arial" w:cs="Arial" w:eastAsia="Arial" w:hAnsi="Arial"/>
          <w:sz w:val="11"/>
          <w:szCs w:val="11"/>
          <w:color w:val="auto"/>
        </w:rPr>
        <w:t>No management or incentive fees are payable by PSLF. If any fees were to be charged, they would be separately disclosed in the Statement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221" w:lineRule="exact"/>
        <w:rPr>
          <w:sz w:val="20"/>
          <w:szCs w:val="20"/>
          <w:color w:val="auto"/>
        </w:rPr>
      </w:pPr>
    </w:p>
    <w:p>
      <w:pPr>
        <w:ind w:right="280"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17"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217"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65"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20"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2024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34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97"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97"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106"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SBA debentures, our 2024 Notes and our Credit Facilities,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9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our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197" w:lineRule="exact"/>
        <w:rPr>
          <w:sz w:val="20"/>
          <w:szCs w:val="20"/>
          <w:color w:val="auto"/>
        </w:rPr>
      </w:pPr>
    </w:p>
    <w:p>
      <w:pPr>
        <w:ind w:right="60" w:firstLine="438"/>
        <w:spacing w:after="0" w:line="225" w:lineRule="auto"/>
        <w:rPr>
          <w:sz w:val="20"/>
          <w:szCs w:val="20"/>
          <w:color w:val="auto"/>
        </w:rPr>
      </w:pPr>
      <w:r>
        <w:rPr>
          <w:rFonts w:ascii="Arial" w:cs="Arial" w:eastAsia="Arial" w:hAnsi="Arial"/>
          <w:sz w:val="14"/>
          <w:szCs w:val="14"/>
          <w:color w:val="auto"/>
        </w:rPr>
        <w:t>The remainder of our investment portfolio and our long-term Credit Facilities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Level 3 valuation techniques, unobservable inputs and ranges were categorized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Fair Value at March 31,</w:t>
            </w:r>
          </w:p>
        </w:tc>
        <w:tc>
          <w:tcPr>
            <w:tcW w:w="260" w:type="dxa"/>
            <w:vAlign w:val="bottom"/>
          </w:tcPr>
          <w:p>
            <w:pPr>
              <w:spacing w:after="0"/>
              <w:rPr>
                <w:sz w:val="14"/>
                <w:szCs w:val="14"/>
                <w:color w:val="auto"/>
              </w:rPr>
            </w:pP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2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1"/>
              </w:rPr>
              <w:t xml:space="preserve">(Weighted Average)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63,582,553</w:t>
            </w:r>
          </w:p>
        </w:tc>
        <w:tc>
          <w:tcPr>
            <w:tcW w:w="2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1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379,871,382</w:t>
            </w:r>
          </w:p>
        </w:tc>
        <w:tc>
          <w:tcPr>
            <w:tcW w:w="260" w:type="dxa"/>
            <w:vAlign w:val="bottom"/>
          </w:tcPr>
          <w:p>
            <w:pPr>
              <w:spacing w:after="0"/>
              <w:rPr>
                <w:sz w:val="14"/>
                <w:szCs w:val="14"/>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100" w:type="dxa"/>
            <w:vAlign w:val="bottom"/>
          </w:tcPr>
          <w:p>
            <w:pPr>
              <w:jc w:val="center"/>
              <w:spacing w:after="0"/>
              <w:rPr>
                <w:sz w:val="20"/>
                <w:szCs w:val="20"/>
                <w:color w:val="auto"/>
              </w:rPr>
            </w:pPr>
            <w:r>
              <w:rPr>
                <w:rFonts w:ascii="Arial" w:cs="Arial" w:eastAsia="Arial" w:hAnsi="Arial"/>
                <w:sz w:val="14"/>
                <w:szCs w:val="14"/>
                <w:color w:val="auto"/>
                <w:w w:val="95"/>
              </w:rPr>
              <w:t>5.9% – 14.6% (8.6%)</w:t>
            </w: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24,087,500</w:t>
            </w:r>
          </w:p>
        </w:tc>
        <w:tc>
          <w:tcPr>
            <w:tcW w:w="26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210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160,152,793</w:t>
            </w:r>
          </w:p>
        </w:tc>
        <w:tc>
          <w:tcPr>
            <w:tcW w:w="260" w:type="dxa"/>
            <w:vAlign w:val="bottom"/>
          </w:tcPr>
          <w:p>
            <w:pPr>
              <w:spacing w:after="0"/>
              <w:rPr>
                <w:sz w:val="14"/>
                <w:szCs w:val="14"/>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100" w:type="dxa"/>
            <w:vAlign w:val="bottom"/>
          </w:tcPr>
          <w:p>
            <w:pPr>
              <w:jc w:val="center"/>
              <w:spacing w:after="0"/>
              <w:rPr>
                <w:sz w:val="20"/>
                <w:szCs w:val="20"/>
                <w:color w:val="auto"/>
              </w:rPr>
            </w:pPr>
            <w:r>
              <w:rPr>
                <w:rFonts w:ascii="Arial" w:cs="Arial" w:eastAsia="Arial" w:hAnsi="Arial"/>
                <w:sz w:val="14"/>
                <w:szCs w:val="14"/>
                <w:color w:val="auto"/>
                <w:w w:val="93"/>
              </w:rPr>
              <w:t>9.3% –11.5% (10.3%)</w:t>
            </w: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10,318,353</w:t>
            </w:r>
          </w:p>
        </w:tc>
        <w:tc>
          <w:tcPr>
            <w:tcW w:w="26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21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8"/>
              </w:rPr>
              <w:t>5.9x</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118,162,521</w:t>
            </w:r>
          </w:p>
        </w:tc>
        <w:tc>
          <w:tcPr>
            <w:tcW w:w="260" w:type="dxa"/>
            <w:vAlign w:val="bottom"/>
          </w:tcPr>
          <w:p>
            <w:pPr>
              <w:spacing w:after="0"/>
              <w:rPr>
                <w:sz w:val="14"/>
                <w:szCs w:val="14"/>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100" w:type="dxa"/>
            <w:vAlign w:val="bottom"/>
          </w:tcPr>
          <w:p>
            <w:pPr>
              <w:jc w:val="center"/>
              <w:spacing w:after="0"/>
              <w:rPr>
                <w:sz w:val="20"/>
                <w:szCs w:val="20"/>
                <w:color w:val="auto"/>
              </w:rPr>
            </w:pPr>
            <w:r>
              <w:rPr>
                <w:rFonts w:ascii="Arial" w:cs="Arial" w:eastAsia="Arial" w:hAnsi="Arial"/>
                <w:sz w:val="14"/>
                <w:szCs w:val="14"/>
                <w:color w:val="auto"/>
                <w:w w:val="94"/>
              </w:rPr>
              <w:t>9.7% – 16.4% (12.3%)</w:t>
            </w: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284,023,992</w:t>
            </w:r>
          </w:p>
        </w:tc>
        <w:tc>
          <w:tcPr>
            <w:tcW w:w="26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21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4.0x – 40.3x (12.5x)</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Equity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72,968,079</w:t>
            </w:r>
          </w:p>
        </w:tc>
        <w:tc>
          <w:tcPr>
            <w:tcW w:w="260" w:type="dxa"/>
            <w:vAlign w:val="bottom"/>
          </w:tcPr>
          <w:p>
            <w:pPr>
              <w:spacing w:after="0"/>
              <w:rPr>
                <w:sz w:val="14"/>
                <w:szCs w:val="14"/>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rPr>
              <w:t>DLOM</w:t>
            </w:r>
          </w:p>
        </w:tc>
        <w:tc>
          <w:tcPr>
            <w:tcW w:w="2100" w:type="dxa"/>
            <w:vAlign w:val="bottom"/>
          </w:tcPr>
          <w:p>
            <w:pPr>
              <w:jc w:val="center"/>
              <w:spacing w:after="0"/>
              <w:rPr>
                <w:sz w:val="20"/>
                <w:szCs w:val="20"/>
                <w:color w:val="auto"/>
              </w:rPr>
            </w:pPr>
            <w:r>
              <w:rPr>
                <w:rFonts w:ascii="Arial" w:cs="Arial" w:eastAsia="Arial" w:hAnsi="Arial"/>
                <w:sz w:val="14"/>
                <w:szCs w:val="14"/>
                <w:color w:val="auto"/>
                <w:w w:val="93"/>
              </w:rPr>
              <w:t>5.7%</w:t>
            </w: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80" w:type="dxa"/>
            <w:vAlign w:val="bottom"/>
            <w:tcBorders>
              <w:bottom w:val="single" w:sz="8" w:color="auto"/>
            </w:tcBorders>
            <w:shd w:val="clear" w:color="auto" w:fill="CCECFF"/>
          </w:tcPr>
          <w:p>
            <w:pPr>
              <w:spacing w:after="0"/>
              <w:rPr>
                <w:sz w:val="14"/>
                <w:szCs w:val="14"/>
                <w:color w:val="auto"/>
              </w:rPr>
            </w:pPr>
          </w:p>
        </w:tc>
        <w:tc>
          <w:tcPr>
            <w:tcW w:w="1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19,539,097</w:t>
            </w:r>
          </w:p>
        </w:tc>
        <w:tc>
          <w:tcPr>
            <w:tcW w:w="26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1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19.6%</w:t>
            </w:r>
          </w:p>
        </w:tc>
        <w:tc>
          <w:tcPr>
            <w:tcW w:w="0" w:type="dxa"/>
            <w:vAlign w:val="bottom"/>
          </w:tcPr>
          <w:p>
            <w:pPr>
              <w:spacing w:after="0"/>
              <w:rPr>
                <w:sz w:val="1"/>
                <w:szCs w:val="1"/>
                <w:color w:val="auto"/>
              </w:rPr>
            </w:pPr>
          </w:p>
        </w:tc>
      </w:tr>
      <w:tr>
        <w:trPr>
          <w:trHeight w:val="195"/>
        </w:trPr>
        <w:tc>
          <w:tcPr>
            <w:tcW w:w="2580" w:type="dxa"/>
            <w:vAlign w:val="bottom"/>
            <w:tcBorders>
              <w:bottom w:val="single" w:sz="8" w:color="CCECFF"/>
            </w:tcBorders>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1,132,706,270</w:t>
            </w:r>
          </w:p>
        </w:tc>
        <w:tc>
          <w:tcPr>
            <w:tcW w:w="26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58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Truist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372,867,465</w:t>
            </w:r>
          </w:p>
        </w:tc>
        <w:tc>
          <w:tcPr>
            <w:tcW w:w="260" w:type="dxa"/>
            <w:vAlign w:val="bottom"/>
            <w:tcBorders>
              <w:bottom w:val="single" w:sz="8" w:color="CCECFF"/>
            </w:tcBorders>
            <w:shd w:val="clear" w:color="auto" w:fill="CCECFF"/>
          </w:tcPr>
          <w:p>
            <w:pPr>
              <w:spacing w:after="0"/>
              <w:rPr>
                <w:sz w:val="12"/>
                <w:szCs w:val="12"/>
                <w:color w:val="auto"/>
              </w:rPr>
            </w:pPr>
          </w:p>
        </w:tc>
        <w:tc>
          <w:tcPr>
            <w:tcW w:w="224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224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210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2.5%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8599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8"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9"/>
          <w:szCs w:val="9"/>
          <w:b w:val="1"/>
          <w:bCs w:val="1"/>
          <w:color w:val="auto"/>
        </w:rPr>
      </w:pPr>
      <w:r>
        <w:rPr>
          <w:rFonts w:ascii="Arial" w:cs="Arial" w:eastAsia="Arial" w:hAnsi="Arial"/>
          <w:sz w:val="11"/>
          <w:szCs w:val="11"/>
          <w:color w:val="auto"/>
        </w:rPr>
        <w:t>The weighted averages disclosed in the table above were weighted by their relative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80" w:type="dxa"/>
            <w:vAlign w:val="bottom"/>
          </w:tcPr>
          <w:p>
            <w:pPr>
              <w:spacing w:after="0"/>
              <w:rPr>
                <w:sz w:val="14"/>
                <w:szCs w:val="14"/>
                <w:color w:val="auto"/>
              </w:rPr>
            </w:pP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Unobservable Input</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September 30, 2020</w:t>
            </w:r>
          </w:p>
        </w:tc>
        <w:tc>
          <w:tcPr>
            <w:tcW w:w="28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 xml:space="preserve">(Weighted Average)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26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38,794,224</w:t>
            </w:r>
          </w:p>
        </w:tc>
        <w:tc>
          <w:tcPr>
            <w:tcW w:w="28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400,218,858</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tcPr>
          <w:p>
            <w:pPr>
              <w:jc w:val="center"/>
              <w:spacing w:after="0"/>
              <w:rPr>
                <w:sz w:val="20"/>
                <w:szCs w:val="20"/>
                <w:color w:val="auto"/>
              </w:rPr>
            </w:pPr>
            <w:r>
              <w:rPr>
                <w:rFonts w:ascii="Arial" w:cs="Arial" w:eastAsia="Arial" w:hAnsi="Arial"/>
                <w:sz w:val="14"/>
                <w:szCs w:val="14"/>
                <w:color w:val="auto"/>
                <w:w w:val="93"/>
              </w:rPr>
              <w:t>6.4% – 15.0% (9.0%)</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202,060,703</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8.4% – 11.0% (10.0%)</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18,782,777</w:t>
            </w:r>
          </w:p>
        </w:tc>
        <w:tc>
          <w:tcPr>
            <w:tcW w:w="280" w:type="dxa"/>
            <w:vAlign w:val="bottom"/>
          </w:tcPr>
          <w:p>
            <w:pPr>
              <w:spacing w:after="0"/>
              <w:rPr>
                <w:sz w:val="14"/>
                <w:szCs w:val="14"/>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080" w:type="dxa"/>
            <w:vAlign w:val="bottom"/>
          </w:tcPr>
          <w:p>
            <w:pPr>
              <w:jc w:val="center"/>
              <w:spacing w:after="0"/>
              <w:rPr>
                <w:sz w:val="20"/>
                <w:szCs w:val="20"/>
                <w:color w:val="auto"/>
              </w:rPr>
            </w:pPr>
            <w:r>
              <w:rPr>
                <w:rFonts w:ascii="Arial" w:cs="Arial" w:eastAsia="Arial" w:hAnsi="Arial"/>
                <w:sz w:val="14"/>
                <w:szCs w:val="14"/>
                <w:color w:val="auto"/>
                <w:w w:val="98"/>
              </w:rPr>
              <w:t>8.5x</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113,569,409</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9.4% – 16.1% (12.0%)</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Equity</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253,101,893</w:t>
            </w:r>
          </w:p>
        </w:tc>
        <w:tc>
          <w:tcPr>
            <w:tcW w:w="280" w:type="dxa"/>
            <w:vAlign w:val="bottom"/>
          </w:tcPr>
          <w:p>
            <w:pPr>
              <w:spacing w:after="0"/>
              <w:rPr>
                <w:sz w:val="14"/>
                <w:szCs w:val="14"/>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080" w:type="dxa"/>
            <w:vAlign w:val="bottom"/>
          </w:tcPr>
          <w:p>
            <w:pPr>
              <w:jc w:val="center"/>
              <w:spacing w:after="0"/>
              <w:rPr>
                <w:sz w:val="20"/>
                <w:szCs w:val="20"/>
                <w:color w:val="auto"/>
              </w:rPr>
            </w:pPr>
            <w:r>
              <w:rPr>
                <w:rFonts w:ascii="Arial" w:cs="Arial" w:eastAsia="Arial" w:hAnsi="Arial"/>
                <w:sz w:val="14"/>
                <w:szCs w:val="14"/>
                <w:color w:val="auto"/>
                <w:w w:val="95"/>
              </w:rPr>
              <w:t>4.6x – 22.0x (11.4x)</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40" w:type="dxa"/>
            <w:vAlign w:val="bottom"/>
            <w:tcBorders>
              <w:bottom w:val="single" w:sz="8" w:color="auto"/>
            </w:tcBorders>
            <w:shd w:val="clear" w:color="auto" w:fill="CCECFF"/>
          </w:tcPr>
          <w:p>
            <w:pPr>
              <w:spacing w:after="0"/>
              <w:rPr>
                <w:sz w:val="14"/>
                <w:szCs w:val="14"/>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17,652,053</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19.1%</w:t>
            </w:r>
          </w:p>
        </w:tc>
        <w:tc>
          <w:tcPr>
            <w:tcW w:w="0" w:type="dxa"/>
            <w:vAlign w:val="bottom"/>
          </w:tcPr>
          <w:p>
            <w:pPr>
              <w:spacing w:after="0"/>
              <w:rPr>
                <w:sz w:val="1"/>
                <w:szCs w:val="1"/>
                <w:color w:val="auto"/>
              </w:rPr>
            </w:pPr>
          </w:p>
        </w:tc>
      </w:tr>
      <w:tr>
        <w:trPr>
          <w:trHeight w:val="195"/>
        </w:trPr>
        <w:tc>
          <w:tcPr>
            <w:tcW w:w="276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1,044,179,917</w:t>
            </w:r>
          </w:p>
        </w:tc>
        <w:tc>
          <w:tcPr>
            <w:tcW w:w="28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6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color w:val="auto"/>
              </w:rPr>
              <w:t>Truist Credit Facility</w:t>
            </w:r>
          </w:p>
        </w:tc>
        <w:tc>
          <w:tcPr>
            <w:tcW w:w="1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368,701,972</w:t>
            </w:r>
          </w:p>
        </w:tc>
        <w:tc>
          <w:tcPr>
            <w:tcW w:w="280" w:type="dxa"/>
            <w:vAlign w:val="bottom"/>
            <w:tcBorders>
              <w:bottom w:val="single" w:sz="8" w:color="CCECFF"/>
            </w:tcBorders>
            <w:shd w:val="clear" w:color="auto" w:fill="CCECFF"/>
          </w:tcPr>
          <w:p>
            <w:pPr>
              <w:spacing w:after="0"/>
              <w:rPr>
                <w:sz w:val="12"/>
                <w:szCs w:val="12"/>
                <w:color w:val="auto"/>
              </w:rPr>
            </w:pPr>
          </w:p>
        </w:tc>
        <w:tc>
          <w:tcPr>
            <w:tcW w:w="2240" w:type="dxa"/>
            <w:vAlign w:val="bottom"/>
            <w:tcBorders>
              <w:bottom w:val="single" w:sz="8" w:color="CCECFF"/>
            </w:tcBorders>
            <w:gridSpan w:val="2"/>
            <w:shd w:val="clear" w:color="auto" w:fill="CCECFF"/>
          </w:tcPr>
          <w:p>
            <w:pPr>
              <w:jc w:val="center"/>
              <w:ind w:right="180"/>
              <w:spacing w:after="0" w:line="143" w:lineRule="exact"/>
              <w:rPr>
                <w:sz w:val="20"/>
                <w:szCs w:val="20"/>
                <w:color w:val="auto"/>
              </w:rPr>
            </w:pPr>
            <w:r>
              <w:rPr>
                <w:rFonts w:ascii="Arial" w:cs="Arial" w:eastAsia="Arial" w:hAnsi="Arial"/>
                <w:sz w:val="14"/>
                <w:szCs w:val="14"/>
                <w:color w:val="auto"/>
                <w:w w:val="92"/>
              </w:rPr>
              <w:t>Market Comparable</w:t>
            </w:r>
          </w:p>
        </w:tc>
        <w:tc>
          <w:tcPr>
            <w:tcW w:w="224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208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3.8%</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8599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38"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9"/>
          <w:szCs w:val="9"/>
          <w:b w:val="1"/>
          <w:bCs w:val="1"/>
          <w:color w:val="auto"/>
        </w:rPr>
      </w:pPr>
      <w:r>
        <w:rPr>
          <w:rFonts w:ascii="Arial" w:cs="Arial" w:eastAsia="Arial" w:hAnsi="Arial"/>
          <w:sz w:val="11"/>
          <w:szCs w:val="11"/>
          <w:color w:val="auto"/>
        </w:rPr>
        <w:t>The weighted averages disclosed in the table above were weighted by their relative fair value.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Truist Credit Facility, SBA debentures and 2024 Notes were categorized as follows in the fair value hierarchy: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6"/>
          </w:tcPr>
          <w:p>
            <w:pPr>
              <w:jc w:val="center"/>
              <w:ind w:left="708"/>
              <w:spacing w:after="0"/>
              <w:rPr>
                <w:sz w:val="20"/>
                <w:szCs w:val="20"/>
                <w:color w:val="auto"/>
              </w:rPr>
            </w:pPr>
            <w:r>
              <w:rPr>
                <w:rFonts w:ascii="Arial" w:cs="Arial" w:eastAsia="Arial" w:hAnsi="Arial"/>
                <w:sz w:val="14"/>
                <w:szCs w:val="14"/>
                <w:b w:val="1"/>
                <w:bCs w:val="1"/>
                <w:color w:val="auto"/>
                <w:w w:val="95"/>
              </w:rPr>
              <w:t>Fair Value at March 31, 2021</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Measured at Net</w:t>
            </w:r>
          </w:p>
        </w:tc>
        <w:tc>
          <w:tcPr>
            <w:tcW w:w="0" w:type="dxa"/>
            <w:vAlign w:val="bottom"/>
          </w:tcPr>
          <w:p>
            <w:pPr>
              <w:spacing w:after="0"/>
              <w:rPr>
                <w:sz w:val="1"/>
                <w:szCs w:val="1"/>
                <w:color w:val="auto"/>
              </w:rPr>
            </w:pPr>
          </w:p>
        </w:tc>
      </w:tr>
      <w:tr>
        <w:trPr>
          <w:trHeight w:val="124"/>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0"/>
                <w:szCs w:val="10"/>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0"/>
                <w:szCs w:val="10"/>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66"/>
        </w:trPr>
        <w:tc>
          <w:tcPr>
            <w:tcW w:w="2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372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756,175,102</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756,175,102</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gridSpan w:val="2"/>
          </w:tcPr>
          <w:p>
            <w:pPr>
              <w:spacing w:after="0"/>
              <w:rPr>
                <w:sz w:val="20"/>
                <w:szCs w:val="20"/>
                <w:color w:val="auto"/>
              </w:rPr>
            </w:pPr>
            <w:r>
              <w:rPr>
                <w:rFonts w:ascii="Arial" w:cs="Arial" w:eastAsia="Arial" w:hAnsi="Arial"/>
                <w:sz w:val="14"/>
                <w:szCs w:val="14"/>
                <w:color w:val="auto"/>
              </w:rPr>
              <w:t>Equity investments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419,062,441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2,291,983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376,531,168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40,239,290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20" w:type="dxa"/>
            <w:vAlign w:val="bottom"/>
            <w:tcBorders>
              <w:top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1,175,237,543</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2,291,983</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1,132,706,270</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40,239,290</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33,855,496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33,855,496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720" w:type="dxa"/>
            <w:vAlign w:val="bottom"/>
            <w:tcBorders>
              <w:top w:val="single" w:sz="8" w:color="CCECFF"/>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1,209,093,039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36,147,479</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1,132,706,270</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40,239,290</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4"/>
                <w:szCs w:val="14"/>
                <w:color w:val="auto"/>
              </w:rPr>
              <w:t>Truist Credit Facility</w:t>
            </w:r>
          </w:p>
        </w:tc>
        <w:tc>
          <w:tcPr>
            <w:tcW w:w="3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372,867,465</w:t>
            </w:r>
          </w:p>
        </w:tc>
        <w:tc>
          <w:tcPr>
            <w:tcW w:w="24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372,867,465</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gridSpan w:val="2"/>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SBA Debentures</w:t>
            </w:r>
            <w:r>
              <w:rPr>
                <w:rFonts w:ascii="Arial" w:cs="Arial" w:eastAsia="Arial" w:hAnsi="Arial"/>
                <w:sz w:val="12"/>
                <w:szCs w:val="12"/>
                <w:color w:val="auto"/>
              </w:rPr>
              <w:t>(2)</w:t>
            </w:r>
          </w:p>
        </w:tc>
        <w:tc>
          <w:tcPr>
            <w:tcW w:w="1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106,128,698</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106,128,698</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80" w:type="dxa"/>
            <w:vAlign w:val="bottom"/>
            <w:gridSpan w:val="3"/>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20" w:type="dxa"/>
            <w:vAlign w:val="bottom"/>
            <w:gridSpan w:val="2"/>
          </w:tcPr>
          <w:p>
            <w:pPr>
              <w:spacing w:after="0"/>
              <w:rPr>
                <w:sz w:val="20"/>
                <w:szCs w:val="20"/>
                <w:color w:val="auto"/>
              </w:rPr>
            </w:pPr>
            <w:r>
              <w:rPr>
                <w:rFonts w:ascii="Arial" w:cs="Arial" w:eastAsia="Arial" w:hAnsi="Arial"/>
                <w:sz w:val="14"/>
                <w:szCs w:val="14"/>
                <w:color w:val="auto"/>
              </w:rPr>
              <w:t>2024 Notes</w:t>
            </w:r>
            <w:r>
              <w:rPr>
                <w:rFonts w:ascii="Arial" w:cs="Arial" w:eastAsia="Arial" w:hAnsi="Arial"/>
                <w:sz w:val="12"/>
                <w:szCs w:val="12"/>
                <w:color w:val="auto"/>
              </w:rPr>
              <w:t>(2)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88,630,500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88,630,500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720" w:type="dxa"/>
            <w:vAlign w:val="bottom"/>
            <w:tcBorders>
              <w:top w:val="single" w:sz="8" w:color="CCECFF"/>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debt</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567,626,663</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88,630,500</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478,996,163</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6"/>
          </w:tcPr>
          <w:p>
            <w:pPr>
              <w:jc w:val="center"/>
              <w:ind w:left="688"/>
              <w:spacing w:after="0"/>
              <w:rPr>
                <w:sz w:val="20"/>
                <w:szCs w:val="20"/>
                <w:color w:val="auto"/>
              </w:rPr>
            </w:pPr>
            <w:r>
              <w:rPr>
                <w:rFonts w:ascii="Arial" w:cs="Arial" w:eastAsia="Arial" w:hAnsi="Arial"/>
                <w:sz w:val="14"/>
                <w:szCs w:val="14"/>
                <w:b w:val="1"/>
                <w:bCs w:val="1"/>
                <w:color w:val="auto"/>
                <w:w w:val="93"/>
              </w:rPr>
              <w:t>Fair Value at September 30, 2020</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Measured at Net</w:t>
            </w:r>
          </w:p>
        </w:tc>
        <w:tc>
          <w:tcPr>
            <w:tcW w:w="0" w:type="dxa"/>
            <w:vAlign w:val="bottom"/>
          </w:tcPr>
          <w:p>
            <w:pPr>
              <w:spacing w:after="0"/>
              <w:rPr>
                <w:sz w:val="1"/>
                <w:szCs w:val="1"/>
                <w:color w:val="auto"/>
              </w:rPr>
            </w:pPr>
          </w:p>
        </w:tc>
      </w:tr>
      <w:tr>
        <w:trPr>
          <w:trHeight w:val="124"/>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0"/>
                <w:szCs w:val="10"/>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0"/>
                <w:szCs w:val="10"/>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66"/>
        </w:trPr>
        <w:tc>
          <w:tcPr>
            <w:tcW w:w="2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72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773,425,971</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773,425,971</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gridSpan w:val="2"/>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gridSpan w:val="2"/>
          </w:tcPr>
          <w:p>
            <w:pPr>
              <w:spacing w:after="0"/>
              <w:rPr>
                <w:sz w:val="20"/>
                <w:szCs w:val="20"/>
                <w:color w:val="auto"/>
              </w:rPr>
            </w:pPr>
            <w:r>
              <w:rPr>
                <w:rFonts w:ascii="Arial" w:cs="Arial" w:eastAsia="Arial" w:hAnsi="Arial"/>
                <w:sz w:val="14"/>
                <w:szCs w:val="14"/>
                <w:color w:val="auto"/>
              </w:rPr>
              <w:t>Equity investments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308,345,447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1,328,924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270,753,946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36,262,577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Borders>
              <w:top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1,081,771,418</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1,328,924</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1,044,179,917</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1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36,262,577</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25,806,002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25,806,002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720" w:type="dxa"/>
            <w:vAlign w:val="bottom"/>
            <w:tcBorders>
              <w:top w:val="single" w:sz="8" w:color="CCECFF"/>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1,107,577,420</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27,134,926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1,044,179,917</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36,262,577</w:t>
            </w:r>
          </w:p>
        </w:tc>
        <w:tc>
          <w:tcPr>
            <w:tcW w:w="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4"/>
                <w:szCs w:val="14"/>
                <w:color w:val="auto"/>
              </w:rPr>
              <w:t>Truist Credit Facility</w:t>
            </w:r>
          </w:p>
        </w:tc>
        <w:tc>
          <w:tcPr>
            <w:tcW w:w="3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368,701,972</w:t>
            </w:r>
          </w:p>
        </w:tc>
        <w:tc>
          <w:tcPr>
            <w:tcW w:w="24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368,701,972</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SBA Debentures</w:t>
            </w:r>
            <w:r>
              <w:rPr>
                <w:rFonts w:ascii="Arial" w:cs="Arial" w:eastAsia="Arial" w:hAnsi="Arial"/>
                <w:sz w:val="12"/>
                <w:szCs w:val="12"/>
                <w:color w:val="auto"/>
              </w:rPr>
              <w:t>(2)</w:t>
            </w:r>
          </w:p>
        </w:tc>
        <w:tc>
          <w:tcPr>
            <w:tcW w:w="1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115,772,677</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115,772,677</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20" w:type="dxa"/>
            <w:vAlign w:val="bottom"/>
            <w:gridSpan w:val="2"/>
          </w:tcPr>
          <w:p>
            <w:pPr>
              <w:spacing w:after="0"/>
              <w:rPr>
                <w:sz w:val="20"/>
                <w:szCs w:val="20"/>
                <w:color w:val="auto"/>
              </w:rPr>
            </w:pPr>
            <w:r>
              <w:rPr>
                <w:rFonts w:ascii="Arial" w:cs="Arial" w:eastAsia="Arial" w:hAnsi="Arial"/>
                <w:sz w:val="14"/>
                <w:szCs w:val="14"/>
                <w:color w:val="auto"/>
              </w:rPr>
              <w:t>2024 Notes</w:t>
            </w:r>
            <w:r>
              <w:rPr>
                <w:rFonts w:ascii="Arial" w:cs="Arial" w:eastAsia="Arial" w:hAnsi="Arial"/>
                <w:sz w:val="12"/>
                <w:szCs w:val="12"/>
                <w:color w:val="auto"/>
              </w:rPr>
              <w:t>(2)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83,837,560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83,837,560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720" w:type="dxa"/>
            <w:vAlign w:val="bottom"/>
            <w:tcBorders>
              <w:top w:val="single" w:sz="8" w:color="CCECFF"/>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debt</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568,312,209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83,837,560</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484,474,649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1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80" w:right="240" w:hanging="372"/>
        <w:spacing w:after="0" w:line="238" w:lineRule="auto"/>
        <w:tabs>
          <w:tab w:leader="none" w:pos="380" w:val="left"/>
        </w:tabs>
        <w:numPr>
          <w:ilvl w:val="0"/>
          <w:numId w:val="23"/>
        </w:numPr>
        <w:rPr>
          <w:rFonts w:ascii="Arial" w:cs="Arial" w:eastAsia="Arial" w:hAnsi="Arial"/>
          <w:sz w:val="9"/>
          <w:szCs w:val="9"/>
          <w:b w:val="1"/>
          <w:bCs w:val="1"/>
          <w:color w:val="auto"/>
        </w:rPr>
      </w:pPr>
      <w:r>
        <w:rPr>
          <w:rFonts w:ascii="Arial" w:cs="Arial" w:eastAsia="Arial" w:hAnsi="Arial"/>
          <w:sz w:val="11"/>
          <w:szCs w:val="11"/>
          <w:color w:val="auto"/>
        </w:rPr>
        <w:t>In accordance with ASC Subtopic 820-10, Fair Value Measurements and Disclosures, or ASC 820-10, our equity investment in PSLF is measured using the net asset value per share (or its equivalent) as a practical expedient for fair value, have not been classified in the fair value hierarchy.</w:t>
      </w:r>
    </w:p>
    <w:p>
      <w:pPr>
        <w:ind w:left="380" w:right="60" w:hanging="372"/>
        <w:spacing w:after="0" w:line="281" w:lineRule="auto"/>
        <w:tabs>
          <w:tab w:leader="none" w:pos="380" w:val="left"/>
        </w:tabs>
        <w:numPr>
          <w:ilvl w:val="0"/>
          <w:numId w:val="23"/>
        </w:numPr>
        <w:rPr>
          <w:rFonts w:ascii="Arial" w:cs="Arial" w:eastAsia="Arial" w:hAnsi="Arial"/>
          <w:sz w:val="8"/>
          <w:szCs w:val="8"/>
          <w:b w:val="1"/>
          <w:bCs w:val="1"/>
          <w:color w:val="auto"/>
        </w:rPr>
      </w:pPr>
      <w:r>
        <w:rPr>
          <w:rFonts w:ascii="Arial" w:cs="Arial" w:eastAsia="Arial" w:hAnsi="Arial"/>
          <w:sz w:val="10"/>
          <w:szCs w:val="10"/>
          <w:color w:val="auto"/>
        </w:rPr>
        <w:t>We elected not to apply ASC 825-10, Financial Instruments, or ASC 825-10 to the SBA debentures or the 2024 Notes and thus the balance reported in the Consolidated Statement of Assets and Liabilities represents the carrying value. As of March 31, 2021 and September 30, 2020, the carrying value of the SBA debentures approximates the fair value. As of September 30, 2020, the carrying value of the 2024 Notes approximates the fair value.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tables below show a reconciliation of the beginning and ending balances for investments measured at fair value using significant unobservable inputs (Level 3):</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6"/>
          </w:tcPr>
          <w:p>
            <w:pPr>
              <w:jc w:val="center"/>
              <w:ind w:left="828"/>
              <w:spacing w:after="0"/>
              <w:rPr>
                <w:sz w:val="20"/>
                <w:szCs w:val="20"/>
                <w:color w:val="auto"/>
              </w:rPr>
            </w:pPr>
            <w:r>
              <w:rPr>
                <w:rFonts w:ascii="Arial" w:cs="Arial" w:eastAsia="Arial" w:hAnsi="Arial"/>
                <w:sz w:val="14"/>
                <w:szCs w:val="14"/>
                <w:b w:val="1"/>
                <w:bCs w:val="1"/>
                <w:color w:val="auto"/>
                <w:w w:val="94"/>
              </w:rPr>
              <w:t>Six Months Ended March 31, 2021</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89"/>
              </w:rPr>
              <w:t>Debt</w:t>
            </w:r>
          </w:p>
        </w:tc>
        <w:tc>
          <w:tcPr>
            <w:tcW w:w="200" w:type="dxa"/>
            <w:vAlign w:val="bottom"/>
          </w:tcPr>
          <w:p>
            <w:pPr>
              <w:spacing w:after="0"/>
              <w:rPr>
                <w:sz w:val="11"/>
                <w:szCs w:val="11"/>
                <w:color w:val="auto"/>
              </w:rPr>
            </w:pPr>
          </w:p>
        </w:tc>
        <w:tc>
          <w:tcPr>
            <w:tcW w:w="146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8"/>
              </w:rPr>
              <w:t>Equity</w:t>
            </w:r>
          </w:p>
        </w:tc>
        <w:tc>
          <w:tcPr>
            <w:tcW w:w="300" w:type="dxa"/>
            <w:vAlign w:val="bottom"/>
          </w:tcPr>
          <w:p>
            <w:pPr>
              <w:spacing w:after="0"/>
              <w:rPr>
                <w:sz w:val="11"/>
                <w:szCs w:val="11"/>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Pr>
          <w:p>
            <w:pPr>
              <w:spacing w:after="0"/>
              <w:rPr>
                <w:sz w:val="9"/>
                <w:szCs w:val="9"/>
                <w:color w:val="auto"/>
              </w:rPr>
            </w:pP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2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52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96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773,425,971</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270,753,946</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1,044,179,917</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500"/>
              <w:spacing w:after="0"/>
              <w:rPr>
                <w:sz w:val="20"/>
                <w:szCs w:val="20"/>
                <w:color w:val="auto"/>
              </w:rPr>
            </w:pPr>
            <w:r>
              <w:rPr>
                <w:rFonts w:ascii="Arial" w:cs="Arial" w:eastAsia="Arial" w:hAnsi="Arial"/>
                <w:sz w:val="14"/>
                <w:szCs w:val="14"/>
                <w:color w:val="auto"/>
              </w:rPr>
              <w:t>Net realized (loss) gain</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(19,628,905)</w:t>
            </w: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2,305,899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(17,323,006)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appreciation</w:t>
            </w: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30,411,528</w:t>
            </w:r>
          </w:p>
        </w:tc>
        <w:tc>
          <w:tcPr>
            <w:tcW w:w="2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91,986,003</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122,397,531</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129,950,316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21,086,944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151,037,260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(157,983,808)</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(9,601,624)</w:t>
            </w:r>
          </w:p>
        </w:tc>
        <w:tc>
          <w:tcPr>
            <w:tcW w:w="3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(167,585,432)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96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756,175,102</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376,531,168</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1,132,706,270</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4"/>
                <w:szCs w:val="14"/>
                <w:color w:val="auto"/>
              </w:rPr>
              <w:t>Net change in unrealized appreciation reported within the net change in</w:t>
            </w: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2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tcPr>
          <w:p>
            <w:pPr>
              <w:ind w:left="120"/>
              <w:spacing w:after="0" w:line="149" w:lineRule="exact"/>
              <w:rPr>
                <w:sz w:val="20"/>
                <w:szCs w:val="20"/>
                <w:color w:val="auto"/>
              </w:rPr>
            </w:pPr>
            <w:r>
              <w:rPr>
                <w:rFonts w:ascii="Arial" w:cs="Arial" w:eastAsia="Arial" w:hAnsi="Arial"/>
                <w:sz w:val="14"/>
                <w:szCs w:val="14"/>
                <w:color w:val="auto"/>
                <w:w w:val="96"/>
              </w:rPr>
              <w:t>unrealized appreciation on investments in our Consolidated Statements of Operations</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8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132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30,710,119</w:t>
            </w:r>
          </w:p>
        </w:tc>
        <w:tc>
          <w:tcPr>
            <w:tcW w:w="28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92,809,599</w:t>
            </w:r>
          </w:p>
        </w:tc>
        <w:tc>
          <w:tcPr>
            <w:tcW w:w="26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123,519,718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gridSpan w:val="6"/>
          </w:tcPr>
          <w:p>
            <w:pPr>
              <w:jc w:val="center"/>
              <w:ind w:left="828"/>
              <w:spacing w:after="0"/>
              <w:rPr>
                <w:sz w:val="20"/>
                <w:szCs w:val="20"/>
                <w:color w:val="auto"/>
              </w:rPr>
            </w:pPr>
            <w:r>
              <w:rPr>
                <w:rFonts w:ascii="Arial" w:cs="Arial" w:eastAsia="Arial" w:hAnsi="Arial"/>
                <w:sz w:val="14"/>
                <w:szCs w:val="14"/>
                <w:b w:val="1"/>
                <w:bCs w:val="1"/>
                <w:color w:val="auto"/>
                <w:w w:val="94"/>
              </w:rPr>
              <w:t>Six Months Ended March 31, 2020</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89"/>
              </w:rPr>
              <w:t>Debt</w:t>
            </w:r>
          </w:p>
        </w:tc>
        <w:tc>
          <w:tcPr>
            <w:tcW w:w="200" w:type="dxa"/>
            <w:vAlign w:val="bottom"/>
          </w:tcPr>
          <w:p>
            <w:pPr>
              <w:spacing w:after="0"/>
              <w:rPr>
                <w:sz w:val="11"/>
                <w:szCs w:val="11"/>
                <w:color w:val="auto"/>
              </w:rPr>
            </w:pPr>
          </w:p>
        </w:tc>
        <w:tc>
          <w:tcPr>
            <w:tcW w:w="146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8"/>
              </w:rPr>
              <w:t>Equity</w:t>
            </w:r>
          </w:p>
        </w:tc>
        <w:tc>
          <w:tcPr>
            <w:tcW w:w="300" w:type="dxa"/>
            <w:vAlign w:val="bottom"/>
          </w:tcPr>
          <w:p>
            <w:pPr>
              <w:spacing w:after="0"/>
              <w:rPr>
                <w:sz w:val="11"/>
                <w:szCs w:val="11"/>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Pr>
          <w:p>
            <w:pPr>
              <w:spacing w:after="0"/>
              <w:rPr>
                <w:sz w:val="9"/>
                <w:szCs w:val="9"/>
                <w:color w:val="auto"/>
              </w:rPr>
            </w:pP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2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52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96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1,025,779,134</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192,859,082</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1,218,638,216</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500"/>
              <w:spacing w:after="0"/>
              <w:rPr>
                <w:sz w:val="20"/>
                <w:szCs w:val="20"/>
                <w:color w:val="auto"/>
              </w:rPr>
            </w:pPr>
            <w:r>
              <w:rPr>
                <w:rFonts w:ascii="Arial" w:cs="Arial" w:eastAsia="Arial" w:hAnsi="Arial"/>
                <w:sz w:val="14"/>
                <w:szCs w:val="14"/>
                <w:color w:val="auto"/>
              </w:rPr>
              <w:t>Net realized gain (loss)</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1,516,979</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(12,127,225)</w:t>
            </w:r>
          </w:p>
        </w:tc>
        <w:tc>
          <w:tcPr>
            <w:tcW w:w="3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(10,610,246)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w:t>
            </w: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(35,303,152)</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(60,374,875)</w:t>
            </w:r>
          </w:p>
        </w:tc>
        <w:tc>
          <w:tcPr>
            <w:tcW w:w="3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(95,678,027)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196,332,806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91,465,096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287,797,902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(47,072,297)</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(462,905)</w:t>
            </w:r>
          </w:p>
        </w:tc>
        <w:tc>
          <w:tcPr>
            <w:tcW w:w="3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(47,535,202)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12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1,141,253,470</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211,359,173</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1,352,612,643</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w:t>
            </w: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2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80" w:type="dxa"/>
            <w:vAlign w:val="bottom"/>
          </w:tcPr>
          <w:p>
            <w:pPr>
              <w:ind w:left="120"/>
              <w:spacing w:after="0" w:line="149" w:lineRule="exact"/>
              <w:rPr>
                <w:sz w:val="20"/>
                <w:szCs w:val="20"/>
                <w:color w:val="auto"/>
              </w:rPr>
            </w:pPr>
            <w:r>
              <w:rPr>
                <w:rFonts w:ascii="Arial" w:cs="Arial" w:eastAsia="Arial" w:hAnsi="Arial"/>
                <w:sz w:val="14"/>
                <w:szCs w:val="14"/>
                <w:color w:val="auto"/>
                <w:w w:val="96"/>
              </w:rPr>
              <w:t>unrealized depreciation on investments in our Consolidated Statements of Operations</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8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132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(35,303,154)</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(69,768,488)</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(105,071,642)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60" w:type="dxa"/>
            <w:vAlign w:val="bottom"/>
            <w:vMerge w:val="restart"/>
          </w:tcPr>
          <w:p>
            <w:pPr>
              <w:jc w:val="right"/>
              <w:ind w:right="468"/>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52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5" w:name="page26"/>
    <w:bookmarkEnd w:id="25"/>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 below shows a reconciliation of the beginning and ending balances for liabilities measured at fair value using significant unobservable inputs (Level 3):</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26"/>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Credit Facilities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7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6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$380,252,000 and $472,636,000,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360,701,972</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465,390,214</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depreciation included in earnings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16,872,593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(46,374,784)</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49,564,132</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267,000,000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(77,271,232)</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(53,000,000)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$352,544,900 and $686,636,000, respectively)</w:t>
            </w:r>
          </w:p>
        </w:tc>
        <w:tc>
          <w:tcPr>
            <w:tcW w:w="3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349,867,465</w:t>
            </w:r>
          </w:p>
        </w:tc>
        <w:tc>
          <w:tcPr>
            <w:tcW w:w="280" w:type="dxa"/>
            <w:vAlign w:val="bottom"/>
          </w:tcPr>
          <w:p>
            <w:pPr>
              <w:spacing w:after="0"/>
              <w:rPr>
                <w:sz w:val="13"/>
                <w:szCs w:val="13"/>
                <w:color w:val="auto"/>
              </w:rPr>
            </w:pPr>
          </w:p>
        </w:tc>
        <w:tc>
          <w:tcPr>
            <w:tcW w:w="3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633,015,430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Temporary draws outstanding, at cost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23,000,000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$375,544,900 and $686,636,000, respectively)</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372,867,465</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633,015,430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455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91"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As of March 31, 2021, we had outstanding non-U.S. dollar borrowings on our Truist Credit Facility. Net change in fair value on foreign currency translation on outstanding borrowings is listed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40,044,900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40,011,300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0"/>
              </w:rPr>
              <w:t>June 18, 2021</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(33,600)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211" w:lineRule="exact"/>
        <w:rPr>
          <w:sz w:val="20"/>
          <w:szCs w:val="20"/>
          <w:color w:val="auto"/>
        </w:rPr>
      </w:pPr>
    </w:p>
    <w:p>
      <w:pPr>
        <w:ind w:right="700" w:firstLine="438"/>
        <w:spacing w:after="0" w:line="253" w:lineRule="auto"/>
        <w:rPr>
          <w:sz w:val="20"/>
          <w:szCs w:val="20"/>
          <w:color w:val="auto"/>
        </w:rPr>
      </w:pPr>
      <w:r>
        <w:rPr>
          <w:rFonts w:ascii="Arial" w:cs="Arial" w:eastAsia="Arial" w:hAnsi="Arial"/>
          <w:sz w:val="14"/>
          <w:szCs w:val="14"/>
          <w:color w:val="auto"/>
        </w:rPr>
        <w:t>As of September 30, 2020, we had outstanding non-U.S. dollar borrowings on our Truist Credit Facility. Net change in fair value on foreign currency translation on outstanding borrowings is listed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38,752,000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36,198,400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December 18, 2020</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(2,553,600)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211" w:lineRule="exact"/>
        <w:rPr>
          <w:sz w:val="20"/>
          <w:szCs w:val="20"/>
          <w:color w:val="auto"/>
        </w:rPr>
      </w:pPr>
    </w:p>
    <w:p>
      <w:pPr>
        <w:ind w:right="20" w:firstLine="438"/>
        <w:spacing w:after="0" w:line="245" w:lineRule="auto"/>
        <w:rPr>
          <w:sz w:val="20"/>
          <w:szCs w:val="20"/>
          <w:color w:val="auto"/>
        </w:rPr>
      </w:pPr>
      <w:r>
        <w:rPr>
          <w:rFonts w:ascii="Arial" w:cs="Arial" w:eastAsia="Arial" w:hAnsi="Arial"/>
          <w:sz w:val="13"/>
          <w:szCs w:val="13"/>
          <w:color w:val="auto"/>
        </w:rPr>
        <w:t>Generally, 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Facilities. We elected to use the fair value option for the Credit Facilities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Facilities during the three and six months ended March 31, 2021 and 2020.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us to display the fair value of the selected assets and liabilities on the face of the Consolidated Statements of Assets and Liabilities and changes in fair value of the Credit Facilities are reported in our Consolidated Statements of Operations. We did not elect to apply ASC 825-10 to any other financial assets or liabilities, including the 2024 Notes and the SBA debentures.</w:t>
      </w:r>
    </w:p>
    <w:p>
      <w:pPr>
        <w:spacing w:after="0" w:line="197"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For the three and six months ended March 31, 2021, the Truist Credit Facility had a net change in unrealized appreciation of $3.8 million and $16.9 million, respectively. For the three and six months ended March 31, 2020, our Credit Facilities had a net change in unrealized depreciation of $48.9 million and $46.4 million, respectively. As of March 31, 2021 and September 30, 2020, the net unrealized depreciation on the Truist Credit Facility totaled $2.7 million and $19.6 million, respectively. We use a nationally recognized independent valuation service to measure the fair value of our Credit Facilities in a manner consistent with the valuation process that our board of directors uses to value our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221" w:lineRule="exact"/>
        <w:rPr>
          <w:sz w:val="20"/>
          <w:szCs w:val="20"/>
          <w:color w:val="auto"/>
        </w:rPr>
      </w:pPr>
    </w:p>
    <w:p>
      <w:pPr>
        <w:ind w:right="44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six months ended March 31, 2021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80" w:type="dxa"/>
            <w:vAlign w:val="bottom"/>
          </w:tcPr>
          <w:p>
            <w:pPr>
              <w:spacing w:after="0"/>
              <w:rPr>
                <w:sz w:val="14"/>
                <w:szCs w:val="14"/>
                <w:color w:val="auto"/>
              </w:rPr>
            </w:pPr>
          </w:p>
        </w:tc>
        <w:tc>
          <w:tcPr>
            <w:tcW w:w="8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Net Change in</w:t>
            </w:r>
          </w:p>
        </w:tc>
        <w:tc>
          <w:tcPr>
            <w:tcW w:w="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PIK</w:t>
            </w:r>
          </w:p>
        </w:tc>
        <w:tc>
          <w:tcPr>
            <w:tcW w:w="200" w:type="dxa"/>
            <w:vAlign w:val="bottom"/>
          </w:tcPr>
          <w:p>
            <w:pPr>
              <w:spacing w:after="0"/>
              <w:rPr>
                <w:sz w:val="14"/>
                <w:szCs w:val="14"/>
                <w:color w:val="auto"/>
              </w:rPr>
            </w:pPr>
          </w:p>
        </w:tc>
        <w:tc>
          <w:tcPr>
            <w:tcW w:w="7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Dividend</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Realized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Appreciation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00" w:type="dxa"/>
            <w:vAlign w:val="bottom"/>
            <w:vMerge w:val="continue"/>
          </w:tcPr>
          <w:p>
            <w:pPr>
              <w:spacing w:after="0"/>
              <w:rPr>
                <w:sz w:val="14"/>
                <w:szCs w:val="14"/>
                <w:color w:val="auto"/>
              </w:rPr>
            </w:pPr>
          </w:p>
        </w:tc>
        <w:tc>
          <w:tcPr>
            <w:tcW w:w="1480" w:type="dxa"/>
            <w:vAlign w:val="bottom"/>
            <w:gridSpan w:val="4"/>
          </w:tcPr>
          <w:p>
            <w:pPr>
              <w:ind w:left="100"/>
              <w:spacing w:after="0"/>
              <w:rPr>
                <w:sz w:val="20"/>
                <w:szCs w:val="20"/>
                <w:color w:val="auto"/>
              </w:rPr>
            </w:pPr>
            <w:r>
              <w:rPr>
                <w:rFonts w:ascii="Arial" w:cs="Arial" w:eastAsia="Arial" w:hAnsi="Arial"/>
                <w:sz w:val="14"/>
                <w:szCs w:val="14"/>
                <w:b w:val="1"/>
                <w:bCs w:val="1"/>
                <w:color w:val="auto"/>
              </w:rPr>
              <w:t>September 30, 2020</w:t>
            </w:r>
          </w:p>
        </w:tc>
        <w:tc>
          <w:tcPr>
            <w:tcW w:w="8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Additions</w:t>
            </w:r>
            <w:r>
              <w:rPr>
                <w:rFonts w:ascii="Arial" w:cs="Arial" w:eastAsia="Arial" w:hAnsi="Arial"/>
                <w:sz w:val="12"/>
                <w:szCs w:val="12"/>
                <w:b w:val="1"/>
                <w:bCs w:val="1"/>
                <w:color w:val="auto"/>
                <w:w w:val="90"/>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Reductions</w:t>
            </w:r>
          </w:p>
        </w:tc>
        <w:tc>
          <w:tcPr>
            <w:tcW w:w="8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(Depreciation)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(Losses)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62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AKW Holdings Limited</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37,772,115</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2,014,175</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4,908,064</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44,694,354</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1,493,275</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60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w w:val="98"/>
              </w:rPr>
              <w:t>PennantPark Senior Loan</w:t>
            </w:r>
          </w:p>
        </w:tc>
        <w:tc>
          <w:tcPr>
            <w:tcW w:w="1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CFF"/>
          </w:tcPr>
          <w:p>
            <w:pPr>
              <w:spacing w:after="0"/>
              <w:rPr>
                <w:sz w:val="20"/>
                <w:szCs w:val="20"/>
                <w:color w:val="auto"/>
              </w:rPr>
            </w:pPr>
            <w:r>
              <w:rPr>
                <w:rFonts w:ascii="Arial" w:cs="Arial" w:eastAsia="Arial" w:hAnsi="Arial"/>
                <w:sz w:val="14"/>
                <w:szCs w:val="14"/>
                <w:color w:val="auto"/>
              </w:rPr>
              <w:t>Fund, LLC *</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99,262,577</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1,826,218</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3,305,066</w:t>
            </w: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104,393,861</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3"/>
              </w:rPr>
              <w:t>2,910,085</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9"/>
              </w:rPr>
              <w:t>2,973,000</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PT Networks, LLC</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91,384,649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3,050,205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8,838,150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103,273,004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50,675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3,004,494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CCECFF"/>
          </w:tcPr>
          <w:p>
            <w:pPr>
              <w:spacing w:after="0"/>
              <w:rPr>
                <w:sz w:val="20"/>
                <w:szCs w:val="20"/>
                <w:color w:val="auto"/>
              </w:rPr>
            </w:pPr>
            <w:r>
              <w:rPr>
                <w:rFonts w:ascii="Arial" w:cs="Arial" w:eastAsia="Arial" w:hAnsi="Arial"/>
                <w:sz w:val="14"/>
                <w:szCs w:val="14"/>
                <w:color w:val="auto"/>
              </w:rPr>
              <w:t>RAM Energy LLC</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89,923,518</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(12,240,168)</w:t>
            </w: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77,683,350</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600" w:type="dxa"/>
            <w:vAlign w:val="bottom"/>
          </w:tcPr>
          <w:p>
            <w:pPr>
              <w:ind w:left="140"/>
              <w:spacing w:after="0" w:line="137" w:lineRule="exact"/>
              <w:rPr>
                <w:sz w:val="20"/>
                <w:szCs w:val="20"/>
                <w:color w:val="auto"/>
              </w:rPr>
            </w:pPr>
            <w:r>
              <w:rPr>
                <w:rFonts w:ascii="Arial" w:cs="Arial" w:eastAsia="Arial" w:hAnsi="Arial"/>
                <w:sz w:val="14"/>
                <w:szCs w:val="14"/>
                <w:color w:val="auto"/>
              </w:rPr>
              <w:t>Total Controlled</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tcPr>
          <w:p>
            <w:pPr>
              <w:ind w:left="140"/>
              <w:spacing w:after="0"/>
              <w:rPr>
                <w:sz w:val="20"/>
                <w:szCs w:val="20"/>
                <w:color w:val="auto"/>
              </w:rPr>
            </w:pPr>
            <w:r>
              <w:rPr>
                <w:rFonts w:ascii="Arial" w:cs="Arial" w:eastAsia="Arial" w:hAnsi="Arial"/>
                <w:sz w:val="14"/>
                <w:szCs w:val="14"/>
                <w:color w:val="auto"/>
              </w:rPr>
              <w:t>Affiliates</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318,342,859</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6,890,598</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4,811,112</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330,044,569</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4,454,035</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3,004,494</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89"/>
              </w:rPr>
              <w:t>2,973,000</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w w:val="95"/>
              </w:rPr>
              <w:t>Non-Controlled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62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ETX Energy, LLC</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5,055,851</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(5,055,851)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Mailsouth Inc. </w:t>
            </w:r>
            <w:r>
              <w:rPr>
                <w:rFonts w:ascii="Arial" w:cs="Arial" w:eastAsia="Arial" w:hAnsi="Arial"/>
                <w:sz w:val="12"/>
                <w:szCs w:val="12"/>
                <w:color w:val="auto"/>
              </w:rPr>
              <w:t>(2)</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18,782,777</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10,318,353</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(19,708,359)</w:t>
            </w:r>
          </w:p>
        </w:tc>
        <w:tc>
          <w:tcPr>
            <w:tcW w:w="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18,825,679</w:t>
            </w: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28,218,450</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456,998</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w w:val="95"/>
              </w:rPr>
              <w:t>(19,708,359)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600" w:type="dxa"/>
            <w:vAlign w:val="bottom"/>
          </w:tcPr>
          <w:p>
            <w:pPr>
              <w:spacing w:after="0" w:line="143" w:lineRule="exact"/>
              <w:rPr>
                <w:sz w:val="20"/>
                <w:szCs w:val="20"/>
                <w:color w:val="auto"/>
              </w:rPr>
            </w:pPr>
            <w:r>
              <w:rPr>
                <w:rFonts w:ascii="Arial" w:cs="Arial" w:eastAsia="Arial" w:hAnsi="Arial"/>
                <w:sz w:val="14"/>
                <w:szCs w:val="14"/>
                <w:color w:val="auto"/>
              </w:rPr>
              <w:t>MidOcean JF Holdings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0" w:type="dxa"/>
            <w:vAlign w:val="bottom"/>
          </w:tcPr>
          <w:p>
            <w:pPr>
              <w:ind w:left="120"/>
              <w:spacing w:after="0"/>
              <w:rPr>
                <w:sz w:val="20"/>
                <w:szCs w:val="20"/>
                <w:color w:val="auto"/>
              </w:rPr>
            </w:pPr>
            <w:r>
              <w:rPr>
                <w:rFonts w:ascii="Arial" w:cs="Arial" w:eastAsia="Arial" w:hAnsi="Arial"/>
                <w:sz w:val="14"/>
                <w:szCs w:val="14"/>
                <w:color w:val="auto"/>
              </w:rPr>
              <w:t>Corp.</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22,698,042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20,488,156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43,186,198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600" w:type="dxa"/>
            <w:vAlign w:val="bottom"/>
            <w:tcBorders>
              <w:top w:val="single" w:sz="8" w:color="CCECFF"/>
            </w:tcBorders>
            <w:shd w:val="clear" w:color="auto" w:fill="CCECFF"/>
          </w:tcPr>
          <w:p>
            <w:pPr>
              <w:ind w:left="140"/>
              <w:spacing w:after="0" w:line="137" w:lineRule="exact"/>
              <w:rPr>
                <w:sz w:val="20"/>
                <w:szCs w:val="20"/>
                <w:color w:val="auto"/>
              </w:rPr>
            </w:pPr>
            <w:r>
              <w:rPr>
                <w:rFonts w:ascii="Arial" w:cs="Arial" w:eastAsia="Arial" w:hAnsi="Arial"/>
                <w:sz w:val="14"/>
                <w:szCs w:val="14"/>
                <w:color w:val="auto"/>
              </w:rPr>
              <w:t>Total Non-Controlled</w:t>
            </w:r>
          </w:p>
        </w:tc>
        <w:tc>
          <w:tcPr>
            <w:tcW w:w="10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08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8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82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CFF"/>
          </w:tcPr>
          <w:p>
            <w:pPr>
              <w:ind w:left="240"/>
              <w:spacing w:after="0"/>
              <w:rPr>
                <w:sz w:val="20"/>
                <w:szCs w:val="20"/>
                <w:color w:val="auto"/>
              </w:rPr>
            </w:pPr>
            <w:r>
              <w:rPr>
                <w:rFonts w:ascii="Arial" w:cs="Arial" w:eastAsia="Arial" w:hAnsi="Arial"/>
                <w:sz w:val="14"/>
                <w:szCs w:val="14"/>
                <w:color w:val="auto"/>
              </w:rPr>
              <w:t>Affiliates</w:t>
            </w:r>
          </w:p>
        </w:tc>
        <w:tc>
          <w:tcPr>
            <w:tcW w:w="220" w:type="dxa"/>
            <w:vAlign w:val="bottom"/>
            <w:gridSpan w:val="2"/>
            <w:shd w:val="clear" w:color="auto" w:fill="CCECFF"/>
          </w:tcPr>
          <w:p>
            <w:pPr>
              <w:ind w:left="1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46,536,670</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10,318,353</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(19,708,359)</w:t>
            </w:r>
          </w:p>
        </w:tc>
        <w:tc>
          <w:tcPr>
            <w:tcW w:w="2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34,257,984</w:t>
            </w:r>
          </w:p>
        </w:tc>
        <w:tc>
          <w:tcPr>
            <w:tcW w:w="120" w:type="dxa"/>
            <w:vAlign w:val="bottom"/>
            <w:shd w:val="clear" w:color="auto" w:fill="CCECFF"/>
          </w:tcPr>
          <w:p>
            <w:pPr>
              <w:spacing w:after="0"/>
              <w:rPr>
                <w:sz w:val="14"/>
                <w:szCs w:val="14"/>
                <w:color w:val="auto"/>
              </w:rPr>
            </w:pPr>
          </w:p>
        </w:tc>
        <w:tc>
          <w:tcPr>
            <w:tcW w:w="2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71,404,648</w:t>
            </w:r>
          </w:p>
        </w:tc>
        <w:tc>
          <w:tcPr>
            <w:tcW w:w="2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456,998</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CFF"/>
          </w:tcPr>
          <w:p>
            <w:pPr>
              <w:ind w:lef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w w:val="95"/>
              </w:rPr>
              <w:t>(19,708,359)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00" w:type="dxa"/>
            <w:vAlign w:val="bottom"/>
          </w:tcPr>
          <w:p>
            <w:pPr>
              <w:spacing w:after="0" w:line="133" w:lineRule="exact"/>
              <w:rPr>
                <w:sz w:val="20"/>
                <w:szCs w:val="20"/>
                <w:color w:val="auto"/>
              </w:rPr>
            </w:pPr>
            <w:r>
              <w:rPr>
                <w:rFonts w:ascii="Arial" w:cs="Arial" w:eastAsia="Arial" w:hAnsi="Arial"/>
                <w:sz w:val="14"/>
                <w:szCs w:val="14"/>
                <w:b w:val="1"/>
                <w:bCs w:val="1"/>
                <w:color w:val="auto"/>
              </w:rPr>
              <w:t>Total Controlled and</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Non-Controlled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00" w:type="dxa"/>
            <w:vAlign w:val="bottom"/>
          </w:tcPr>
          <w:p>
            <w:pPr>
              <w:spacing w:after="0"/>
              <w:rPr>
                <w:sz w:val="20"/>
                <w:szCs w:val="20"/>
                <w:color w:val="auto"/>
              </w:rPr>
            </w:pPr>
            <w:r>
              <w:rPr>
                <w:rFonts w:ascii="Arial" w:cs="Arial" w:eastAsia="Arial" w:hAnsi="Arial"/>
                <w:sz w:val="14"/>
                <w:szCs w:val="14"/>
                <w:b w:val="1"/>
                <w:bCs w:val="1"/>
                <w:color w:val="auto"/>
              </w:rPr>
              <w:t>Affiliates</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364,879,529</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17,208,951</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(19,708,359)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39,069,096</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401,449,217</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4,454,035</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3,461,492</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89"/>
              </w:rPr>
              <w:t>2,973,000</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(19,708,359)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5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6" w:name="page27"/>
    <w:bookmarkEnd w:id="26"/>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13455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9"/>
          <w:szCs w:val="9"/>
          <w:b w:val="1"/>
          <w:bCs w:val="1"/>
          <w:color w:val="auto"/>
        </w:rPr>
      </w:pPr>
      <w:r>
        <w:rPr>
          <w:rFonts w:ascii="Arial" w:cs="Arial" w:eastAsia="Arial" w:hAnsi="Arial"/>
          <w:sz w:val="11"/>
          <w:szCs w:val="11"/>
          <w:color w:val="auto"/>
        </w:rPr>
        <w:t>Includes PIK.</w:t>
      </w:r>
    </w:p>
    <w:p>
      <w:pPr>
        <w:spacing w:after="0" w:line="3" w:lineRule="exact"/>
        <w:rPr>
          <w:rFonts w:ascii="Arial" w:cs="Arial" w:eastAsia="Arial" w:hAnsi="Arial"/>
          <w:sz w:val="9"/>
          <w:szCs w:val="9"/>
          <w:b w:val="1"/>
          <w:bCs w:val="1"/>
          <w:color w:val="auto"/>
        </w:rPr>
      </w:pPr>
    </w:p>
    <w:p>
      <w:pPr>
        <w:ind w:left="380" w:hanging="372"/>
        <w:spacing w:after="0" w:line="230" w:lineRule="auto"/>
        <w:tabs>
          <w:tab w:leader="none" w:pos="380" w:val="left"/>
        </w:tabs>
        <w:numPr>
          <w:ilvl w:val="0"/>
          <w:numId w:val="25"/>
        </w:numPr>
        <w:rPr>
          <w:rFonts w:ascii="Arial" w:cs="Arial" w:eastAsia="Arial" w:hAnsi="Arial"/>
          <w:sz w:val="9"/>
          <w:szCs w:val="9"/>
          <w:b w:val="1"/>
          <w:bCs w:val="1"/>
          <w:color w:val="auto"/>
        </w:rPr>
      </w:pPr>
      <w:r>
        <w:rPr>
          <w:rFonts w:ascii="Arial" w:cs="Arial" w:eastAsia="Arial" w:hAnsi="Arial"/>
          <w:sz w:val="11"/>
          <w:szCs w:val="11"/>
          <w:color w:val="auto"/>
        </w:rPr>
        <w:t>Mailsouth Inc. became a non-controlled affiliate during the quarter ended December 31, 2020.</w:t>
      </w:r>
    </w:p>
    <w:p>
      <w:pPr>
        <w:ind w:left="380" w:hanging="372"/>
        <w:spacing w:after="0" w:line="234" w:lineRule="auto"/>
        <w:tabs>
          <w:tab w:leader="none" w:pos="380" w:val="left"/>
        </w:tabs>
        <w:numPr>
          <w:ilvl w:val="0"/>
          <w:numId w:val="26"/>
        </w:numPr>
        <w:rPr>
          <w:rFonts w:ascii="Arial" w:cs="Arial" w:eastAsia="Arial" w:hAnsi="Arial"/>
          <w:sz w:val="11"/>
          <w:szCs w:val="11"/>
          <w:color w:val="auto"/>
        </w:rPr>
      </w:pPr>
      <w:r>
        <w:rPr>
          <w:rFonts w:ascii="Arial" w:cs="Arial" w:eastAsia="Arial" w:hAnsi="Arial"/>
          <w:sz w:val="11"/>
          <w:szCs w:val="11"/>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decisions regarding PSLF must be submitted to PSLF’s four-person Member Designees’ Committee, which is comprised of two members appointed by each of us and Pantheon. Because management of PSLF is shared equally between us and Pantheon, we do not believe we control PSLF for purposes of the 1940 Act or otherwise.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9"/>
              </w:rPr>
              <w:t>Three Months Ended March 31,</w:t>
            </w:r>
          </w:p>
        </w:tc>
        <w:tc>
          <w:tcPr>
            <w:tcW w:w="240" w:type="dxa"/>
            <w:vAlign w:val="bottom"/>
          </w:tcPr>
          <w:p>
            <w:pPr>
              <w:spacing w:after="0"/>
              <w:rPr>
                <w:sz w:val="16"/>
                <w:szCs w:val="16"/>
                <w:color w:val="auto"/>
              </w:rPr>
            </w:pPr>
          </w:p>
        </w:tc>
        <w:tc>
          <w:tcPr>
            <w:tcW w:w="25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 March 31,</w:t>
            </w:r>
          </w:p>
        </w:tc>
      </w:tr>
      <w:tr>
        <w:trPr>
          <w:trHeight w:val="26"/>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56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CFF"/>
            </w:tcBorders>
          </w:tcPr>
          <w:p>
            <w:pPr>
              <w:spacing w:after="0"/>
              <w:rPr>
                <w:sz w:val="13"/>
                <w:szCs w:val="13"/>
                <w:color w:val="auto"/>
              </w:rPr>
            </w:pPr>
          </w:p>
        </w:tc>
      </w:tr>
      <w:tr>
        <w:trPr>
          <w:trHeight w:val="155"/>
        </w:trPr>
        <w:tc>
          <w:tcPr>
            <w:tcW w:w="56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200" w:type="dxa"/>
            <w:vAlign w:val="bottom"/>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38,495,118</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(60,292,703)</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109,628,869</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(41,090,193)</w:t>
            </w:r>
          </w:p>
        </w:tc>
        <w:tc>
          <w:tcPr>
            <w:tcW w:w="120" w:type="dxa"/>
            <w:vAlign w:val="bottom"/>
            <w:shd w:val="clear" w:color="auto" w:fill="CCECFF"/>
          </w:tcPr>
          <w:p>
            <w:pPr>
              <w:spacing w:after="0"/>
              <w:rPr>
                <w:sz w:val="13"/>
                <w:szCs w:val="13"/>
                <w:color w:val="auto"/>
              </w:rPr>
            </w:pPr>
          </w:p>
        </w:tc>
      </w:tr>
      <w:tr>
        <w:trPr>
          <w:trHeight w:val="162"/>
        </w:trPr>
        <w:tc>
          <w:tcPr>
            <w:tcW w:w="562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67,045,105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67,045,105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67,045,105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67,045,105</w:t>
            </w:r>
          </w:p>
        </w:tc>
        <w:tc>
          <w:tcPr>
            <w:tcW w:w="120" w:type="dxa"/>
            <w:vAlign w:val="bottom"/>
          </w:tcPr>
          <w:p>
            <w:pPr>
              <w:spacing w:after="0"/>
              <w:rPr>
                <w:sz w:val="14"/>
                <w:szCs w:val="14"/>
                <w:color w:val="auto"/>
              </w:rPr>
            </w:pPr>
          </w:p>
        </w:tc>
      </w:tr>
      <w:tr>
        <w:trPr>
          <w:trHeight w:val="162"/>
        </w:trPr>
        <w:tc>
          <w:tcPr>
            <w:tcW w:w="5620" w:type="dxa"/>
            <w:vAlign w:val="bottom"/>
            <w:shd w:val="clear" w:color="auto" w:fill="CCECFF"/>
          </w:tcPr>
          <w:p>
            <w:pPr>
              <w:spacing w:after="0"/>
              <w:rPr>
                <w:sz w:val="20"/>
                <w:szCs w:val="20"/>
                <w:color w:val="auto"/>
              </w:rPr>
            </w:pPr>
            <w:r>
              <w:rPr>
                <w:rFonts w:ascii="Arial" w:cs="Arial" w:eastAsia="Arial" w:hAnsi="Arial"/>
                <w:sz w:val="14"/>
                <w:szCs w:val="14"/>
                <w:color w:val="auto"/>
                <w:w w:val="99"/>
              </w:rPr>
              <w:t>Basic and diluted net increase (decrease) in net assets per share resulting from operations</w:t>
            </w: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0.57</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(0.90)</w:t>
            </w: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w:t>
            </w:r>
          </w:p>
        </w:tc>
        <w:tc>
          <w:tcPr>
            <w:tcW w:w="50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(0.61)</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221" w:lineRule="exact"/>
        <w:rPr>
          <w:sz w:val="20"/>
          <w:szCs w:val="20"/>
          <w:color w:val="auto"/>
        </w:rPr>
      </w:pPr>
    </w:p>
    <w:p>
      <w:pPr>
        <w:ind w:right="4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Truist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March 31, 2021 and September 30, 2020, cash and cash equivalents consisted of money market funds in the amounts of 33.9 million and $25.8 million at fair value,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5300" w:type="dxa"/>
            <w:vAlign w:val="bottom"/>
          </w:tcPr>
          <w:p>
            <w:pPr>
              <w:ind w:left="440"/>
              <w:spacing w:after="0"/>
              <w:rPr>
                <w:sz w:val="20"/>
                <w:szCs w:val="20"/>
                <w:color w:val="auto"/>
              </w:rPr>
            </w:pPr>
            <w:r>
              <w:rPr>
                <w:rFonts w:ascii="Arial" w:cs="Arial" w:eastAsia="Arial" w:hAnsi="Arial"/>
                <w:sz w:val="14"/>
                <w:szCs w:val="14"/>
                <w:color w:val="auto"/>
              </w:rPr>
              <w:t>Below are the financial highlights:</w:t>
            </w: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0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Six Months Ended March 31,</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300" w:type="dxa"/>
            <w:vAlign w:val="bottom"/>
          </w:tcPr>
          <w:p>
            <w:pPr>
              <w:spacing w:after="0"/>
              <w:rPr>
                <w:sz w:val="2"/>
                <w:szCs w:val="2"/>
                <w:color w:val="auto"/>
              </w:rPr>
            </w:pPr>
          </w:p>
        </w:tc>
        <w:tc>
          <w:tcPr>
            <w:tcW w:w="27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300" w:type="dxa"/>
            <w:vAlign w:val="bottom"/>
            <w:tcBorders>
              <w:bottom w:val="single" w:sz="8" w:color="CCECFF"/>
            </w:tcBorders>
          </w:tcPr>
          <w:p>
            <w:pPr>
              <w:spacing w:after="0"/>
              <w:rPr>
                <w:sz w:val="13"/>
                <w:szCs w:val="13"/>
                <w:color w:val="auto"/>
              </w:rPr>
            </w:pPr>
          </w:p>
        </w:tc>
        <w:tc>
          <w:tcPr>
            <w:tcW w:w="1560" w:type="dxa"/>
            <w:vAlign w:val="bottom"/>
            <w:tcBorders>
              <w:bottom w:val="single" w:sz="8" w:color="CCEC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
              <w:spacing w:after="0" w:line="15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CECFF"/>
            </w:tcBorders>
          </w:tcPr>
          <w:p>
            <w:pPr>
              <w:spacing w:after="0"/>
              <w:rPr>
                <w:sz w:val="13"/>
                <w:szCs w:val="13"/>
                <w:color w:val="auto"/>
              </w:rPr>
            </w:pPr>
          </w:p>
        </w:tc>
        <w:tc>
          <w:tcPr>
            <w:tcW w:w="40" w:type="dxa"/>
            <w:vAlign w:val="bottom"/>
            <w:tcBorders>
              <w:top w:val="single" w:sz="8" w:color="auto"/>
              <w:bottom w:val="single" w:sz="8" w:color="CCECFF"/>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768"/>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156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2700" w:type="dxa"/>
            <w:vAlign w:val="bottom"/>
            <w:gridSpan w:val="2"/>
          </w:tcPr>
          <w:p>
            <w:pPr>
              <w:jc w:val="right"/>
              <w:ind w:right="102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7.84</w:t>
            </w:r>
          </w:p>
        </w:tc>
        <w:tc>
          <w:tcPr>
            <w:tcW w:w="320" w:type="dxa"/>
            <w:vAlign w:val="bottom"/>
          </w:tcPr>
          <w:p>
            <w:pPr>
              <w:spacing w:after="0"/>
              <w:rPr>
                <w:sz w:val="14"/>
                <w:szCs w:val="14"/>
                <w:color w:val="auto"/>
              </w:rPr>
            </w:pPr>
          </w:p>
        </w:tc>
        <w:tc>
          <w:tcPr>
            <w:tcW w:w="820" w:type="dxa"/>
            <w:vAlign w:val="bottom"/>
            <w:gridSpan w:val="2"/>
          </w:tcPr>
          <w:p>
            <w:pPr>
              <w:jc w:val="right"/>
              <w:ind w:right="6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8.68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56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0.25</w:t>
            </w:r>
          </w:p>
        </w:tc>
        <w:tc>
          <w:tcPr>
            <w:tcW w:w="32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0.31</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 xml:space="preserve">Net realized and change in unrealized gain (loss) </w:t>
            </w:r>
            <w:r>
              <w:rPr>
                <w:rFonts w:ascii="Arial" w:cs="Arial" w:eastAsia="Arial" w:hAnsi="Arial"/>
                <w:sz w:val="12"/>
                <w:szCs w:val="12"/>
                <w:color w:val="auto"/>
              </w:rPr>
              <w:t>(1)</w:t>
            </w: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1.39</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r>
        <w:trPr>
          <w:trHeight w:val="155"/>
        </w:trPr>
        <w:tc>
          <w:tcPr>
            <w:tcW w:w="53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12"/>
                <w:szCs w:val="12"/>
                <w:color w:val="auto"/>
              </w:rPr>
              <w:t>(1)</w:t>
            </w:r>
          </w:p>
        </w:tc>
        <w:tc>
          <w:tcPr>
            <w:tcW w:w="156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1.64</w:t>
            </w:r>
          </w:p>
        </w:tc>
        <w:tc>
          <w:tcPr>
            <w:tcW w:w="32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spacing w:after="0"/>
              <w:rPr>
                <w:sz w:val="13"/>
                <w:szCs w:val="13"/>
                <w:color w:val="auto"/>
              </w:rPr>
            </w:pPr>
          </w:p>
        </w:tc>
        <w:tc>
          <w:tcPr>
            <w:tcW w:w="11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(0.61)</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(0.24)</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55"/>
        </w:trPr>
        <w:tc>
          <w:tcPr>
            <w:tcW w:w="530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1560" w:type="dxa"/>
            <w:vAlign w:val="bottom"/>
            <w:tcBorders>
              <w:top w:val="single" w:sz="8" w:color="CCECFF"/>
              <w:bottom w:val="single" w:sz="8" w:color="CCECFF"/>
            </w:tcBorders>
            <w:shd w:val="clear" w:color="auto" w:fill="CCECFF"/>
          </w:tcPr>
          <w:p>
            <w:pPr>
              <w:spacing w:after="0"/>
              <w:rPr>
                <w:sz w:val="13"/>
                <w:szCs w:val="13"/>
                <w:color w:val="auto"/>
              </w:rPr>
            </w:pPr>
          </w:p>
        </w:tc>
        <w:tc>
          <w:tcPr>
            <w:tcW w:w="1140" w:type="dxa"/>
            <w:vAlign w:val="bottom"/>
            <w:tcBorders>
              <w:top w:val="single" w:sz="8" w:color="auto"/>
              <w:bottom w:val="single" w:sz="8" w:color="auto"/>
            </w:tcBorders>
            <w:shd w:val="clear" w:color="auto" w:fill="CCECFF"/>
          </w:tcPr>
          <w:p>
            <w:pPr>
              <w:jc w:val="right"/>
              <w:ind w:right="1024"/>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9.24</w:t>
            </w:r>
          </w:p>
        </w:tc>
        <w:tc>
          <w:tcPr>
            <w:tcW w:w="320" w:type="dxa"/>
            <w:vAlign w:val="bottom"/>
            <w:tcBorders>
              <w:top w:val="single" w:sz="8" w:color="CCECFF"/>
              <w:bottom w:val="single" w:sz="8" w:color="CCECFF"/>
            </w:tcBorders>
            <w:shd w:val="clear" w:color="auto" w:fill="CCECFF"/>
          </w:tcPr>
          <w:p>
            <w:pPr>
              <w:spacing w:after="0"/>
              <w:rPr>
                <w:sz w:val="13"/>
                <w:szCs w:val="13"/>
                <w:color w:val="auto"/>
              </w:rPr>
            </w:pPr>
          </w:p>
        </w:tc>
        <w:tc>
          <w:tcPr>
            <w:tcW w:w="40" w:type="dxa"/>
            <w:vAlign w:val="bottom"/>
            <w:tcBorders>
              <w:top w:val="single" w:sz="8" w:color="CCECFF"/>
              <w:bottom w:val="single" w:sz="8" w:color="CCECFF"/>
            </w:tcBorders>
            <w:shd w:val="clear" w:color="auto" w:fill="CCECFF"/>
          </w:tcPr>
          <w:p>
            <w:pPr>
              <w:spacing w:after="0"/>
              <w:rPr>
                <w:sz w:val="13"/>
                <w:szCs w:val="13"/>
                <w:color w:val="auto"/>
              </w:rPr>
            </w:pPr>
          </w:p>
        </w:tc>
        <w:tc>
          <w:tcPr>
            <w:tcW w:w="780" w:type="dxa"/>
            <w:vAlign w:val="bottom"/>
            <w:tcBorders>
              <w:top w:val="single" w:sz="8" w:color="auto"/>
              <w:bottom w:val="single" w:sz="8" w:color="auto"/>
            </w:tcBorders>
            <w:shd w:val="clear" w:color="auto" w:fill="CCECFF"/>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7.71</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27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00" w:type="dxa"/>
            <w:vAlign w:val="bottom"/>
            <w:tcBorders>
              <w:bottom w:val="single" w:sz="8" w:color="CCECFF"/>
            </w:tcBorders>
            <w:vMerge w:val="continue"/>
          </w:tcPr>
          <w:p>
            <w:pPr>
              <w:spacing w:after="0"/>
              <w:rPr>
                <w:sz w:val="15"/>
                <w:szCs w:val="15"/>
                <w:color w:val="auto"/>
              </w:rPr>
            </w:pPr>
          </w:p>
        </w:tc>
        <w:tc>
          <w:tcPr>
            <w:tcW w:w="1560" w:type="dxa"/>
            <w:vAlign w:val="bottom"/>
            <w:tcBorders>
              <w:bottom w:val="single" w:sz="8" w:color="CCECFF"/>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1024"/>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5.65</w:t>
            </w:r>
          </w:p>
        </w:tc>
        <w:tc>
          <w:tcPr>
            <w:tcW w:w="320" w:type="dxa"/>
            <w:vAlign w:val="bottom"/>
            <w:tcBorders>
              <w:bottom w:val="single" w:sz="8" w:color="CCECFF"/>
            </w:tcBorders>
          </w:tcPr>
          <w:p>
            <w:pPr>
              <w:spacing w:after="0"/>
              <w:rPr>
                <w:sz w:val="15"/>
                <w:szCs w:val="15"/>
                <w:color w:val="auto"/>
              </w:rPr>
            </w:pPr>
          </w:p>
        </w:tc>
        <w:tc>
          <w:tcPr>
            <w:tcW w:w="40" w:type="dxa"/>
            <w:vAlign w:val="bottom"/>
            <w:tcBorders>
              <w:bottom w:val="single" w:sz="8" w:color="CCECFF"/>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628"/>
              <w:spacing w:after="0" w:line="143"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2.59</w:t>
            </w:r>
          </w:p>
        </w:tc>
        <w:tc>
          <w:tcPr>
            <w:tcW w:w="18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30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56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200"/>
              <w:spacing w:after="0" w:line="143" w:lineRule="exact"/>
              <w:rPr>
                <w:sz w:val="20"/>
                <w:szCs w:val="20"/>
                <w:color w:val="auto"/>
              </w:rPr>
            </w:pPr>
            <w:r>
              <w:rPr>
                <w:rFonts w:ascii="Arial" w:cs="Arial" w:eastAsia="Arial" w:hAnsi="Arial"/>
                <w:sz w:val="14"/>
                <w:szCs w:val="14"/>
                <w:color w:val="auto"/>
              </w:rPr>
              <w:t>85.65%</w:t>
            </w:r>
          </w:p>
        </w:tc>
        <w:tc>
          <w:tcPr>
            <w:tcW w:w="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340" w:type="dxa"/>
            <w:vAlign w:val="bottom"/>
            <w:gridSpan w:val="2"/>
            <w:shd w:val="clear" w:color="auto" w:fill="CCECFF"/>
          </w:tcPr>
          <w:p>
            <w:pPr>
              <w:jc w:val="right"/>
              <w:ind w:right="20"/>
              <w:spacing w:after="0" w:line="143" w:lineRule="exact"/>
              <w:rPr>
                <w:sz w:val="20"/>
                <w:szCs w:val="20"/>
                <w:color w:val="auto"/>
              </w:rPr>
            </w:pPr>
            <w:r>
              <w:rPr>
                <w:rFonts w:ascii="Arial" w:cs="Arial" w:eastAsia="Arial" w:hAnsi="Arial"/>
                <w:sz w:val="14"/>
                <w:szCs w:val="14"/>
                <w:color w:val="auto"/>
              </w:rPr>
              <w:t>(56.33)%</w:t>
            </w:r>
          </w:p>
        </w:tc>
        <w:tc>
          <w:tcPr>
            <w:tcW w:w="0" w:type="dxa"/>
            <w:vAlign w:val="bottom"/>
          </w:tcPr>
          <w:p>
            <w:pPr>
              <w:spacing w:after="0"/>
              <w:rPr>
                <w:sz w:val="1"/>
                <w:szCs w:val="1"/>
                <w:color w:val="auto"/>
              </w:rPr>
            </w:pPr>
          </w:p>
        </w:tc>
      </w:tr>
      <w:tr>
        <w:trPr>
          <w:trHeight w:val="202"/>
        </w:trPr>
        <w:tc>
          <w:tcPr>
            <w:tcW w:w="530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Shares outstanding at end of period</w:t>
            </w:r>
          </w:p>
        </w:tc>
        <w:tc>
          <w:tcPr>
            <w:tcW w:w="1560" w:type="dxa"/>
            <w:vAlign w:val="bottom"/>
            <w:tcBorders>
              <w:bottom w:val="single" w:sz="8" w:color="CCEC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67,045,105</w:t>
            </w:r>
          </w:p>
        </w:tc>
        <w:tc>
          <w:tcPr>
            <w:tcW w:w="320" w:type="dxa"/>
            <w:vAlign w:val="bottom"/>
            <w:tcBorders>
              <w:bottom w:val="single" w:sz="8" w:color="CCECFF"/>
            </w:tcBorders>
          </w:tcPr>
          <w:p>
            <w:pPr>
              <w:spacing w:after="0"/>
              <w:rPr>
                <w:sz w:val="17"/>
                <w:szCs w:val="17"/>
                <w:color w:val="auto"/>
              </w:rPr>
            </w:pPr>
          </w:p>
        </w:tc>
        <w:tc>
          <w:tcPr>
            <w:tcW w:w="40" w:type="dxa"/>
            <w:vAlign w:val="bottom"/>
            <w:tcBorders>
              <w:bottom w:val="single" w:sz="8" w:color="CCEC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67,045,105</w:t>
            </w:r>
          </w:p>
        </w:tc>
        <w:tc>
          <w:tcPr>
            <w:tcW w:w="18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30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Ratios**/ Supplemental Data:</w:t>
            </w:r>
          </w:p>
        </w:tc>
        <w:tc>
          <w:tcPr>
            <w:tcW w:w="156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 xml:space="preserve">3.86% </w:t>
            </w:r>
            <w:r>
              <w:rPr>
                <w:rFonts w:ascii="Arial" w:cs="Arial" w:eastAsia="Arial" w:hAnsi="Arial"/>
                <w:sz w:val="12"/>
                <w:szCs w:val="12"/>
                <w:color w:val="auto"/>
              </w:rPr>
              <w:t>(8)</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62"/>
        </w:trPr>
        <w:tc>
          <w:tcPr>
            <w:tcW w:w="53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interest and expenses on debt to average net assets </w:t>
            </w:r>
            <w:r>
              <w:rPr>
                <w:rFonts w:ascii="Arial" w:cs="Arial" w:eastAsia="Arial" w:hAnsi="Arial"/>
                <w:sz w:val="12"/>
                <w:szCs w:val="12"/>
                <w:color w:val="auto"/>
              </w:rPr>
              <w:t>(5)</w:t>
            </w:r>
          </w:p>
        </w:tc>
        <w:tc>
          <w:tcPr>
            <w:tcW w:w="156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3.47%</w:t>
            </w:r>
          </w:p>
        </w:tc>
        <w:tc>
          <w:tcPr>
            <w:tcW w:w="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15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0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 xml:space="preserve">7.33% </w:t>
            </w:r>
            <w:r>
              <w:rPr>
                <w:rFonts w:ascii="Arial" w:cs="Arial" w:eastAsia="Arial" w:hAnsi="Arial"/>
                <w:sz w:val="12"/>
                <w:szCs w:val="12"/>
                <w:color w:val="auto"/>
              </w:rPr>
              <w:t>(8)</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11.42%</w:t>
            </w:r>
          </w:p>
        </w:tc>
        <w:tc>
          <w:tcPr>
            <w:tcW w:w="0" w:type="dxa"/>
            <w:vAlign w:val="bottom"/>
          </w:tcPr>
          <w:p>
            <w:pPr>
              <w:spacing w:after="0"/>
              <w:rPr>
                <w:sz w:val="1"/>
                <w:szCs w:val="1"/>
                <w:color w:val="auto"/>
              </w:rPr>
            </w:pPr>
          </w:p>
        </w:tc>
      </w:tr>
      <w:tr>
        <w:trPr>
          <w:trHeight w:val="162"/>
        </w:trPr>
        <w:tc>
          <w:tcPr>
            <w:tcW w:w="53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156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5.99%</w:t>
            </w:r>
          </w:p>
        </w:tc>
        <w:tc>
          <w:tcPr>
            <w:tcW w:w="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Net assets at end of period</w:t>
            </w:r>
          </w:p>
        </w:tc>
        <w:tc>
          <w:tcPr>
            <w:tcW w:w="2700" w:type="dxa"/>
            <w:vAlign w:val="bottom"/>
            <w:gridSpan w:val="2"/>
          </w:tcPr>
          <w:p>
            <w:pPr>
              <w:jc w:val="right"/>
              <w:ind w:right="1024"/>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95"/>
              </w:rPr>
              <w:t>619,246,895</w:t>
            </w:r>
          </w:p>
        </w:tc>
        <w:tc>
          <w:tcPr>
            <w:tcW w:w="320" w:type="dxa"/>
            <w:vAlign w:val="bottom"/>
          </w:tcPr>
          <w:p>
            <w:pPr>
              <w:spacing w:after="0"/>
              <w:rPr>
                <w:sz w:val="14"/>
                <w:szCs w:val="14"/>
                <w:color w:val="auto"/>
              </w:rPr>
            </w:pPr>
          </w:p>
        </w:tc>
        <w:tc>
          <w:tcPr>
            <w:tcW w:w="820" w:type="dxa"/>
            <w:vAlign w:val="bottom"/>
            <w:gridSpan w:val="2"/>
          </w:tcPr>
          <w:p>
            <w:pPr>
              <w:jc w:val="right"/>
              <w:ind w:right="6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516,679,237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(6)</w:t>
            </w:r>
          </w:p>
        </w:tc>
        <w:tc>
          <w:tcPr>
            <w:tcW w:w="156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bottom w:val="single" w:sz="8" w:color="auto"/>
            </w:tcBorders>
            <w:shd w:val="clear" w:color="auto" w:fill="CCECFF"/>
          </w:tcPr>
          <w:p>
            <w:pPr>
              <w:jc w:val="right"/>
              <w:ind w:right="1024"/>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5"/>
              </w:rPr>
              <w:t>569,209,601</w:t>
            </w:r>
          </w:p>
        </w:tc>
        <w:tc>
          <w:tcPr>
            <w:tcW w:w="32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780" w:type="dxa"/>
            <w:vAlign w:val="bottom"/>
            <w:tcBorders>
              <w:top w:val="single" w:sz="8" w:color="auto"/>
              <w:bottom w:val="single" w:sz="8" w:color="auto"/>
            </w:tcBorders>
            <w:shd w:val="clear" w:color="auto" w:fill="CCECFF"/>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699,915,641</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0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(6)</w:t>
            </w:r>
          </w:p>
        </w:tc>
        <w:tc>
          <w:tcPr>
            <w:tcW w:w="1560" w:type="dxa"/>
            <w:vAlign w:val="bottom"/>
          </w:tcPr>
          <w:p>
            <w:pPr>
              <w:spacing w:after="0"/>
              <w:rPr>
                <w:sz w:val="13"/>
                <w:szCs w:val="13"/>
                <w:color w:val="auto"/>
              </w:rPr>
            </w:pPr>
          </w:p>
        </w:tc>
        <w:tc>
          <w:tcPr>
            <w:tcW w:w="1140" w:type="dxa"/>
            <w:vAlign w:val="bottom"/>
          </w:tcPr>
          <w:p>
            <w:pPr>
              <w:jc w:val="right"/>
              <w:ind w:right="1024"/>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8.49</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10.44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(7)</w:t>
            </w:r>
          </w:p>
        </w:tc>
        <w:tc>
          <w:tcPr>
            <w:tcW w:w="2700" w:type="dxa"/>
            <w:vAlign w:val="bottom"/>
            <w:gridSpan w:val="2"/>
            <w:shd w:val="clear" w:color="auto" w:fill="CCECFF"/>
          </w:tcPr>
          <w:p>
            <w:pPr>
              <w:jc w:val="right"/>
              <w:ind w:right="1024"/>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2,335</w:t>
            </w:r>
          </w:p>
        </w:tc>
        <w:tc>
          <w:tcPr>
            <w:tcW w:w="320" w:type="dxa"/>
            <w:vAlign w:val="bottom"/>
            <w:shd w:val="clear" w:color="auto" w:fill="CCECFF"/>
          </w:tcPr>
          <w:p>
            <w:pPr>
              <w:spacing w:after="0"/>
              <w:rPr>
                <w:sz w:val="14"/>
                <w:szCs w:val="14"/>
                <w:color w:val="auto"/>
              </w:rPr>
            </w:pPr>
          </w:p>
        </w:tc>
        <w:tc>
          <w:tcPr>
            <w:tcW w:w="820" w:type="dxa"/>
            <w:vAlign w:val="bottom"/>
            <w:gridSpan w:val="2"/>
            <w:shd w:val="clear" w:color="auto" w:fill="CCECFF"/>
          </w:tcPr>
          <w:p>
            <w:pPr>
              <w:jc w:val="right"/>
              <w:ind w:right="6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1,608</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30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1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25.88%</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1"/>
          <w:szCs w:val="11"/>
          <w:b w:val="1"/>
          <w:bCs w:val="1"/>
          <w:color w:val="auto"/>
        </w:rPr>
      </w:pPr>
      <w:r>
        <w:rPr>
          <w:rFonts w:ascii="Arial" w:cs="Arial" w:eastAsia="Arial" w:hAnsi="Arial"/>
          <w:sz w:val="11"/>
          <w:szCs w:val="11"/>
          <w:color w:val="auto"/>
        </w:rPr>
        <w:t>Not annualized for periods less than one year.</w:t>
      </w:r>
    </w:p>
    <w:p>
      <w:pPr>
        <w:spacing w:after="0" w:line="3" w:lineRule="exact"/>
        <w:rPr>
          <w:rFonts w:ascii="Arial" w:cs="Arial" w:eastAsia="Arial" w:hAnsi="Arial"/>
          <w:sz w:val="11"/>
          <w:szCs w:val="11"/>
          <w:b w:val="1"/>
          <w:bCs w:val="1"/>
          <w:color w:val="auto"/>
        </w:rPr>
      </w:pPr>
    </w:p>
    <w:p>
      <w:pPr>
        <w:spacing w:after="0"/>
        <w:rPr>
          <w:rFonts w:ascii="Arial" w:cs="Arial" w:eastAsia="Arial" w:hAnsi="Arial"/>
          <w:sz w:val="11"/>
          <w:szCs w:val="11"/>
          <w:b w:val="1"/>
          <w:bCs w:val="1"/>
          <w:color w:val="auto"/>
        </w:rPr>
      </w:pPr>
      <w:r>
        <w:rPr>
          <w:rFonts w:ascii="Arial" w:cs="Arial" w:eastAsia="Arial" w:hAnsi="Arial"/>
          <w:sz w:val="11"/>
          <w:szCs w:val="11"/>
          <w:b w:val="1"/>
          <w:bCs w:val="1"/>
          <w:color w:val="auto"/>
        </w:rPr>
        <w:t>**</w:t>
      </w:r>
      <w:r>
        <w:rPr>
          <w:rFonts w:ascii="Arial" w:cs="Arial" w:eastAsia="Arial" w:hAnsi="Arial"/>
          <w:sz w:val="9"/>
          <w:szCs w:val="9"/>
          <w:color w:val="auto"/>
        </w:rPr>
        <w:t>Annualized for periods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3455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380" w:hanging="372"/>
        <w:spacing w:after="0" w:line="231" w:lineRule="auto"/>
        <w:tabs>
          <w:tab w:leader="none" w:pos="380" w:val="left"/>
        </w:tabs>
        <w:numPr>
          <w:ilvl w:val="0"/>
          <w:numId w:val="28"/>
        </w:numPr>
        <w:rPr>
          <w:rFonts w:ascii="Arial" w:cs="Arial" w:eastAsia="Arial" w:hAnsi="Arial"/>
          <w:sz w:val="9"/>
          <w:szCs w:val="9"/>
          <w:b w:val="1"/>
          <w:bCs w:val="1"/>
          <w:color w:val="auto"/>
        </w:rPr>
      </w:pPr>
      <w:r>
        <w:rPr>
          <w:rFonts w:ascii="Arial" w:cs="Arial" w:eastAsia="Arial" w:hAnsi="Arial"/>
          <w:sz w:val="11"/>
          <w:szCs w:val="11"/>
          <w:color w:val="auto"/>
        </w:rPr>
        <w:t>Based on the weighted average shares outstanding for the respective periods.</w:t>
      </w:r>
    </w:p>
    <w:p>
      <w:pPr>
        <w:ind w:left="380" w:hanging="372"/>
        <w:spacing w:after="0" w:line="230" w:lineRule="auto"/>
        <w:tabs>
          <w:tab w:leader="none" w:pos="380" w:val="left"/>
        </w:tabs>
        <w:numPr>
          <w:ilvl w:val="0"/>
          <w:numId w:val="28"/>
        </w:numPr>
        <w:rPr>
          <w:rFonts w:ascii="Arial" w:cs="Arial" w:eastAsia="Arial" w:hAnsi="Arial"/>
          <w:sz w:val="9"/>
          <w:szCs w:val="9"/>
          <w:b w:val="1"/>
          <w:bCs w:val="1"/>
          <w:color w:val="auto"/>
        </w:rPr>
      </w:pPr>
      <w:r>
        <w:rPr>
          <w:rFonts w:ascii="Arial" w:cs="Arial" w:eastAsia="Arial" w:hAnsi="Arial"/>
          <w:sz w:val="11"/>
          <w:szCs w:val="11"/>
          <w:color w:val="auto"/>
        </w:rPr>
        <w:t>The tax status of distributions is calculated in accordance with income tax regulations, which may differ from amounts determined under GAAP, and reported on Form 1099-DIV each calendar year.</w:t>
      </w:r>
    </w:p>
    <w:p>
      <w:pPr>
        <w:ind w:left="380" w:hanging="372"/>
        <w:spacing w:after="0" w:line="230" w:lineRule="auto"/>
        <w:tabs>
          <w:tab w:leader="none" w:pos="380" w:val="left"/>
        </w:tabs>
        <w:numPr>
          <w:ilvl w:val="0"/>
          <w:numId w:val="28"/>
        </w:numPr>
        <w:rPr>
          <w:rFonts w:ascii="Arial" w:cs="Arial" w:eastAsia="Arial" w:hAnsi="Arial"/>
          <w:sz w:val="9"/>
          <w:szCs w:val="9"/>
          <w:b w:val="1"/>
          <w:bCs w:val="1"/>
          <w:color w:val="auto"/>
        </w:rPr>
      </w:pPr>
      <w:r>
        <w:rPr>
          <w:rFonts w:ascii="Arial" w:cs="Arial" w:eastAsia="Arial" w:hAnsi="Arial"/>
          <w:sz w:val="11"/>
          <w:szCs w:val="11"/>
          <w:color w:val="auto"/>
        </w:rPr>
        <w:t>Based on the change in market price per share during the periods and assumes distributions, if any, are reinvested.</w:t>
      </w:r>
    </w:p>
    <w:p>
      <w:pPr>
        <w:ind w:left="380" w:hanging="372"/>
        <w:spacing w:after="0" w:line="230" w:lineRule="auto"/>
        <w:tabs>
          <w:tab w:leader="none" w:pos="380" w:val="left"/>
        </w:tabs>
        <w:numPr>
          <w:ilvl w:val="0"/>
          <w:numId w:val="28"/>
        </w:numPr>
        <w:rPr>
          <w:rFonts w:ascii="Arial" w:cs="Arial" w:eastAsia="Arial" w:hAnsi="Arial"/>
          <w:sz w:val="9"/>
          <w:szCs w:val="9"/>
          <w:b w:val="1"/>
          <w:bCs w:val="1"/>
          <w:color w:val="auto"/>
        </w:rPr>
      </w:pPr>
      <w:r>
        <w:rPr>
          <w:rFonts w:ascii="Arial" w:cs="Arial" w:eastAsia="Arial" w:hAnsi="Arial"/>
          <w:sz w:val="11"/>
          <w:szCs w:val="11"/>
          <w:color w:val="auto"/>
        </w:rPr>
        <w:t>Excludes debt related costs.</w:t>
      </w:r>
    </w:p>
    <w:p>
      <w:pPr>
        <w:ind w:left="380" w:hanging="372"/>
        <w:spacing w:after="0" w:line="230" w:lineRule="auto"/>
        <w:tabs>
          <w:tab w:leader="none" w:pos="380" w:val="left"/>
        </w:tabs>
        <w:numPr>
          <w:ilvl w:val="0"/>
          <w:numId w:val="28"/>
        </w:numPr>
        <w:rPr>
          <w:rFonts w:ascii="Arial" w:cs="Arial" w:eastAsia="Arial" w:hAnsi="Arial"/>
          <w:sz w:val="9"/>
          <w:szCs w:val="9"/>
          <w:b w:val="1"/>
          <w:bCs w:val="1"/>
          <w:color w:val="auto"/>
        </w:rPr>
      </w:pPr>
      <w:r>
        <w:rPr>
          <w:rFonts w:ascii="Arial" w:cs="Arial" w:eastAsia="Arial" w:hAnsi="Arial"/>
          <w:sz w:val="11"/>
          <w:szCs w:val="11"/>
          <w:color w:val="auto"/>
        </w:rPr>
        <w:t>Includes interest and expenses on debt (annualized) as well as Credit Facility amendment and debt issuance costs, if any, (not annualized).</w:t>
      </w:r>
    </w:p>
    <w:p>
      <w:pPr>
        <w:ind w:left="380" w:hanging="372"/>
        <w:spacing w:after="0" w:line="230" w:lineRule="auto"/>
        <w:tabs>
          <w:tab w:leader="none" w:pos="380" w:val="left"/>
        </w:tabs>
        <w:numPr>
          <w:ilvl w:val="0"/>
          <w:numId w:val="28"/>
        </w:numPr>
        <w:rPr>
          <w:rFonts w:ascii="Arial" w:cs="Arial" w:eastAsia="Arial" w:hAnsi="Arial"/>
          <w:sz w:val="9"/>
          <w:szCs w:val="9"/>
          <w:b w:val="1"/>
          <w:bCs w:val="1"/>
          <w:color w:val="auto"/>
        </w:rPr>
      </w:pPr>
      <w:r>
        <w:rPr>
          <w:rFonts w:ascii="Arial" w:cs="Arial" w:eastAsia="Arial" w:hAnsi="Arial"/>
          <w:sz w:val="11"/>
          <w:szCs w:val="11"/>
          <w:color w:val="auto"/>
        </w:rPr>
        <w:t>Includes SBA debentures outstanding.</w:t>
      </w:r>
    </w:p>
    <w:p>
      <w:pPr>
        <w:ind w:left="380" w:right="240" w:hanging="372"/>
        <w:spacing w:after="0" w:line="230" w:lineRule="auto"/>
        <w:tabs>
          <w:tab w:leader="none" w:pos="380" w:val="left"/>
        </w:tabs>
        <w:numPr>
          <w:ilvl w:val="0"/>
          <w:numId w:val="28"/>
        </w:numPr>
        <w:rPr>
          <w:rFonts w:ascii="Arial" w:cs="Arial" w:eastAsia="Arial" w:hAnsi="Arial"/>
          <w:sz w:val="9"/>
          <w:szCs w:val="9"/>
          <w:b w:val="1"/>
          <w:bCs w:val="1"/>
          <w:color w:val="auto"/>
        </w:rPr>
      </w:pPr>
      <w:r>
        <w:rPr>
          <w:rFonts w:ascii="Arial" w:cs="Arial" w:eastAsia="Arial" w:hAnsi="Arial"/>
          <w:sz w:val="11"/>
          <w:szCs w:val="11"/>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ind w:left="380" w:hanging="372"/>
        <w:spacing w:after="0"/>
        <w:tabs>
          <w:tab w:leader="none" w:pos="380" w:val="left"/>
        </w:tabs>
        <w:numPr>
          <w:ilvl w:val="0"/>
          <w:numId w:val="28"/>
        </w:numPr>
        <w:rPr>
          <w:rFonts w:ascii="Arial" w:cs="Arial" w:eastAsia="Arial" w:hAnsi="Arial"/>
          <w:sz w:val="9"/>
          <w:szCs w:val="9"/>
          <w:b w:val="1"/>
          <w:bCs w:val="1"/>
          <w:color w:val="auto"/>
        </w:rPr>
      </w:pPr>
      <w:r>
        <w:rPr>
          <w:rFonts w:ascii="Arial" w:cs="Arial" w:eastAsia="Arial" w:hAnsi="Arial"/>
          <w:sz w:val="11"/>
          <w:szCs w:val="11"/>
          <w:color w:val="auto"/>
        </w:rPr>
        <w:t>For the six months ended March 31, 2021, the ratio of operating and total expenses before the performance-based incentive fee waiver to average net assets was 3.86% and 7.33%,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221"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The annualized weighted average cost of debt for the six months ended March 31, 2021 and 2020, inclusive of the fee on the undrawn commitment under the Truist Credit Facility and amortized upfront fees on SBA debentures and 2024 Notes, was 3.5% and 5.1%, respectively. As of March 31, 2021,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w:t>
      </w:r>
    </w:p>
    <w:p>
      <w:pPr>
        <w:sectPr>
          <w:pgSz w:w="11900" w:h="16838" w:orient="portrait"/>
          <w:cols w:equalWidth="0" w:num="1">
            <w:col w:w="11240"/>
          </w:cols>
          <w:pgMar w:left="320" w:top="118"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March 31, 2021 and September 30, 2020, our asset coverage ratio, as computed in accordance with the 1940 Act, was 234% and 208%,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BNP Credit Facility</w:t>
      </w:r>
    </w:p>
    <w:p>
      <w:pPr>
        <w:spacing w:after="0" w:line="2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On February 22, 2019, Funding I closed the BNP Credit Facility for up to $250.0 million (increased to $275.0 million as of November 6, 2020) in borrowings with certain lenders and BNP Paribas, as administrative agent, and The Bank of New York Mellon Trust Company, N.A., as collateral agent. As of July 31, 2020, Funding I is no longer a subsidiary of the Company consolidated in our financial statements and thus the BNP Credit Facility is no longer presented on the Statement of Assets and Liabilities (See Note 4). The BNP Credit Facility is secured by all of the assets of Funding I. Prior to deconsolidation on July 31, 2020, we owned 100% of the equity interest in Funding I and treated the indebtedness of Funding I as our leverage. Our Investment Adviser serves as the servicer to Funding I in connection with the BNP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Truist Credit Facility</w:t>
      </w:r>
    </w:p>
    <w:p>
      <w:pPr>
        <w:spacing w:after="0" w:line="217"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As of March 31, 2021, we had the multi-currency Truist Credit Facility for up to $475.0 million in borrowings with certain lenders and Truist Bank (formerly SunTrust Bank), acting as administrative agent, and JPMorgan Chase Bank, N.A., acting as syndication agent for the lenders. As of March 31, 2021 and September 30, 2020, we had $375.5 million and $388.3 million, respectively, in outstanding borrowings under the Truist Credit Facility. The Truist Credit Facility had a weighted average interest rate of 2.5% and 2.5%, respectively, exclusive of the fee on undrawn commitments, as of March 31, 2021 and September 30, 2020. The Truist Credit Facility is a revolving facility with a stated maturity date of September 4, 2024 ($40.0 million of the $475 million commitment will mature May 25, 2022), a one-year term-out period on September 4, 2023 ($40.0 million of the $475 million commitment has a one year term-out period on May 25, 2021) and pricing set at 225 basis points over LIBOR (or an alternative risk-free floating interest rate index). As of March 31, 2021 and September 30, 2020, we had $99.5 million and $86.7 million of unused borrowing capacity under the Truist Credit Facility, respectively, subject to leverage and borrowing base restrictions. The Truist Credit Facility is secured by substantially all of our assets, excluding assets held by SBIC II. As of March 31, 2021, we were in compliance with the terms of the Truist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217" w:lineRule="exact"/>
        <w:rPr>
          <w:sz w:val="20"/>
          <w:szCs w:val="20"/>
          <w:color w:val="auto"/>
        </w:rPr>
      </w:pPr>
    </w:p>
    <w:p>
      <w:pPr>
        <w:ind w:right="220" w:firstLine="438"/>
        <w:spacing w:after="0" w:line="251" w:lineRule="auto"/>
        <w:rPr>
          <w:sz w:val="20"/>
          <w:szCs w:val="20"/>
          <w:color w:val="auto"/>
        </w:rPr>
      </w:pPr>
      <w:r>
        <w:rPr>
          <w:rFonts w:ascii="Arial" w:cs="Arial" w:eastAsia="Arial" w:hAnsi="Arial"/>
          <w:sz w:val="13"/>
          <w:szCs w:val="13"/>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$108.5 million and $118.5 million as of March 31, 2021 and September 30, 2020,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 million in the aggregate.</w:t>
      </w:r>
    </w:p>
    <w:p>
      <w:pPr>
        <w:spacing w:after="0" w:line="190" w:lineRule="exact"/>
        <w:rPr>
          <w:sz w:val="20"/>
          <w:szCs w:val="20"/>
          <w:color w:val="auto"/>
        </w:rPr>
      </w:pPr>
    </w:p>
    <w:p>
      <w:pPr>
        <w:jc w:val="both"/>
        <w:ind w:firstLine="438"/>
        <w:spacing w:after="0" w:line="233" w:lineRule="auto"/>
        <w:rPr>
          <w:sz w:val="20"/>
          <w:szCs w:val="20"/>
          <w:color w:val="auto"/>
        </w:rPr>
      </w:pPr>
      <w:r>
        <w:rPr>
          <w:rFonts w:ascii="Arial" w:cs="Arial" w:eastAsia="Arial" w:hAnsi="Arial"/>
          <w:sz w:val="14"/>
          <w:szCs w:val="14"/>
          <w:color w:val="auto"/>
        </w:rPr>
        <w:t>As of both March 31, 2021 and September 30, 2020, SBIC II had an initial $150.0 million in debt commitments, all of which were drawn. During both the three and six months ended March 31, 2021, $10.0 million in SBA debentures were repaid. During the three and six months ended March 31, 2020, zero and $16.5 million in SBA debentures were repaid, respectively. As of March 31, 2021 and September 30, 2020, the unamortized fees on the SBA debentures were $2.4 million and $2.7 million, respectively. The SBA debentures’ upfront fees of 3.4% consist of a commitment fee of 1.0% and an issuance discount of 2.4%, which are being amortized.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20" w:type="dxa"/>
            <w:vAlign w:val="bottom"/>
            <w:gridSpan w:val="2"/>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35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24"/>
                <w:szCs w:val="24"/>
                <w:color w:val="auto"/>
              </w:rPr>
            </w:pPr>
          </w:p>
        </w:tc>
        <w:tc>
          <w:tcPr>
            <w:tcW w:w="21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6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As of March 31, 2021</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C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4"/>
              </w:rPr>
              <w:t>Principal Balance</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2.9%</w:t>
            </w: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2027</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2.9</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27,500,000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21, 2018</w:t>
            </w:r>
          </w:p>
        </w:tc>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shd w:val="clear" w:color="auto" w:fill="CCECFF"/>
          </w:tcPr>
          <w:p>
            <w:pPr>
              <w:ind w:left="1860"/>
              <w:spacing w:after="0"/>
              <w:rPr>
                <w:sz w:val="20"/>
                <w:szCs w:val="20"/>
                <w:color w:val="auto"/>
              </w:rPr>
            </w:pPr>
            <w:r>
              <w:rPr>
                <w:rFonts w:ascii="Arial" w:cs="Arial" w:eastAsia="Arial" w:hAnsi="Arial"/>
                <w:sz w:val="14"/>
                <w:szCs w:val="14"/>
                <w:color w:val="auto"/>
                <w:w w:val="92"/>
              </w:rPr>
              <w:t>3.5</w:t>
            </w:r>
          </w:p>
        </w:tc>
        <w:tc>
          <w:tcPr>
            <w:tcW w:w="46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2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58,500,000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2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3.2%</w:t>
            </w: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2200" w:type="dxa"/>
            <w:vAlign w:val="bottom"/>
          </w:tcPr>
          <w:p>
            <w:pPr>
              <w:jc w:val="right"/>
              <w:spacing w:after="0" w:line="155" w:lineRule="exact"/>
              <w:rPr>
                <w:sz w:val="20"/>
                <w:szCs w:val="20"/>
                <w:color w:val="auto"/>
              </w:rPr>
            </w:pPr>
            <w:r>
              <w:rPr>
                <w:rFonts w:ascii="Arial" w:cs="Arial" w:eastAsia="Arial" w:hAnsi="Arial"/>
                <w:sz w:val="14"/>
                <w:szCs w:val="14"/>
                <w:color w:val="auto"/>
              </w:rPr>
              <w:t>108,500,000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216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2060" w:type="dxa"/>
            <w:vAlign w:val="bottom"/>
            <w:tcBorders>
              <w:top w:val="single" w:sz="8" w:color="auto"/>
            </w:tcBorders>
            <w:shd w:val="clear" w:color="auto" w:fill="CCECFF"/>
          </w:tcPr>
          <w:p>
            <w:pPr>
              <w:spacing w:after="0"/>
              <w:rPr>
                <w:sz w:val="12"/>
                <w:szCs w:val="12"/>
                <w:color w:val="auto"/>
              </w:rPr>
            </w:pPr>
          </w:p>
        </w:tc>
        <w:tc>
          <w:tcPr>
            <w:tcW w:w="46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spacing w:after="0"/>
              <w:rPr>
                <w:sz w:val="12"/>
                <w:szCs w:val="12"/>
                <w:color w:val="auto"/>
              </w:rPr>
            </w:pPr>
          </w:p>
        </w:tc>
        <w:tc>
          <w:tcPr>
            <w:tcW w:w="2200" w:type="dxa"/>
            <w:vAlign w:val="bottom"/>
            <w:tcBorders>
              <w:top w:val="single" w:sz="8" w:color="auto"/>
            </w:tcBorders>
            <w:shd w:val="clear" w:color="auto" w:fill="CCECFF"/>
          </w:tcPr>
          <w:p>
            <w:pPr>
              <w:spacing w:after="0"/>
              <w:rPr>
                <w:sz w:val="12"/>
                <w:szCs w:val="12"/>
                <w:color w:val="auto"/>
              </w:rPr>
            </w:pPr>
          </w:p>
        </w:tc>
        <w:tc>
          <w:tcPr>
            <w:tcW w:w="6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12"/>
                <w:szCs w:val="12"/>
                <w:color w:val="auto"/>
              </w:rPr>
            </w:pPr>
          </w:p>
        </w:tc>
        <w:tc>
          <w:tcPr>
            <w:tcW w:w="21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12"/>
                <w:szCs w:val="12"/>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6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226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0"/>
              </w:rPr>
              <w:t>As of September 30, 2020</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4"/>
              </w:rPr>
              <w:t>Principal Balance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tcPr>
          <w:p>
            <w:pPr>
              <w:spacing w:after="0"/>
              <w:rPr>
                <w:sz w:val="13"/>
                <w:szCs w:val="13"/>
                <w:color w:val="auto"/>
              </w:rPr>
            </w:pPr>
          </w:p>
        </w:tc>
        <w:tc>
          <w:tcPr>
            <w:tcW w:w="2160" w:type="dxa"/>
            <w:vAlign w:val="bottom"/>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tcPr>
          <w:p>
            <w:pPr>
              <w:spacing w:after="0"/>
              <w:rPr>
                <w:sz w:val="13"/>
                <w:szCs w:val="13"/>
                <w:color w:val="auto"/>
              </w:rPr>
            </w:pPr>
          </w:p>
        </w:tc>
        <w:tc>
          <w:tcPr>
            <w:tcW w:w="252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2.9%</w:t>
            </w: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2200" w:type="dxa"/>
            <w:vAlign w:val="bottom"/>
          </w:tcPr>
          <w:p>
            <w:pPr>
              <w:jc w:val="right"/>
              <w:spacing w:after="0" w:line="155" w:lineRule="exact"/>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2026</w:t>
            </w:r>
          </w:p>
        </w:tc>
        <w:tc>
          <w:tcPr>
            <w:tcW w:w="206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2"/>
              </w:rPr>
              <w:t>2.4</w:t>
            </w:r>
          </w:p>
        </w:tc>
        <w:tc>
          <w:tcPr>
            <w:tcW w:w="4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2027</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2.9</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27,500,000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21, 2018</w:t>
            </w:r>
          </w:p>
        </w:tc>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shd w:val="clear" w:color="auto" w:fill="CCECFF"/>
          </w:tcPr>
          <w:p>
            <w:pPr>
              <w:ind w:left="1860"/>
              <w:spacing w:after="0"/>
              <w:rPr>
                <w:sz w:val="20"/>
                <w:szCs w:val="20"/>
                <w:color w:val="auto"/>
              </w:rPr>
            </w:pPr>
            <w:r>
              <w:rPr>
                <w:rFonts w:ascii="Arial" w:cs="Arial" w:eastAsia="Arial" w:hAnsi="Arial"/>
                <w:sz w:val="14"/>
                <w:szCs w:val="14"/>
                <w:color w:val="auto"/>
                <w:w w:val="92"/>
              </w:rPr>
              <w:t>3.5</w:t>
            </w:r>
          </w:p>
        </w:tc>
        <w:tc>
          <w:tcPr>
            <w:tcW w:w="46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2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58,500,000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3.2%</w:t>
            </w: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2200" w:type="dxa"/>
            <w:vAlign w:val="bottom"/>
          </w:tcPr>
          <w:p>
            <w:pPr>
              <w:jc w:val="right"/>
              <w:spacing w:after="0" w:line="155" w:lineRule="exact"/>
              <w:rPr>
                <w:sz w:val="20"/>
                <w:szCs w:val="20"/>
                <w:color w:val="auto"/>
              </w:rPr>
            </w:pPr>
            <w:r>
              <w:rPr>
                <w:rFonts w:ascii="Arial" w:cs="Arial" w:eastAsia="Arial" w:hAnsi="Arial"/>
                <w:sz w:val="14"/>
                <w:szCs w:val="14"/>
                <w:color w:val="auto"/>
              </w:rPr>
              <w:t>118,500,000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hanging="372"/>
        <w:spacing w:after="0" w:line="204" w:lineRule="auto"/>
        <w:tabs>
          <w:tab w:leader="none" w:pos="380" w:val="left"/>
        </w:tabs>
        <w:numPr>
          <w:ilvl w:val="0"/>
          <w:numId w:val="29"/>
        </w:numPr>
        <w:rPr>
          <w:rFonts w:ascii="Arial" w:cs="Arial" w:eastAsia="Arial" w:hAnsi="Arial"/>
          <w:sz w:val="20"/>
          <w:szCs w:val="20"/>
          <w:b w:val="1"/>
          <w:bCs w:val="1"/>
          <w:color w:val="auto"/>
          <w:vertAlign w:val="superscript"/>
        </w:rPr>
      </w:pPr>
      <w:r>
        <w:rPr>
          <w:rFonts w:ascii="Arial" w:cs="Arial" w:eastAsia="Arial" w:hAnsi="Arial"/>
          <w:sz w:val="12"/>
          <w:szCs w:val="12"/>
          <w:color w:val="auto"/>
        </w:rPr>
        <w:t>Excluding 3.4%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3455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84"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March 31, 2021, SBIC II was in compliance with its regulatory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Notes</w:t>
      </w:r>
    </w:p>
    <w:p>
      <w:pPr>
        <w:spacing w:after="0" w:line="123"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As of both March 31, 2021 and September 30, 2020, we had $86.3 million in aggregate principal amount of 2024 Notes outstanding. Interest on the 2024 Notes is paid quarterly on January 15, April 15, July 15 and October 15, at a rate of 5.50% per year. The 2024 Notes mature on October 15, 2024. The 2024 Notes are general, unsecured obligations and rank equal in right of payment with all of our existing and future senior unsecured indebtedness. The 2024 Notes are structurally subordinated to our SBA debentures and the assets pledged or secured under our Credit Facilities. The 2024 Notes may be repurchased from time to time in open market purchases and privately-negotiated transactions.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2021</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221" w:lineRule="exact"/>
        <w:rPr>
          <w:sz w:val="20"/>
          <w:szCs w:val="20"/>
          <w:color w:val="auto"/>
        </w:rPr>
      </w:pPr>
    </w:p>
    <w:p>
      <w:pPr>
        <w:ind w:right="200" w:firstLine="438"/>
        <w:spacing w:after="0" w:line="231"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March 31, 2021 and September 30, 2020, we had $47.4 million and $37.4 million, respectively, in commitments to fund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UNCONSOLIDATED SIGNIFICANT SUBSIDIARIES</w:t>
      </w:r>
    </w:p>
    <w:p>
      <w:pPr>
        <w:spacing w:after="0" w:line="221" w:lineRule="exact"/>
        <w:rPr>
          <w:sz w:val="20"/>
          <w:szCs w:val="20"/>
          <w:color w:val="auto"/>
        </w:rPr>
      </w:pPr>
    </w:p>
    <w:p>
      <w:pPr>
        <w:ind w:right="40" w:firstLine="438"/>
        <w:spacing w:after="0" w:line="251" w:lineRule="auto"/>
        <w:rPr>
          <w:sz w:val="20"/>
          <w:szCs w:val="20"/>
          <w:color w:val="auto"/>
        </w:rPr>
      </w:pPr>
      <w:r>
        <w:rPr>
          <w:rFonts w:ascii="Arial" w:cs="Arial" w:eastAsia="Arial" w:hAnsi="Arial"/>
          <w:sz w:val="13"/>
          <w:szCs w:val="13"/>
          <w:color w:val="auto"/>
        </w:rPr>
        <w:t>We must determine which, if any, of our unconsolidated controlled portfolio companies is a "significant subsidiary" within the meaning of Regulation S-X. We have determined that, as of September 30, 2020, PennantPark Senior Loan Fund, LLC, PT Networks, LLC and RAM Energy Holdings LLC triggered at least one of the significance tests. As a result and in accordance with Rule 10-01(b) of Regulation S-X under the Securities Act, presented below is summarized unaudited financial information for PT Networks, LLC and RAM Energy Holdings LLC for the three and six months ended March 31, 2021 and 2020. Similarly, while PennantPark Senior Loan Fund, LLC did not trigger the requirement to present summarized financial information in accordance with Rule 10-01(b) of Regulation S-X, the Statement of Assets and Liabilities as well as the Statement of Operations for PennantPark Senior Loan Fund, LLC has been included in Note 4.</w:t>
      </w:r>
    </w:p>
    <w:p>
      <w:pPr>
        <w:spacing w:after="0" w:line="190" w:lineRule="exact"/>
        <w:rPr>
          <w:sz w:val="20"/>
          <w:szCs w:val="20"/>
          <w:color w:val="auto"/>
        </w:rPr>
      </w:pPr>
    </w:p>
    <w:p>
      <w:pPr>
        <w:ind w:left="800" w:hanging="360"/>
        <w:spacing w:after="0"/>
        <w:tabs>
          <w:tab w:leader="none" w:pos="8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PT Networks, LLC:</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2920" w:type="dxa"/>
            <w:vAlign w:val="bottom"/>
            <w:gridSpan w:val="5"/>
          </w:tcPr>
          <w:p>
            <w:pPr>
              <w:jc w:val="right"/>
              <w:ind w:right="128"/>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5"/>
        </w:trPr>
        <w:tc>
          <w:tcPr>
            <w:tcW w:w="3860" w:type="dxa"/>
            <w:vAlign w:val="bottom"/>
            <w:gridSpan w:val="2"/>
            <w:vMerge w:val="continue"/>
          </w:tcPr>
          <w:p>
            <w:pPr>
              <w:spacing w:after="0"/>
              <w:rPr>
                <w:sz w:val="13"/>
                <w:szCs w:val="13"/>
                <w:color w:val="auto"/>
              </w:rPr>
            </w:pPr>
          </w:p>
        </w:tc>
        <w:tc>
          <w:tcPr>
            <w:tcW w:w="104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Total revenue</w:t>
            </w:r>
          </w:p>
        </w:tc>
        <w:tc>
          <w:tcPr>
            <w:tcW w:w="160" w:type="dxa"/>
            <w:vAlign w:val="bottom"/>
            <w:tcBorders>
              <w:top w:val="single" w:sz="8" w:color="CCECFF"/>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jc w:val="right"/>
              <w:ind w:right="88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61,167</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jc w:val="right"/>
              <w:ind w:right="88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52,405</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120,397</w:t>
            </w:r>
          </w:p>
        </w:tc>
        <w:tc>
          <w:tcPr>
            <w:tcW w:w="30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109,293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10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(64,501)</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(60,283)</w:t>
            </w:r>
          </w:p>
        </w:tc>
        <w:tc>
          <w:tcPr>
            <w:tcW w:w="36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(130,338)</w:t>
            </w:r>
          </w:p>
        </w:tc>
        <w:tc>
          <w:tcPr>
            <w:tcW w:w="36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(110,668)</w:t>
            </w:r>
          </w:p>
        </w:tc>
        <w:tc>
          <w:tcPr>
            <w:tcW w:w="0" w:type="dxa"/>
            <w:vAlign w:val="bottom"/>
          </w:tcPr>
          <w:p>
            <w:pPr>
              <w:spacing w:after="0"/>
              <w:rPr>
                <w:sz w:val="1"/>
                <w:szCs w:val="1"/>
                <w:color w:val="auto"/>
              </w:rPr>
            </w:pPr>
          </w:p>
        </w:tc>
      </w:tr>
      <w:tr>
        <w:trPr>
          <w:trHeight w:val="162"/>
        </w:trPr>
        <w:tc>
          <w:tcPr>
            <w:tcW w:w="38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loss</w:t>
            </w:r>
          </w:p>
        </w:tc>
        <w:tc>
          <w:tcPr>
            <w:tcW w:w="1040" w:type="dxa"/>
            <w:vAlign w:val="bottom"/>
            <w:shd w:val="clear" w:color="auto" w:fill="CCECFF"/>
          </w:tcPr>
          <w:p>
            <w:pPr>
              <w:jc w:val="right"/>
              <w:ind w:right="88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(3,334)</w:t>
            </w:r>
          </w:p>
        </w:tc>
        <w:tc>
          <w:tcPr>
            <w:tcW w:w="1160" w:type="dxa"/>
            <w:vAlign w:val="bottom"/>
            <w:gridSpan w:val="2"/>
            <w:shd w:val="clear" w:color="auto" w:fill="CCECFF"/>
          </w:tcPr>
          <w:p>
            <w:pPr>
              <w:jc w:val="right"/>
              <w:ind w:right="88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(7,878)</w:t>
            </w:r>
          </w:p>
        </w:tc>
        <w:tc>
          <w:tcPr>
            <w:tcW w:w="36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(9,941)</w:t>
            </w:r>
          </w:p>
        </w:tc>
        <w:tc>
          <w:tcPr>
            <w:tcW w:w="360" w:type="dxa"/>
            <w:vAlign w:val="bottom"/>
            <w:shd w:val="clear" w:color="auto" w:fill="CCECFF"/>
          </w:tcPr>
          <w:p>
            <w:pPr>
              <w:jc w:val="right"/>
              <w:ind w:right="249"/>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(1,375)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800" w:hanging="360"/>
        <w:spacing w:after="0"/>
        <w:tabs>
          <w:tab w:leader="none" w:pos="8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RAM Energy Holdings LLC:</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360" w:type="dxa"/>
            <w:vAlign w:val="bottom"/>
          </w:tcPr>
          <w:p>
            <w:pPr>
              <w:spacing w:after="0"/>
              <w:rPr>
                <w:sz w:val="14"/>
                <w:szCs w:val="14"/>
                <w:color w:val="auto"/>
              </w:rPr>
            </w:pPr>
          </w:p>
        </w:tc>
        <w:tc>
          <w:tcPr>
            <w:tcW w:w="34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4"/>
                <w:szCs w:val="14"/>
                <w:color w:val="auto"/>
              </w:rPr>
            </w:pPr>
          </w:p>
        </w:tc>
        <w:tc>
          <w:tcPr>
            <w:tcW w:w="32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386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Total revenue</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21,121</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18,274</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27,090</w:t>
            </w:r>
          </w:p>
        </w:tc>
        <w:tc>
          <w:tcPr>
            <w:tcW w:w="30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25,203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36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(10,357)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(12,616)</w:t>
            </w:r>
          </w:p>
        </w:tc>
        <w:tc>
          <w:tcPr>
            <w:tcW w:w="36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(17,697)</w:t>
            </w:r>
          </w:p>
        </w:tc>
        <w:tc>
          <w:tcPr>
            <w:tcW w:w="36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(23,070)</w:t>
            </w:r>
          </w:p>
        </w:tc>
        <w:tc>
          <w:tcPr>
            <w:tcW w:w="0" w:type="dxa"/>
            <w:vAlign w:val="bottom"/>
          </w:tcPr>
          <w:p>
            <w:pPr>
              <w:spacing w:after="0"/>
              <w:rPr>
                <w:sz w:val="1"/>
                <w:szCs w:val="1"/>
                <w:color w:val="auto"/>
              </w:rPr>
            </w:pPr>
          </w:p>
        </w:tc>
      </w:tr>
      <w:tr>
        <w:trPr>
          <w:trHeight w:val="162"/>
        </w:trPr>
        <w:tc>
          <w:tcPr>
            <w:tcW w:w="38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income</w:t>
            </w:r>
          </w:p>
        </w:tc>
        <w:tc>
          <w:tcPr>
            <w:tcW w:w="36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10,764</w:t>
            </w:r>
          </w:p>
        </w:tc>
        <w:tc>
          <w:tcPr>
            <w:tcW w:w="160" w:type="dxa"/>
            <w:vAlign w:val="bottom"/>
            <w:shd w:val="clear" w:color="auto" w:fill="CCECFF"/>
          </w:tcPr>
          <w:p>
            <w:pPr>
              <w:spacing w:after="0"/>
              <w:rPr>
                <w:sz w:val="14"/>
                <w:szCs w:val="14"/>
                <w:color w:val="auto"/>
              </w:rPr>
            </w:pPr>
          </w:p>
        </w:tc>
        <w:tc>
          <w:tcPr>
            <w:tcW w:w="480" w:type="dxa"/>
            <w:vAlign w:val="bottom"/>
            <w:gridSpan w:val="2"/>
            <w:shd w:val="clear" w:color="auto" w:fill="CCEC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5,658</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9,393</w:t>
            </w:r>
          </w:p>
        </w:tc>
        <w:tc>
          <w:tcPr>
            <w:tcW w:w="300" w:type="dxa"/>
            <w:vAlign w:val="bottom"/>
            <w:shd w:val="clear" w:color="auto" w:fill="CCECFF"/>
          </w:tcPr>
          <w:p>
            <w:pPr>
              <w:spacing w:after="0"/>
              <w:rPr>
                <w:sz w:val="14"/>
                <w:szCs w:val="14"/>
                <w:color w:val="auto"/>
              </w:rPr>
            </w:pPr>
          </w:p>
        </w:tc>
        <w:tc>
          <w:tcPr>
            <w:tcW w:w="360" w:type="dxa"/>
            <w:vAlign w:val="bottom"/>
            <w:shd w:val="clear" w:color="auto" w:fill="CCECFF"/>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2,133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455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4"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9"/>
          <w:szCs w:val="9"/>
          <w:b w:val="1"/>
          <w:bCs w:val="1"/>
          <w:color w:val="auto"/>
        </w:rPr>
      </w:pPr>
      <w:r>
        <w:rPr>
          <w:rFonts w:ascii="Arial" w:cs="Arial" w:eastAsia="Arial" w:hAnsi="Arial"/>
          <w:sz w:val="11"/>
          <w:szCs w:val="11"/>
          <w:color w:val="auto"/>
        </w:rPr>
        <w:t>All amounts are in thousands.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SUBSEQUENT EVENTS</w:t>
      </w:r>
    </w:p>
    <w:p>
      <w:pPr>
        <w:spacing w:after="0" w:line="221" w:lineRule="exact"/>
        <w:rPr>
          <w:sz w:val="20"/>
          <w:szCs w:val="20"/>
          <w:color w:val="auto"/>
        </w:rPr>
      </w:pPr>
    </w:p>
    <w:p>
      <w:pPr>
        <w:ind w:right="20" w:firstLine="729"/>
        <w:spacing w:after="0" w:line="226" w:lineRule="auto"/>
        <w:rPr>
          <w:sz w:val="20"/>
          <w:szCs w:val="20"/>
          <w:color w:val="auto"/>
        </w:rPr>
      </w:pPr>
      <w:r>
        <w:rPr>
          <w:rFonts w:ascii="Arial" w:cs="Arial" w:eastAsia="Arial" w:hAnsi="Arial"/>
          <w:sz w:val="14"/>
          <w:szCs w:val="14"/>
          <w:color w:val="auto"/>
        </w:rPr>
        <w:t>On April 14, 2021, we entered into an underwriting agreement, or the Underwriting Agreement, by and among the Company, the Adviser, the Administrator and Raymond James &amp; Associates, Inc., Keefe, Bruyette &amp; Woods, Inc. and Truist Securities, Inc., as representatives of the several underwriters named on Schedule A to the Underwriting Agreement, in connection with the issuance and sale of $150.0 million aggregate principal amount of the Company’s 4.5% Notes due 2026, or the 2026 Notes. On April 21, 2021, we closed the transaction and issued $150.0 million in aggregate principal amount of our 2026 Notes at a public offering price per note of 99.4%. Interest on the 2026 Notes is paid semi-annually on May 1 and November 1 of each year, at a rate of 4.5%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399" w:lineRule="exact"/>
        <w:rPr>
          <w:sz w:val="20"/>
          <w:szCs w:val="20"/>
          <w:color w:val="auto"/>
        </w:rPr>
      </w:pPr>
    </w:p>
    <w:p>
      <w:pPr>
        <w:ind w:right="5240"/>
        <w:spacing w:after="0" w:line="474" w:lineRule="auto"/>
        <w:rPr>
          <w:sz w:val="20"/>
          <w:szCs w:val="20"/>
          <w:color w:val="auto"/>
        </w:rPr>
      </w:pPr>
      <w:r>
        <w:rPr>
          <w:rFonts w:ascii="Arial" w:cs="Arial" w:eastAsia="Arial" w:hAnsi="Arial"/>
          <w:sz w:val="14"/>
          <w:szCs w:val="14"/>
          <w:color w:val="auto"/>
        </w:rPr>
        <w:t xml:space="preserve">To the Stockholders and Board of Directors of PennantPark Investment Corporation and its Subsidiaries </w:t>
      </w:r>
      <w:r>
        <w:rPr>
          <w:rFonts w:ascii="Arial" w:cs="Arial" w:eastAsia="Arial" w:hAnsi="Arial"/>
          <w:sz w:val="14"/>
          <w:szCs w:val="14"/>
          <w:b w:val="1"/>
          <w:bCs w:val="1"/>
          <w:color w:val="auto"/>
        </w:rPr>
        <w:t>Results of Review of Interim Financial Statements</w:t>
      </w:r>
    </w:p>
    <w:p>
      <w:pPr>
        <w:spacing w:after="0" w:line="39"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We have reviewed the accompanying consolidated statement of assets and liabilities of PennantPark Investment Corporation and its Subsidiaries (collectively referred to as the Company), including the consolidated schedule of investments, as of March 31, 2021, and the related consolidated statements of operations and changes in net assets for the three-month and six-month periods ended March 31, 2021 and 2020, and cash flows for the six-month periods ended March 31, 2021 and 2020, and the related notes to the consolidated financial statements (collectively, the interim financial information or financial statements). Based on our reviews, we are not aware of any material modifications that should be made to the accompanying interim financial information for them to be in conformity with accounting principles generally accepted in the United States of America.</w:t>
      </w:r>
    </w:p>
    <w:p>
      <w:pPr>
        <w:spacing w:after="0" w:line="116"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2020, and the related consolidated statements of operations, changes in net assets, and cash flows for the year then ended (not presented herein), and in our report dated November 19, 2020, we expressed an unqualified opinion on those consolidated financial statements. In our opinion, the information set forth in the accompanying consolidated statement of assets and liabilities as of September 30, 2020, is fairly stated, in all material respects, in relation to the consolidated statement of assets and liabilities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221"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May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0" w:name="page31"/>
    <w:bookmarkEnd w:id="30"/>
    <w:p>
      <w:pPr>
        <w:spacing w:after="0"/>
        <w:tabs>
          <w:tab w:leader="none" w:pos="13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2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203" w:lineRule="exact"/>
        <w:rPr>
          <w:rFonts w:ascii="Arial" w:cs="Arial" w:eastAsia="Arial" w:hAnsi="Arial"/>
          <w:sz w:val="14"/>
          <w:szCs w:val="14"/>
          <w:color w:val="auto"/>
        </w:rPr>
      </w:pPr>
    </w:p>
    <w:p>
      <w:pPr>
        <w:ind w:left="920" w:right="600" w:hanging="372"/>
        <w:spacing w:after="0" w:line="253" w:lineRule="auto"/>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 including as a result of the current pandemic caused by the COVID-19 pandemic or any worsening thereof;</w:t>
      </w:r>
    </w:p>
    <w:p>
      <w:pPr>
        <w:spacing w:after="0" w:line="106" w:lineRule="exact"/>
        <w:rPr>
          <w:rFonts w:ascii="Arial" w:cs="Arial" w:eastAsia="Arial" w:hAnsi="Arial"/>
          <w:sz w:val="14"/>
          <w:szCs w:val="14"/>
          <w:color w:val="auto"/>
        </w:rPr>
      </w:pPr>
    </w:p>
    <w:p>
      <w:pPr>
        <w:ind w:left="920" w:right="340" w:hanging="372"/>
        <w:spacing w:after="0" w:line="253" w:lineRule="auto"/>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worsening thereof;</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ability to continue to effectively manage our business due to the significant disruptions caused by the current COVID-19 pandemic or any worsening thereof;</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the United Kingdom’s withdrawal from the European Union and other world economic and political issues.</w:t>
      </w:r>
    </w:p>
    <w:p>
      <w:pPr>
        <w:spacing w:after="0" w:line="285"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96" w:lineRule="exact"/>
        <w:rPr>
          <w:sz w:val="20"/>
          <w:szCs w:val="20"/>
          <w:color w:val="auto"/>
        </w:rPr>
      </w:pPr>
    </w:p>
    <w:p>
      <w:pPr>
        <w:jc w:val="both"/>
        <w:ind w:right="40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98"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98"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87"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217" w:lineRule="exact"/>
        <w:rPr>
          <w:sz w:val="20"/>
          <w:szCs w:val="20"/>
          <w:color w:val="auto"/>
        </w:rPr>
      </w:pPr>
    </w:p>
    <w:p>
      <w:pPr>
        <w:ind w:right="580" w:firstLine="438"/>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65" w:lineRule="exact"/>
        <w:rPr>
          <w:sz w:val="20"/>
          <w:szCs w:val="20"/>
          <w:color w:val="auto"/>
        </w:rPr>
      </w:pPr>
    </w:p>
    <w:p>
      <w:pPr>
        <w:ind w:right="320" w:firstLine="438"/>
        <w:spacing w:after="0" w:line="233" w:lineRule="auto"/>
        <w:rPr>
          <w:sz w:val="20"/>
          <w:szCs w:val="20"/>
          <w:color w:val="auto"/>
        </w:rPr>
      </w:pPr>
      <w:r>
        <w:rPr>
          <w:rFonts w:ascii="Arial" w:cs="Arial" w:eastAsia="Arial" w:hAnsi="Arial"/>
          <w:sz w:val="14"/>
          <w:szCs w:val="14"/>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1" w:name="page32"/>
    <w:bookmarkEnd w:id="31"/>
    <w:p>
      <w:pPr>
        <w:ind w:right="120"/>
        <w:spacing w:after="0" w:line="255" w:lineRule="auto"/>
        <w:rPr>
          <w:sz w:val="20"/>
          <w:szCs w:val="20"/>
          <w:color w:val="auto"/>
        </w:rPr>
      </w:pPr>
      <w:r>
        <w:rPr>
          <w:rFonts w:ascii="Arial" w:cs="Arial" w:eastAsia="Arial" w:hAnsi="Arial"/>
          <w:sz w:val="13"/>
          <w:szCs w:val="13"/>
          <w:color w:val="auto"/>
        </w:rPr>
        <w:t>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07"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217"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71"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SBIC II, our wholly 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96" w:lineRule="exact"/>
        <w:rPr>
          <w:sz w:val="20"/>
          <w:szCs w:val="20"/>
          <w:color w:val="auto"/>
        </w:rPr>
      </w:pPr>
    </w:p>
    <w:p>
      <w:pPr>
        <w:ind w:right="40" w:firstLine="438"/>
        <w:spacing w:after="0" w:line="271" w:lineRule="auto"/>
        <w:rPr>
          <w:sz w:val="20"/>
          <w:szCs w:val="20"/>
          <w:color w:val="auto"/>
        </w:rPr>
      </w:pPr>
      <w:r>
        <w:rPr>
          <w:rFonts w:ascii="Arial" w:cs="Arial" w:eastAsia="Arial" w:hAnsi="Arial"/>
          <w:sz w:val="12"/>
          <w:szCs w:val="12"/>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SBIC II under its investment management agreement. SBIC II’s investment management agreement does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II under its administration agreement with us. Our board of directors, a majority of whom are independent of us, provides overall supervision of our activities, and the Investment Adviser supervises our day-to-day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Developments</w:t>
      </w:r>
    </w:p>
    <w:p>
      <w:pPr>
        <w:spacing w:after="0" w:line="217" w:lineRule="exact"/>
        <w:rPr>
          <w:sz w:val="20"/>
          <w:szCs w:val="20"/>
          <w:color w:val="auto"/>
        </w:rPr>
      </w:pPr>
    </w:p>
    <w:p>
      <w:pPr>
        <w:ind w:right="160" w:firstLine="451"/>
        <w:spacing w:after="0" w:line="273" w:lineRule="auto"/>
        <w:rPr>
          <w:sz w:val="20"/>
          <w:szCs w:val="20"/>
          <w:color w:val="auto"/>
        </w:rPr>
      </w:pPr>
      <w:r>
        <w:rPr>
          <w:rFonts w:ascii="Arial" w:cs="Arial" w:eastAsia="Arial" w:hAnsi="Arial"/>
          <w:sz w:val="12"/>
          <w:szCs w:val="12"/>
          <w:color w:val="auto"/>
        </w:rPr>
        <w:t>COVID-19 was first detected in December 2019 and has since been identified as a global pandemic by the World Health Organization. The effect of the ongoing COVID-19 pandemic or any worsening thereof, uncertainty relating to more contagious strains of the virus, the length of economic recovery in the U.S. and globally and the speed and efficiency of the vaccination process may continue to create stress on the market and could continue to or in the future may affect our portfolio companies. We cannot predict with any level of certainty the full impact of the COVID-19 pandemic, including any worsening thereof or its duration in the United States and globally and any ongoing impact to our business operations or the business operations of our portfolio companies. Depending on the length and magnitude of the disruption to the operations of our portfolio companies, we expect that certain portfolio companies could experience financial distress and possibly default on their financial obligations to us and their other capital providers in the future. These developments could continue to impact the value of our investments in such portfolio companies.</w:t>
      </w:r>
    </w:p>
    <w:p>
      <w:pPr>
        <w:spacing w:after="0" w:line="179" w:lineRule="exact"/>
        <w:rPr>
          <w:sz w:val="20"/>
          <w:szCs w:val="20"/>
          <w:color w:val="auto"/>
        </w:rPr>
      </w:pPr>
    </w:p>
    <w:p>
      <w:pPr>
        <w:ind w:right="40" w:firstLine="451"/>
        <w:spacing w:after="0" w:line="233" w:lineRule="auto"/>
        <w:rPr>
          <w:sz w:val="20"/>
          <w:szCs w:val="20"/>
          <w:color w:val="auto"/>
        </w:rPr>
      </w:pPr>
      <w:r>
        <w:rPr>
          <w:rFonts w:ascii="Arial" w:cs="Arial" w:eastAsia="Arial" w:hAnsi="Arial"/>
          <w:sz w:val="14"/>
          <w:szCs w:val="14"/>
          <w:color w:val="auto"/>
        </w:rPr>
        <w:t>The COVID-19 pandemic, including any worsening thereof, may continue to have an adverse impact on the global economy and result in a period, however long, of global economic slowdown. Particularly, COVID-19 presents material uncertainty and risk with respect to our future performance and financial results as well as the future performance and financial results of our portfolio companies. While we are unable to predict the ultimate adverse effect of the COVID-19 pandemic, or any worsening thereof, on our results of operation, we have identified certain factors that are likely to affect market, economic and geopolitical conditions, and thereby may adversely affect our business, including:</w:t>
      </w:r>
    </w:p>
    <w:p>
      <w:pPr>
        <w:spacing w:after="0" w:line="77" w:lineRule="exact"/>
        <w:rPr>
          <w:sz w:val="20"/>
          <w:szCs w:val="20"/>
          <w:color w:val="auto"/>
        </w:rPr>
      </w:pPr>
    </w:p>
    <w:p>
      <w:pPr>
        <w:ind w:left="740" w:hanging="36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U.S. and global economic slowdowns;</w:t>
      </w:r>
    </w:p>
    <w:p>
      <w:pPr>
        <w:spacing w:after="0" w:line="55" w:lineRule="exact"/>
        <w:rPr>
          <w:rFonts w:ascii="Arial" w:cs="Arial" w:eastAsia="Arial" w:hAnsi="Arial"/>
          <w:sz w:val="14"/>
          <w:szCs w:val="14"/>
          <w:color w:val="auto"/>
        </w:rPr>
      </w:pPr>
    </w:p>
    <w:p>
      <w:pPr>
        <w:ind w:left="740" w:hanging="36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in interest rates, including LIBOR;</w:t>
      </w:r>
    </w:p>
    <w:p>
      <w:pPr>
        <w:spacing w:after="0" w:line="55" w:lineRule="exact"/>
        <w:rPr>
          <w:rFonts w:ascii="Arial" w:cs="Arial" w:eastAsia="Arial" w:hAnsi="Arial"/>
          <w:sz w:val="14"/>
          <w:szCs w:val="14"/>
          <w:color w:val="auto"/>
        </w:rPr>
      </w:pPr>
    </w:p>
    <w:p>
      <w:pPr>
        <w:ind w:left="740" w:hanging="36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limited availability of credit, both in the United States and internationally;</w:t>
      </w:r>
    </w:p>
    <w:p>
      <w:pPr>
        <w:spacing w:after="0" w:line="55" w:lineRule="exact"/>
        <w:rPr>
          <w:rFonts w:ascii="Arial" w:cs="Arial" w:eastAsia="Arial" w:hAnsi="Arial"/>
          <w:sz w:val="14"/>
          <w:szCs w:val="14"/>
          <w:color w:val="auto"/>
        </w:rPr>
      </w:pPr>
    </w:p>
    <w:p>
      <w:pPr>
        <w:ind w:left="740" w:hanging="36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disruptions to supply-chains and price volatility;</w:t>
      </w:r>
    </w:p>
    <w:p>
      <w:pPr>
        <w:spacing w:after="0" w:line="55" w:lineRule="exact"/>
        <w:rPr>
          <w:rFonts w:ascii="Arial" w:cs="Arial" w:eastAsia="Arial" w:hAnsi="Arial"/>
          <w:sz w:val="14"/>
          <w:szCs w:val="14"/>
          <w:color w:val="auto"/>
        </w:rPr>
      </w:pPr>
    </w:p>
    <w:p>
      <w:pPr>
        <w:ind w:left="740" w:hanging="36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to existing laws and regulations, or the imposition of new laws and regulations; and</w:t>
      </w:r>
    </w:p>
    <w:p>
      <w:pPr>
        <w:spacing w:after="0" w:line="55" w:lineRule="exact"/>
        <w:rPr>
          <w:rFonts w:ascii="Arial" w:cs="Arial" w:eastAsia="Arial" w:hAnsi="Arial"/>
          <w:sz w:val="14"/>
          <w:szCs w:val="14"/>
          <w:color w:val="auto"/>
        </w:rPr>
      </w:pPr>
    </w:p>
    <w:p>
      <w:pPr>
        <w:ind w:left="740" w:hanging="368"/>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uncertainty regarding future governmental and regulatory policies.</w:t>
      </w:r>
    </w:p>
    <w:p>
      <w:pPr>
        <w:spacing w:after="0" w:line="285" w:lineRule="exact"/>
        <w:rPr>
          <w:sz w:val="20"/>
          <w:szCs w:val="20"/>
          <w:color w:val="auto"/>
        </w:rPr>
      </w:pPr>
    </w:p>
    <w:p>
      <w:pPr>
        <w:ind w:right="60" w:firstLine="451"/>
        <w:spacing w:after="0" w:line="228" w:lineRule="auto"/>
        <w:rPr>
          <w:sz w:val="20"/>
          <w:szCs w:val="20"/>
          <w:color w:val="auto"/>
        </w:rPr>
      </w:pPr>
      <w:r>
        <w:rPr>
          <w:rFonts w:ascii="Arial" w:cs="Arial" w:eastAsia="Arial" w:hAnsi="Arial"/>
          <w:sz w:val="14"/>
          <w:szCs w:val="14"/>
          <w:color w:val="auto"/>
        </w:rPr>
        <w:t>The business disruption and financial harm resulting from COVID-19 experienced by our portfolio companies may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This has required us to reduce the amount of our distributions to stockholders as compared to distributions in the same quarter of the prior year. Although we had no non-accrual assets during the quarter ended March 31, 2021, the continuing impact of the COVID-19 pandemic, or any worsening thereof, may result in portfolio investments being placed on non-accrual status in the future.</w:t>
      </w:r>
    </w:p>
    <w:p>
      <w:pPr>
        <w:spacing w:after="0" w:line="198"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Additionally, as of March 31, 2021 and September 30, 2020, our asset coverage ratio, as computed in accordance with the 1940 Act, was 234% and 208%, respectively. The Truist Credit Facility includes standard covenants and events of default provisions. If we fail to make the required payments or breach the covenants therein, it could result in a default under the Truist Credit Facility. Failure to cure such default or obtain a waiver from the appropriate party would result in an event of default, and the lenders may accelerate the repayment of our indebtedness under the Truist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97"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We are also subject to financial risks, including changes in market interest rates. As of March 31, 2021, our debt portfolio consisted of 92%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Truist Credit Facility also has floating rate interest provisions, with pricing set at 225 basis points over LIBOR (or an alternative risk-free floating interest rate index). In connection with the COVID-19 pandemic, the U.S. Federal Reserve and other central banks have reduced interest rates, which has caused LIBOR to decrease. Due to such rates, our gross investment income may decrease, which could result in a decrease in our net investment income 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192"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In addition, we have continued to implement our business continuity planning strategy. Our priority has been to safeguard the health of our employees and to ensure continuity of business operations on behalf of our investors. As a result of our business continuity planning strategy, nearly all of our employees continue to work remotely. Our systems and infrastructure have continued to support our business operations. We implemented a heightened level of communication across senior management, our investment team and our board of directors, and we have proactively engaged with our vendors on a regular basis to ensure they continue to meet our criteria for business continuity.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i w:val="1"/>
          <w:iCs w:val="1"/>
          <w:color w:val="auto"/>
        </w:rPr>
        <w:t>Revenues</w:t>
      </w:r>
    </w:p>
    <w:p>
      <w:pPr>
        <w:spacing w:after="0" w:line="217" w:lineRule="exact"/>
        <w:rPr>
          <w:sz w:val="20"/>
          <w:szCs w:val="20"/>
          <w:color w:val="auto"/>
        </w:rPr>
      </w:pPr>
    </w:p>
    <w:p>
      <w:pPr>
        <w:ind w:firstLine="438"/>
        <w:spacing w:after="0" w:line="269" w:lineRule="auto"/>
        <w:rPr>
          <w:sz w:val="20"/>
          <w:szCs w:val="20"/>
          <w:color w:val="auto"/>
        </w:rPr>
      </w:pPr>
      <w:r>
        <w:rPr>
          <w:rFonts w:ascii="Arial" w:cs="Arial" w:eastAsia="Arial" w:hAnsi="Arial"/>
          <w:sz w:val="12"/>
          <w:szCs w:val="12"/>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21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98" w:lineRule="exact"/>
        <w:rPr>
          <w:sz w:val="20"/>
          <w:szCs w:val="20"/>
          <w:color w:val="auto"/>
        </w:rPr>
      </w:pPr>
    </w:p>
    <w:p>
      <w:pPr>
        <w:ind w:left="920" w:hanging="372"/>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100" w:hanging="372"/>
        <w:spacing w:after="0" w:line="253" w:lineRule="auto"/>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jc w:val="both"/>
        <w:ind w:left="920" w:right="80" w:hanging="372"/>
        <w:spacing w:after="0" w:line="264" w:lineRule="auto"/>
        <w:tabs>
          <w:tab w:leader="none" w:pos="9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82"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221" w:lineRule="exact"/>
        <w:rPr>
          <w:sz w:val="20"/>
          <w:szCs w:val="20"/>
          <w:color w:val="auto"/>
        </w:rPr>
      </w:pPr>
    </w:p>
    <w:p>
      <w:pPr>
        <w:ind w:right="180" w:firstLine="438"/>
        <w:spacing w:after="0" w:line="229" w:lineRule="auto"/>
        <w:rPr>
          <w:sz w:val="20"/>
          <w:szCs w:val="20"/>
          <w:color w:val="auto"/>
        </w:rPr>
      </w:pPr>
      <w:r>
        <w:rPr>
          <w:rFonts w:ascii="Arial" w:cs="Arial" w:eastAsia="Arial" w:hAnsi="Arial"/>
          <w:sz w:val="14"/>
          <w:szCs w:val="14"/>
          <w:color w:val="auto"/>
        </w:rPr>
        <w:t>As of March 31, 2021, our portfolio totaled $1,175.2 million, which consisted of $443.5 million of first lien secured debt, $194.6 million of second lien secured debt, $118.2 million of subordinated debt (including $64.2 million in PSLF) and $419.0 million of preferred and common equity (including $40.2 million in PSLF). Our debt portfolio consisted of 92% variable-rate investments. As of March 31, 2021, we did not have any portfolio companies on non-accrual. Overall, the portfolio had net unrealized appreciation of $42.9 million as of March 31, 2021. Our overall portfolio consisted of 83 companies with an average investment size of $14.2 million, had a weighted average yield on interest bearing debt investments of 9.3% and was invested 38% in first lien secured debt, 16% in second lien secured debt, 10% in subordinated debt (including 5% in PSLF) and 36% in preferred and common equity (including 3% in PSLF). As of March 31, 2021, all of the investments held by PSLF were first lien secured debt.</w:t>
      </w:r>
    </w:p>
    <w:p>
      <w:pPr>
        <w:spacing w:after="0" w:line="118"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As of September 30, 2020, our portfolio totaled $1,081.8 million, which consisted of $439.0 million of first lien secured debt, $220.8 million of second lien secured debt, $113.6 million of subordinated debt (including $63.0 million in PSLF) and $308.3 million of preferred and common equity (including $36.3 million in PSLF). Our debt portfolio consisted of 93% variable-rate investments. As of September 30, 2020, we had two portfolio companies on non-accrual, representing 4.9% and 3.4% of our overall portfolio on a cost and fair value basis, respectively. Overall, the portfolio had net unrealized depreciation of $83.8 million as of September 30, 2020. Our overall portfolio consisted of 80 companies with an average investment size of $13.5 million, had a weighted average yield on interest bearing debt investments of 8.9% and was invested 41% in first lien secured debt, 20% in second lien secured debt, 10% in subordinated debt (including 6% in PSLF) and 29% in preferred and common equity (including 3% in PSLF). As of September 30, 2020, all of the investments held by PSLF were first lien secured debt.</w:t>
      </w:r>
    </w:p>
    <w:p>
      <w:pPr>
        <w:spacing w:after="0" w:line="194" w:lineRule="exact"/>
        <w:rPr>
          <w:sz w:val="20"/>
          <w:szCs w:val="20"/>
          <w:color w:val="auto"/>
        </w:rPr>
      </w:pPr>
    </w:p>
    <w:p>
      <w:pPr>
        <w:jc w:val="both"/>
        <w:ind w:right="200" w:firstLine="438"/>
        <w:spacing w:after="0" w:line="296" w:lineRule="auto"/>
        <w:rPr>
          <w:sz w:val="20"/>
          <w:szCs w:val="20"/>
          <w:color w:val="auto"/>
        </w:rPr>
      </w:pPr>
      <w:r>
        <w:rPr>
          <w:rFonts w:ascii="Arial" w:cs="Arial" w:eastAsia="Arial" w:hAnsi="Arial"/>
          <w:sz w:val="12"/>
          <w:szCs w:val="12"/>
          <w:color w:val="auto"/>
        </w:rPr>
        <w:t>For the three months ended March 31, 2021, we invested $74.8 million in three new and eight existing portfolio companies with a weighted average yield on debt investments of 7.9%. Sales and repayments of investments for the three months ended March 31, 2021 totaled $65.0 million. For the six months ended March 31, 2021, we invested $143.0 million in seven new and 23 existing portfolio companies with a weighted average yield on debt investments of 8.8%. Sales and repayments of investments for the six months ended March 31, 2021 totaled $167.6 million.</w:t>
      </w:r>
    </w:p>
    <w:p>
      <w:pPr>
        <w:spacing w:after="0" w:line="164" w:lineRule="exact"/>
        <w:rPr>
          <w:sz w:val="20"/>
          <w:szCs w:val="20"/>
          <w:color w:val="auto"/>
        </w:rPr>
      </w:pPr>
    </w:p>
    <w:p>
      <w:pPr>
        <w:jc w:val="both"/>
        <w:ind w:right="60" w:firstLine="438"/>
        <w:spacing w:after="0" w:line="264" w:lineRule="auto"/>
        <w:rPr>
          <w:sz w:val="20"/>
          <w:szCs w:val="20"/>
          <w:color w:val="auto"/>
        </w:rPr>
      </w:pPr>
      <w:r>
        <w:rPr>
          <w:rFonts w:ascii="Arial" w:cs="Arial" w:eastAsia="Arial" w:hAnsi="Arial"/>
          <w:sz w:val="13"/>
          <w:szCs w:val="13"/>
          <w:color w:val="auto"/>
        </w:rPr>
        <w:t>For the three months ended March 31, 2020, we invested $106.8 million in eight new and 24 existing portfolio companies with a weighted average yield on debt investments of 8.2%. Sales and repayments of investments for the three months ended March 31, 2020 totaled $16.4 million. For the six months ended March 31, 2020, we invested $280.5 million in 21 new and 39 existing portfolio companies with a weighted average yield on debt investments of 8.6%. Sales and repayments of investments for the six months ended March 31, 2020 totaled $47.5 million.</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auto"/>
        </w:rPr>
        <w:t>PennantPark Senior Loan Fund, LLC</w:t>
      </w:r>
    </w:p>
    <w:p>
      <w:pPr>
        <w:spacing w:after="0" w:line="221" w:lineRule="exact"/>
        <w:rPr>
          <w:sz w:val="20"/>
          <w:szCs w:val="20"/>
          <w:color w:val="auto"/>
        </w:rPr>
      </w:pPr>
    </w:p>
    <w:p>
      <w:pPr>
        <w:ind w:firstLine="483"/>
        <w:spacing w:after="0" w:line="253" w:lineRule="auto"/>
        <w:rPr>
          <w:sz w:val="20"/>
          <w:szCs w:val="20"/>
          <w:color w:val="auto"/>
        </w:rPr>
      </w:pPr>
      <w:r>
        <w:rPr>
          <w:rFonts w:ascii="Arial" w:cs="Arial" w:eastAsia="Arial" w:hAnsi="Arial"/>
          <w:sz w:val="14"/>
          <w:szCs w:val="14"/>
          <w:color w:val="auto"/>
        </w:rPr>
        <w:t>As of March 31, 2021, PSLF’s portfolio totaled $381.7 million, consisted of 40 companies with an average investment size of $9.5 million and had a weighted average yield on debt investments of 7.3%.</w:t>
      </w:r>
    </w:p>
    <w:p>
      <w:pPr>
        <w:spacing w:after="0" w:line="187" w:lineRule="exact"/>
        <w:rPr>
          <w:sz w:val="20"/>
          <w:szCs w:val="20"/>
          <w:color w:val="auto"/>
        </w:rPr>
      </w:pPr>
    </w:p>
    <w:p>
      <w:pPr>
        <w:ind w:right="120" w:firstLine="483"/>
        <w:spacing w:after="0" w:line="253" w:lineRule="auto"/>
        <w:rPr>
          <w:sz w:val="20"/>
          <w:szCs w:val="20"/>
          <w:color w:val="auto"/>
        </w:rPr>
      </w:pPr>
      <w:r>
        <w:rPr>
          <w:rFonts w:ascii="Arial" w:cs="Arial" w:eastAsia="Arial" w:hAnsi="Arial"/>
          <w:sz w:val="14"/>
          <w:szCs w:val="14"/>
          <w:color w:val="auto"/>
        </w:rPr>
        <w:t>As of September 30, 2020, PSLF’s portfolio totaled $353.4 million, consisted of 37 companies with an average investment size of $9.6 million and had a weighted average yield on debt investments of 7.3%.</w:t>
      </w:r>
    </w:p>
    <w:p>
      <w:pPr>
        <w:spacing w:after="0" w:line="187" w:lineRule="exact"/>
        <w:rPr>
          <w:sz w:val="20"/>
          <w:szCs w:val="20"/>
          <w:color w:val="auto"/>
        </w:rPr>
      </w:pPr>
    </w:p>
    <w:p>
      <w:pPr>
        <w:ind w:right="100" w:firstLine="483"/>
        <w:spacing w:after="0" w:line="233" w:lineRule="auto"/>
        <w:rPr>
          <w:sz w:val="20"/>
          <w:szCs w:val="20"/>
          <w:color w:val="auto"/>
        </w:rPr>
      </w:pPr>
      <w:r>
        <w:rPr>
          <w:rFonts w:ascii="Arial" w:cs="Arial" w:eastAsia="Arial" w:hAnsi="Arial"/>
          <w:sz w:val="14"/>
          <w:szCs w:val="14"/>
          <w:color w:val="auto"/>
        </w:rPr>
        <w:t>For the three months ended March 31, 2021, PSLF invested $32.5 million (of which $15.5 million was purchased from the Company) in four new and two existing portfolio companies with a weighted average yield on debt investments of 8.0%. PSLF’s sales and repayments of investments for the same period totaled $4.9 million. For the six months ended March 31, 2021, PSLF invested $63.3 million (of which $37.8 million was purchased from the Company) in six new and six existing portfolio companies with a weighted average yield on debt investments of 7.5%. PSLF’s sales and repayments of investments for the same period totaled $40.7 million.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221" w:lineRule="exact"/>
        <w:rPr>
          <w:sz w:val="20"/>
          <w:szCs w:val="20"/>
          <w:color w:val="auto"/>
        </w:rPr>
      </w:pPr>
    </w:p>
    <w:p>
      <w:pPr>
        <w:ind w:right="12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and the global outbreak of COVID-19.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217" w:lineRule="exact"/>
        <w:rPr>
          <w:sz w:val="20"/>
          <w:szCs w:val="20"/>
          <w:color w:val="auto"/>
        </w:rPr>
      </w:pPr>
    </w:p>
    <w:p>
      <w:pPr>
        <w:ind w:right="120"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92" w:lineRule="exact"/>
        <w:rPr>
          <w:sz w:val="20"/>
          <w:szCs w:val="20"/>
          <w:color w:val="auto"/>
        </w:rPr>
      </w:pPr>
    </w:p>
    <w:p>
      <w:pPr>
        <w:ind w:right="32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65" w:lineRule="exact"/>
        <w:rPr>
          <w:sz w:val="20"/>
          <w:szCs w:val="20"/>
          <w:color w:val="auto"/>
        </w:rPr>
      </w:pPr>
    </w:p>
    <w:p>
      <w:pPr>
        <w:ind w:left="920" w:right="20" w:hanging="372"/>
        <w:spacing w:after="0" w:line="253" w:lineRule="auto"/>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87" w:lineRule="exact"/>
        <w:rPr>
          <w:rFonts w:ascii="Arial" w:cs="Arial" w:eastAsia="Arial" w:hAnsi="Arial"/>
          <w:sz w:val="14"/>
          <w:szCs w:val="14"/>
          <w:color w:val="auto"/>
        </w:rPr>
      </w:pPr>
    </w:p>
    <w:p>
      <w:pPr>
        <w:ind w:left="920" w:hanging="372"/>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203" w:lineRule="exact"/>
        <w:rPr>
          <w:rFonts w:ascii="Arial" w:cs="Arial" w:eastAsia="Arial" w:hAnsi="Arial"/>
          <w:sz w:val="14"/>
          <w:szCs w:val="14"/>
          <w:color w:val="auto"/>
        </w:rPr>
      </w:pPr>
    </w:p>
    <w:p>
      <w:pPr>
        <w:jc w:val="both"/>
        <w:ind w:left="920" w:right="80" w:hanging="372"/>
        <w:spacing w:after="0" w:line="264" w:lineRule="auto"/>
        <w:tabs>
          <w:tab w:leader="none" w:pos="9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40" w:hanging="372"/>
        <w:spacing w:after="0" w:line="238" w:lineRule="auto"/>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80" w:hanging="372"/>
        <w:spacing w:after="0" w:line="253" w:lineRule="auto"/>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87" w:lineRule="exact"/>
        <w:rPr>
          <w:sz w:val="20"/>
          <w:szCs w:val="20"/>
          <w:color w:val="auto"/>
        </w:rPr>
      </w:pPr>
    </w:p>
    <w:p>
      <w:pPr>
        <w:ind w:right="400" w:firstLine="438"/>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73" w:lineRule="exact"/>
        <w:rPr>
          <w:sz w:val="20"/>
          <w:szCs w:val="20"/>
          <w:color w:val="auto"/>
        </w:rPr>
      </w:pPr>
    </w:p>
    <w:p>
      <w:pPr>
        <w:jc w:val="both"/>
        <w:ind w:right="20"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17"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4" w:name="page35"/>
    <w:bookmarkEnd w:id="34"/>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65"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2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2024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98"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SBA debentures, our 2024 Notes and our Credit Facilities,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96"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Generally, 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Facilities. We elected to use the fair value option for the Credit Facilities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Facilities during for both the three and six months ended March 31, 2021 and 2020.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us to display the fair value of the selected assets and liabilities on the face of the Consolidated Statements of Assets and Liabilities and changes in fair value of the Credit Facilities are reported in our Consolidated Statements of Operations. We elected not to apply ASC 825-10 to any other financial assets or liabilities, including the 2024 Notes and the SBA debentures.</w:t>
      </w:r>
    </w:p>
    <w:p>
      <w:pPr>
        <w:spacing w:after="0" w:line="197"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For the three and six months ended March 31, 2021, the Truist Credit Facility had a net change in unrealized appreciation of $3.8 million and $16.9 million, respectively. For the three and six months ended March 31, 2020, our Credit Facilities had a net change in unrealized depreciation of $48.9 million and $46.4 million, respectively. As of March 31, 2021 and September 30, 2020, the net unrealized depreciation on the Truist Credit Facility totaled $2.7 million and $19.6 million, respectively. We use a nationally recognized independent valuation service to measure the fair value of our Credit Facilities in a manner consistent with the valuation process that our board of directors uses to value our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217" w:lineRule="exact"/>
        <w:rPr>
          <w:sz w:val="20"/>
          <w:szCs w:val="20"/>
          <w:color w:val="auto"/>
        </w:rPr>
      </w:pPr>
    </w:p>
    <w:p>
      <w:pPr>
        <w:ind w:right="100" w:firstLine="496"/>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our Credit Facilities during the reporting period, including any reversal of previously recorded unrealized appreciation or depreciation, when gains or losses are realized.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217" w:lineRule="exact"/>
        <w:rPr>
          <w:sz w:val="20"/>
          <w:szCs w:val="20"/>
          <w:color w:val="auto"/>
        </w:rPr>
      </w:pPr>
    </w:p>
    <w:p>
      <w:pPr>
        <w:ind w:left="920" w:hanging="372"/>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284" w:lineRule="exact"/>
        <w:rPr>
          <w:rFonts w:ascii="Arial" w:cs="Arial" w:eastAsia="Arial" w:hAnsi="Arial"/>
          <w:sz w:val="14"/>
          <w:szCs w:val="14"/>
          <w:color w:val="auto"/>
        </w:rPr>
      </w:pPr>
    </w:p>
    <w:p>
      <w:pPr>
        <w:ind w:left="920" w:hanging="372"/>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85" w:lineRule="exact"/>
        <w:rPr>
          <w:sz w:val="20"/>
          <w:szCs w:val="20"/>
          <w:color w:val="auto"/>
        </w:rPr>
      </w:pPr>
    </w:p>
    <w:p>
      <w:pPr>
        <w:jc w:val="both"/>
        <w:ind w:right="28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PIK Interest</w:t>
      </w:r>
    </w:p>
    <w:p>
      <w:pPr>
        <w:spacing w:after="0" w:line="217"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217"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88"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U.S.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92" w:lineRule="exact"/>
        <w:rPr>
          <w:sz w:val="20"/>
          <w:szCs w:val="20"/>
          <w:color w:val="auto"/>
        </w:rPr>
      </w:pPr>
    </w:p>
    <w:p>
      <w:pPr>
        <w:ind w:firstLine="438"/>
        <w:spacing w:after="0" w:line="296" w:lineRule="auto"/>
        <w:rPr>
          <w:sz w:val="20"/>
          <w:szCs w:val="20"/>
          <w:color w:val="auto"/>
        </w:rPr>
      </w:pPr>
      <w:r>
        <w:rPr>
          <w:rFonts w:ascii="Arial" w:cs="Arial" w:eastAsia="Arial" w:hAnsi="Arial"/>
          <w:sz w:val="12"/>
          <w:szCs w:val="12"/>
          <w:color w:val="auto"/>
        </w:rPr>
        <w:t>Because federal income tax regulations differ from GAAP, distributions characterized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64" w:lineRule="exact"/>
        <w:rPr>
          <w:sz w:val="20"/>
          <w:szCs w:val="20"/>
          <w:color w:val="auto"/>
        </w:rPr>
      </w:pPr>
    </w:p>
    <w:p>
      <w:pPr>
        <w:ind w:right="140" w:firstLine="438"/>
        <w:spacing w:after="0" w:line="335" w:lineRule="auto"/>
        <w:rPr>
          <w:sz w:val="20"/>
          <w:szCs w:val="20"/>
          <w:color w:val="auto"/>
        </w:rPr>
      </w:pPr>
      <w:r>
        <w:rPr>
          <w:rFonts w:ascii="Arial" w:cs="Arial" w:eastAsia="Arial" w:hAnsi="Arial"/>
          <w:sz w:val="12"/>
          <w:szCs w:val="12"/>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and six months ended March 31, 2021 and 2020.</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217" w:lineRule="exact"/>
        <w:rPr>
          <w:sz w:val="20"/>
          <w:szCs w:val="20"/>
          <w:color w:val="auto"/>
        </w:rPr>
      </w:pPr>
    </w:p>
    <w:p>
      <w:pPr>
        <w:ind w:right="100" w:firstLine="438"/>
        <w:spacing w:after="0" w:line="251" w:lineRule="auto"/>
        <w:rPr>
          <w:sz w:val="20"/>
          <w:szCs w:val="20"/>
          <w:color w:val="auto"/>
        </w:rPr>
      </w:pPr>
      <w:r>
        <w:rPr>
          <w:rFonts w:ascii="Arial" w:cs="Arial" w:eastAsia="Arial" w:hAnsi="Arial"/>
          <w:sz w:val="13"/>
          <w:szCs w:val="13"/>
          <w:color w:val="auto"/>
        </w:rPr>
        <w:t>Investment income for the three and six months ended March 31, 2021 was $19.2 million and $38.0 million, respectively, which was attributable to $10.9 million and $22.1 million from first lien secured debt, $5.8 million and $10.6 million from second lien secured debt, $1.7 million and $3.4 million from subordinated debt and $0.9 million and $1.9 million from preferred and common equity, respectively. This compares to investment income for the three and six months ended March 31, 2020 of $27.5 million and $53.5 million, respectively, and was attributable to $17.5 million and $33.5 million from first lien secured debt, $7.7 million and $15.4 million from second lien secured debt and $2.3 million and $4.6 million from subordinated debt, respectively. The decrease in investment income compared to the same periods in the prior year was primarily due to decreases in the size of our debt portfolio and LIBOR.</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217" w:lineRule="exact"/>
        <w:rPr>
          <w:sz w:val="20"/>
          <w:szCs w:val="20"/>
          <w:color w:val="auto"/>
        </w:rPr>
      </w:pPr>
    </w:p>
    <w:p>
      <w:pPr>
        <w:ind w:right="60" w:firstLine="438"/>
        <w:spacing w:after="0" w:line="248" w:lineRule="auto"/>
        <w:rPr>
          <w:sz w:val="20"/>
          <w:szCs w:val="20"/>
          <w:color w:val="auto"/>
        </w:rPr>
      </w:pPr>
      <w:r>
        <w:rPr>
          <w:rFonts w:ascii="Arial" w:cs="Arial" w:eastAsia="Arial" w:hAnsi="Arial"/>
          <w:sz w:val="13"/>
          <w:szCs w:val="13"/>
          <w:color w:val="auto"/>
        </w:rPr>
        <w:t>Expenses for the three and six months ended March 31, 2021 totaled $10.5 million and $20.9 million, respectively. Base management fee for the same periods totaled $4.3 million and $8.4 million, debt related interest and expenses totaled $4.9 million and $9.9 million, general and administrative expenses totaled $1.1 million and $2.3 million and provision for taxes totaled $0.2 million and $0.3 million, respectively. This compares to net expenses for the three and six months ended March 31, 2020, which totaled $17.2 million and $33.0 million, respectively. Base management fee for the same periods totaled $4.9 million and $9.6 million, incentive fee totaled $1.9 million and $2.7 million, debt related interest and expenses totaled $9.0 million and $17.8 million, general and administrative expenses totaled $1.2 million and $2.3 million and provision for taxes totaled $0.3 million and $0.6 million, respectively. The decrease in expenses for the three and six months ended March 31, 2021 compared to the same period in the prior year was primarily due to lower leverage costs and lower Management Fees.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Net investment income totaled $8.8 million and $17.1 million, or $0.13 and $0.25 per share, for the three and six months ended March 31, 2021, respectively. Net investment income totaled</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$10.3 million and $20.5 million, or $0.15 and $0.31 per share, for the three and six months ended March 31, 2020, respectively. The decrease in net investment income compared to the same periods in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the prior year was primarily due to lower investment income.</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217"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Sales and repayments of investments for the three and six months ended March 31, 2021 totaled $65.0 million and $167.6 million, respectively, and net realized gains (losses) totaled $0.3 million and ($17.3) million, respectively. Sales and repayments of investments for the three and six months ended March 31, 2020 totaled $16.4 million and $47.5 million, respectively, and net realized gains (losses) totaled $1.4 million and ($10.6) million, respectively. The change in realized gains/losses was primarily due to changes in the market conditions of our investments and the values at which they were realized.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the Credit Facilities</w:t>
      </w:r>
    </w:p>
    <w:p>
      <w:pPr>
        <w:spacing w:after="0" w:line="217"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For the three and six months ended March 31, 2021, we reported net change in unrealized appreciation on investments of $33.2 million and $126.7 million, respectively. For the three and six months ended March 31, 2020, we reported net change in unrealized depreciation on investments of $121.0 million and $97.3 million, respectively. As of March 31, 2021 and September 30, 2020, our net unrealized appreciation (depreciation) on investments totaled $42.9 million and ($83.8) million, respectively. The net change in unrealized appreciation/depreciation on our investments compared to the same period in the prior year was primarily due to unrealized gains in our equity co-investment program, including ITC Rumba, LLC (Cano Health, LLC).</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36" w:name="page37"/>
    <w:bookmarkEnd w:id="36"/>
    <w:p>
      <w:pPr>
        <w:ind w:right="40" w:firstLine="438"/>
        <w:spacing w:after="0" w:line="233" w:lineRule="auto"/>
        <w:rPr>
          <w:sz w:val="20"/>
          <w:szCs w:val="20"/>
          <w:color w:val="auto"/>
        </w:rPr>
      </w:pPr>
      <w:r>
        <w:rPr>
          <w:rFonts w:ascii="Arial" w:cs="Arial" w:eastAsia="Arial" w:hAnsi="Arial"/>
          <w:sz w:val="14"/>
          <w:szCs w:val="14"/>
          <w:color w:val="auto"/>
        </w:rPr>
        <w:t>For the three and six months ended March 31, 2021, the Truist Credit Facility had a net change in unrealized appreciation of $3.8 million and $16.9 million, respectively. For the three and six months ended March 31, 2020, our Credit Facilities had a net change in unrealized depreciation of $48.9 million and $46.4 million, respectively, respectively. As of March 31, 2021 and September 30, 2020, the net unrealized depreciation on the Credit Facilities totaled $2.7 million and $19.6 million, respectively. The net change in unrealized depreciation compared to the same periods in the prior year was primarily due to changes in the capital markets.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217"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Net change in net assets resulting from operations totaled $38.5 million and $109.6 million, or $0.57 and $1.64 per share, for the three and six months ended March 31, 2021, respectively. Net change in net assets resulting from operations totaled ($60.3) million and ($41.1) million, or ($0.90) and ($0.61) per share, for the three and six months ended March 31, 2020. The increase in the net change in net assets from operations for the three and six months ended March 31, 2021 compared to the same periods in the prior year was primarily due to unrealized gains in our equity co-investment program, including ITC Rumba, LLC (Cano Health, LLC).</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21" w:lineRule="exact"/>
        <w:rPr>
          <w:sz w:val="20"/>
          <w:szCs w:val="20"/>
          <w:color w:val="auto"/>
        </w:rPr>
      </w:pPr>
    </w:p>
    <w:p>
      <w:pPr>
        <w:ind w:right="120" w:firstLine="438"/>
        <w:spacing w:after="0" w:line="229"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March 31, 2021,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“COVID-19 Developments” section above.</w:t>
      </w:r>
    </w:p>
    <w:p>
      <w:pPr>
        <w:spacing w:after="0" w:line="199"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March 31, 2021 and September 30, 2020, our asset coverage ratio, as computed in accordance with the 1940 Act, was 234% and 208%, respectively.</w:t>
      </w:r>
    </w:p>
    <w:p>
      <w:pPr>
        <w:spacing w:after="0" w:line="188" w:lineRule="exact"/>
        <w:rPr>
          <w:sz w:val="20"/>
          <w:szCs w:val="20"/>
          <w:color w:val="auto"/>
        </w:rPr>
      </w:pPr>
    </w:p>
    <w:p>
      <w:pPr>
        <w:ind w:right="260" w:firstLine="438"/>
        <w:spacing w:after="0" w:line="253" w:lineRule="auto"/>
        <w:rPr>
          <w:sz w:val="20"/>
          <w:szCs w:val="20"/>
          <w:color w:val="auto"/>
        </w:rPr>
      </w:pPr>
      <w:r>
        <w:rPr>
          <w:rFonts w:ascii="Arial" w:cs="Arial" w:eastAsia="Arial" w:hAnsi="Arial"/>
          <w:sz w:val="14"/>
          <w:szCs w:val="14"/>
          <w:color w:val="auto"/>
        </w:rPr>
        <w:t>The annualized weighted average cost of debt for the six months ended March 31, 2021 and 2020, inclusive of the fee on the undrawn commitment under the Credit Facilities and amortized upfront fees on SBA debentures, was 3.5% and 5.1%, respectively.</w:t>
      </w:r>
    </w:p>
    <w:p>
      <w:pPr>
        <w:spacing w:after="0" w:line="187"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On February 22, 2019, Funding I closed the BNP Credit Facility for up to $250.0 million (increased to $275.0 million as of November 6, 2020) in borrowings with certain lenders and BNP Paribas, as administrative agent, and The Bank of New York Mellon Trust Company, N.A., as collateral agent. As of July 31, 2020, Funding I is no longer a subsidiary of the Company consolidated in our financial statements and thus the BNP Credit Facility is no longer presented on the Statement of Assets and Liabilities (See Note 4). The BNP Credit Facility is secured by all of the assets of Funding I. Prior to deconsolidation on July 31, 2020, we owned 100% of the equity interest in Funding I and treat the indebtedness of Funding I as our leverage. Our Investment Adviser serves as the servicer to Funding I in connection with the BNP Credit Facility.</w:t>
      </w:r>
    </w:p>
    <w:p>
      <w:pPr>
        <w:spacing w:after="0" w:line="197" w:lineRule="exact"/>
        <w:rPr>
          <w:sz w:val="20"/>
          <w:szCs w:val="20"/>
          <w:color w:val="auto"/>
        </w:rPr>
      </w:pPr>
    </w:p>
    <w:p>
      <w:pPr>
        <w:ind w:right="20" w:firstLine="438"/>
        <w:spacing w:after="0" w:line="227" w:lineRule="auto"/>
        <w:rPr>
          <w:sz w:val="20"/>
          <w:szCs w:val="20"/>
          <w:color w:val="auto"/>
        </w:rPr>
      </w:pPr>
      <w:r>
        <w:rPr>
          <w:rFonts w:ascii="Arial" w:cs="Arial" w:eastAsia="Arial" w:hAnsi="Arial"/>
          <w:sz w:val="14"/>
          <w:szCs w:val="14"/>
          <w:color w:val="auto"/>
        </w:rPr>
        <w:t>As of March 31, 2021, we had the multi-currency Truist Credit Facility for up to $475.0 million in borrowings with certain lenders and Truist Bank, acting as administrative agent, and JPMorgan Chase Bank, N.A., acting as syndication agent for the lenders. As of March 31, 2021 and September 30, 2020, we had $375.5 million and $388.3 million, respectively, in outstanding borrowings under the Truist Credit Facility. The Truist Credit Facility had a weighted average interest rate of 2.5% and 2.5%, exclusive of the fee on undrawn commitments, as of March 31, 2021 and September 30, 2020, respectively. The Truist Credit Facility is a revolving facility with a stated maturity date of September 4, 2024 ($40.0 million of the $475 million commitment will mature May 25, 2022), a one-year term-out period on September 4, 2023 ($40.0 million of the $475 million commitment has a one-year term-out period on May 25, 2021) and pricing set at 225 basis points over LIBOR (or an alternative risk-free interest rate index). As of March 31, 2021 and September 30, 2020, we had $99.5 million and $86.7 million of unused borrowing capacity under the Truist Credit Facility, respectively, subject to leverage and borrowing base restrictions. The Truist Credit Facility is secured by substantially all of our assets excluding assets held by SBIC II. As of March 31, 2021, we were in compliance with the terms of the Truist Credit Facility.</w:t>
      </w:r>
    </w:p>
    <w:p>
      <w:pPr>
        <w:spacing w:after="0" w:line="118"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 xml:space="preserve">As of March 31, 2021, we had $86.3 million in aggregate principal amount of 2024 Notes outstanding. Interest on the 2024 Notes is paid quarterly on January 15, April 15, July 15 and October 15, at a rate of 5.50% per year, commencing January 15, 2020. The 2024 Notes mature on October 15, 2024. The 2024 Notes are direct unsecured obligations and rank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in right of payment with future unsecured unsubordinated indebtedness. The 2024 Notes are structurally subordinated to all existing and future indebtedness and other obligations of any of our subsidiaries, financing vehicles, or similar facilities. The 2024 Notes may be redeemed in whole or in part at our option on or after October 15, 2021 at a redemption price of 100% of the outstanding principal amount of the 2024 Notes plus accrued and unpaid interest.</w:t>
      </w:r>
    </w:p>
    <w:p>
      <w:pPr>
        <w:spacing w:after="0" w:line="19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the Truist Credit Facility and SBA debentures. Furthermore, the Truist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97" w:lineRule="exact"/>
        <w:rPr>
          <w:sz w:val="20"/>
          <w:szCs w:val="20"/>
          <w:color w:val="auto"/>
        </w:rPr>
      </w:pPr>
    </w:p>
    <w:p>
      <w:pPr>
        <w:ind w:right="40" w:firstLine="438"/>
        <w:spacing w:after="0" w:line="251" w:lineRule="auto"/>
        <w:rPr>
          <w:sz w:val="20"/>
          <w:szCs w:val="20"/>
          <w:color w:val="auto"/>
        </w:rPr>
      </w:pPr>
      <w:r>
        <w:rPr>
          <w:rFonts w:ascii="Arial" w:cs="Arial" w:eastAsia="Arial" w:hAnsi="Arial"/>
          <w:sz w:val="13"/>
          <w:szCs w:val="13"/>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$108.5 million and $118.5 million as of March 31, 2021 and September 30, 2020,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up to a maximum of $175.0 million, which is up to twice its potential regulatory capital, and as part of a group of SBICs under common control may borrow a maximum of $350 million in the aggregate.</w:t>
      </w:r>
    </w:p>
    <w:p>
      <w:pPr>
        <w:spacing w:after="0" w:line="190" w:lineRule="exact"/>
        <w:rPr>
          <w:sz w:val="20"/>
          <w:szCs w:val="20"/>
          <w:color w:val="auto"/>
        </w:rPr>
      </w:pPr>
    </w:p>
    <w:p>
      <w:pPr>
        <w:jc w:val="both"/>
        <w:ind w:firstLine="438"/>
        <w:spacing w:after="0" w:line="233" w:lineRule="auto"/>
        <w:rPr>
          <w:sz w:val="20"/>
          <w:szCs w:val="20"/>
          <w:color w:val="auto"/>
        </w:rPr>
      </w:pPr>
      <w:r>
        <w:rPr>
          <w:rFonts w:ascii="Arial" w:cs="Arial" w:eastAsia="Arial" w:hAnsi="Arial"/>
          <w:sz w:val="14"/>
          <w:szCs w:val="14"/>
          <w:color w:val="auto"/>
        </w:rPr>
        <w:t>As of both March 31, 2021 and September 30, 2020, SBIC II had an initial $150.0 million in debt commitments, all of which were drawn. During both the three and six months ended March 31, 2021, $10.0 million in SBA debentures were repaid. During the three and six months ended March 31, 2020, zero and $16.5 million in SBA debentures were repaid, respectively. As of March 31, 2021 and September 30, 2020, the unamortized fees on the SBA debentures were $2.4 million and $2.7 million, respectively. The SBA debentures’ upfront fees of 3.4% consist of a commitment fee of 1.0% and an issuance discount of 2.4%, which are being amortized.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37" w:name="page38"/>
    <w:bookmarkEnd w:id="37"/>
    <w:p>
      <w:pPr>
        <w:ind w:left="440"/>
        <w:spacing w:after="0"/>
        <w:rPr>
          <w:sz w:val="20"/>
          <w:szCs w:val="20"/>
          <w:color w:val="auto"/>
        </w:rPr>
      </w:pPr>
      <w:r>
        <w:rPr>
          <w:rFonts w:ascii="Arial" w:cs="Arial" w:eastAsia="Arial" w:hAnsi="Arial"/>
          <w:sz w:val="14"/>
          <w:szCs w:val="14"/>
          <w:color w:val="auto"/>
        </w:rPr>
        <w:t>Our fixed-rate SBA debentures as of March 31, 2021 and September 30, 2020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14"/>
                <w:szCs w:val="14"/>
                <w:color w:val="auto"/>
              </w:rPr>
            </w:pPr>
          </w:p>
        </w:tc>
        <w:tc>
          <w:tcPr>
            <w:tcW w:w="21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14"/>
                <w:szCs w:val="14"/>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6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As of March 31, 2021</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C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4"/>
              </w:rPr>
              <w:t>Principal Balance</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2.9%</w:t>
            </w: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2027</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2.9</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27,500,000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21, 2018</w:t>
            </w:r>
          </w:p>
        </w:tc>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shd w:val="clear" w:color="auto" w:fill="CCECFF"/>
          </w:tcPr>
          <w:p>
            <w:pPr>
              <w:ind w:left="1860"/>
              <w:spacing w:after="0"/>
              <w:rPr>
                <w:sz w:val="20"/>
                <w:szCs w:val="20"/>
                <w:color w:val="auto"/>
              </w:rPr>
            </w:pPr>
            <w:r>
              <w:rPr>
                <w:rFonts w:ascii="Arial" w:cs="Arial" w:eastAsia="Arial" w:hAnsi="Arial"/>
                <w:sz w:val="14"/>
                <w:szCs w:val="14"/>
                <w:color w:val="auto"/>
                <w:w w:val="92"/>
              </w:rPr>
              <w:t>3.5</w:t>
            </w:r>
          </w:p>
        </w:tc>
        <w:tc>
          <w:tcPr>
            <w:tcW w:w="46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2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58,500,000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2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3.2%</w:t>
            </w: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2200" w:type="dxa"/>
            <w:vAlign w:val="bottom"/>
          </w:tcPr>
          <w:p>
            <w:pPr>
              <w:jc w:val="right"/>
              <w:spacing w:after="0" w:line="155" w:lineRule="exact"/>
              <w:rPr>
                <w:sz w:val="20"/>
                <w:szCs w:val="20"/>
                <w:color w:val="auto"/>
              </w:rPr>
            </w:pPr>
            <w:r>
              <w:rPr>
                <w:rFonts w:ascii="Arial" w:cs="Arial" w:eastAsia="Arial" w:hAnsi="Arial"/>
                <w:sz w:val="14"/>
                <w:szCs w:val="14"/>
                <w:color w:val="auto"/>
              </w:rPr>
              <w:t>108,500,000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216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2060" w:type="dxa"/>
            <w:vAlign w:val="bottom"/>
            <w:tcBorders>
              <w:top w:val="single" w:sz="8" w:color="auto"/>
            </w:tcBorders>
            <w:shd w:val="clear" w:color="auto" w:fill="CCECFF"/>
          </w:tcPr>
          <w:p>
            <w:pPr>
              <w:spacing w:after="0"/>
              <w:rPr>
                <w:sz w:val="12"/>
                <w:szCs w:val="12"/>
                <w:color w:val="auto"/>
              </w:rPr>
            </w:pPr>
          </w:p>
        </w:tc>
        <w:tc>
          <w:tcPr>
            <w:tcW w:w="460" w:type="dxa"/>
            <w:vAlign w:val="bottom"/>
            <w:tcBorders>
              <w:top w:val="single" w:sz="8" w:color="CCECFF"/>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spacing w:after="0"/>
              <w:rPr>
                <w:sz w:val="12"/>
                <w:szCs w:val="12"/>
                <w:color w:val="auto"/>
              </w:rPr>
            </w:pPr>
          </w:p>
        </w:tc>
        <w:tc>
          <w:tcPr>
            <w:tcW w:w="2200" w:type="dxa"/>
            <w:vAlign w:val="bottom"/>
            <w:tcBorders>
              <w:top w:val="single" w:sz="8" w:color="auto"/>
            </w:tcBorders>
            <w:shd w:val="clear" w:color="auto" w:fill="CCECFF"/>
          </w:tcPr>
          <w:p>
            <w:pPr>
              <w:spacing w:after="0"/>
              <w:rPr>
                <w:sz w:val="12"/>
                <w:szCs w:val="12"/>
                <w:color w:val="auto"/>
              </w:rPr>
            </w:pPr>
          </w:p>
        </w:tc>
        <w:tc>
          <w:tcPr>
            <w:tcW w:w="6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12"/>
                <w:szCs w:val="12"/>
                <w:color w:val="auto"/>
              </w:rPr>
            </w:pPr>
          </w:p>
        </w:tc>
        <w:tc>
          <w:tcPr>
            <w:tcW w:w="21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12"/>
                <w:szCs w:val="12"/>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6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226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0"/>
              </w:rPr>
              <w:t>As of September 30, 2020</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4"/>
              </w:rPr>
              <w:t>Principal Balance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tcPr>
          <w:p>
            <w:pPr>
              <w:spacing w:after="0"/>
              <w:rPr>
                <w:sz w:val="13"/>
                <w:szCs w:val="13"/>
                <w:color w:val="auto"/>
              </w:rPr>
            </w:pPr>
          </w:p>
        </w:tc>
        <w:tc>
          <w:tcPr>
            <w:tcW w:w="2160" w:type="dxa"/>
            <w:vAlign w:val="bottom"/>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tcPr>
          <w:p>
            <w:pPr>
              <w:spacing w:after="0"/>
              <w:rPr>
                <w:sz w:val="13"/>
                <w:szCs w:val="13"/>
                <w:color w:val="auto"/>
              </w:rPr>
            </w:pPr>
          </w:p>
        </w:tc>
        <w:tc>
          <w:tcPr>
            <w:tcW w:w="252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2.9%</w:t>
            </w: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2200" w:type="dxa"/>
            <w:vAlign w:val="bottom"/>
          </w:tcPr>
          <w:p>
            <w:pPr>
              <w:jc w:val="right"/>
              <w:spacing w:after="0" w:line="155" w:lineRule="exact"/>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2026</w:t>
            </w:r>
          </w:p>
        </w:tc>
        <w:tc>
          <w:tcPr>
            <w:tcW w:w="206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2"/>
              </w:rPr>
              <w:t>2.4</w:t>
            </w:r>
          </w:p>
        </w:tc>
        <w:tc>
          <w:tcPr>
            <w:tcW w:w="4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2027</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2.9</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27,500,000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21, 2018</w:t>
            </w:r>
          </w:p>
        </w:tc>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shd w:val="clear" w:color="auto" w:fill="CCECFF"/>
          </w:tcPr>
          <w:p>
            <w:pPr>
              <w:ind w:left="1860"/>
              <w:spacing w:after="0"/>
              <w:rPr>
                <w:sz w:val="20"/>
                <w:szCs w:val="20"/>
                <w:color w:val="auto"/>
              </w:rPr>
            </w:pPr>
            <w:r>
              <w:rPr>
                <w:rFonts w:ascii="Arial" w:cs="Arial" w:eastAsia="Arial" w:hAnsi="Arial"/>
                <w:sz w:val="14"/>
                <w:szCs w:val="14"/>
                <w:color w:val="auto"/>
                <w:w w:val="92"/>
              </w:rPr>
              <w:t>3.5</w:t>
            </w:r>
          </w:p>
        </w:tc>
        <w:tc>
          <w:tcPr>
            <w:tcW w:w="46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2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58,500,000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3.2%</w:t>
            </w: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2200" w:type="dxa"/>
            <w:vAlign w:val="bottom"/>
          </w:tcPr>
          <w:p>
            <w:pPr>
              <w:jc w:val="right"/>
              <w:spacing w:after="0" w:line="155" w:lineRule="exact"/>
              <w:rPr>
                <w:sz w:val="20"/>
                <w:szCs w:val="20"/>
                <w:color w:val="auto"/>
              </w:rPr>
            </w:pPr>
            <w:r>
              <w:rPr>
                <w:rFonts w:ascii="Arial" w:cs="Arial" w:eastAsia="Arial" w:hAnsi="Arial"/>
                <w:sz w:val="14"/>
                <w:szCs w:val="14"/>
                <w:color w:val="auto"/>
              </w:rPr>
              <w:t>118,500,000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2"/>
          <w:szCs w:val="12"/>
          <w:color w:val="auto"/>
        </w:rPr>
      </w:pPr>
      <w:r>
        <w:rPr>
          <w:rFonts w:ascii="Arial" w:cs="Arial" w:eastAsia="Arial" w:hAnsi="Arial"/>
          <w:sz w:val="14"/>
          <w:szCs w:val="14"/>
          <w:color w:val="auto"/>
        </w:rPr>
        <w:t>Excluding 3.4%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03"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March 31, 2021, SBIC II was in compliance with its regulatory requirements.</w:t>
      </w:r>
    </w:p>
    <w:p>
      <w:pPr>
        <w:spacing w:after="0" w:line="197" w:lineRule="exact"/>
        <w:rPr>
          <w:sz w:val="20"/>
          <w:szCs w:val="20"/>
          <w:color w:val="auto"/>
        </w:rPr>
      </w:pPr>
    </w:p>
    <w:p>
      <w:pPr>
        <w:ind w:right="80" w:firstLine="438"/>
        <w:spacing w:after="0" w:line="283" w:lineRule="auto"/>
        <w:rPr>
          <w:sz w:val="20"/>
          <w:szCs w:val="20"/>
          <w:color w:val="auto"/>
        </w:rPr>
      </w:pPr>
      <w:r>
        <w:rPr>
          <w:rFonts w:ascii="Arial" w:cs="Arial" w:eastAsia="Arial" w:hAnsi="Arial"/>
          <w:sz w:val="12"/>
          <w:szCs w:val="12"/>
          <w:color w:val="auto"/>
        </w:rPr>
        <w:t>In accordance with the 1940 Act, with certain limited exceptions, PennantPark Investment is only allowed to borrow amounts such that our required 150% asset coverage ratio is met after such borrowing. As of March 31, 2021 and September 30, 2020,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173"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As of March 31, 2021 and September 30, 2020, we had cash and cash equivalents of $33.9 million and $25.8 million, respectively, available for investing and general corporate purposes. We believe our liquidity and capital resources are sufficient to take advantage of market opportunities.</w:t>
      </w:r>
    </w:p>
    <w:p>
      <w:pPr>
        <w:spacing w:after="0" w:line="187" w:lineRule="exact"/>
        <w:rPr>
          <w:sz w:val="20"/>
          <w:szCs w:val="20"/>
          <w:color w:val="auto"/>
        </w:rPr>
      </w:pPr>
    </w:p>
    <w:p>
      <w:pPr>
        <w:ind w:right="320" w:firstLine="438"/>
        <w:spacing w:after="0" w:line="290" w:lineRule="auto"/>
        <w:rPr>
          <w:sz w:val="20"/>
          <w:szCs w:val="20"/>
          <w:color w:val="auto"/>
        </w:rPr>
      </w:pPr>
      <w:r>
        <w:rPr>
          <w:rFonts w:ascii="Arial" w:cs="Arial" w:eastAsia="Arial" w:hAnsi="Arial"/>
          <w:sz w:val="13"/>
          <w:szCs w:val="13"/>
          <w:color w:val="auto"/>
        </w:rPr>
        <w:t>Our operating activities provided cash of $46.8 million for the six months ended March 31, 2021, and our financing activities used cash of $38.8 million for the same period. Our operating activities provided cash primarily from our investment activities and our financing activities used cash primarily to pay down the Truist Credit Facility and our SBA Debentures.</w:t>
      </w:r>
    </w:p>
    <w:p>
      <w:pPr>
        <w:spacing w:after="0" w:line="165"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Our operating activities used cash of $218.6 million for the six months ended March 31, 2020 and our financing activities provided cash of $184.3 million for the same period. Our operating activities used cash primarily for our investment activities and our financing activities provided cash primarily from net borrowings under the Credit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Loan Fund, LLC</w:t>
      </w:r>
    </w:p>
    <w:p>
      <w:pPr>
        <w:spacing w:after="0" w:line="221" w:lineRule="exact"/>
        <w:rPr>
          <w:sz w:val="20"/>
          <w:szCs w:val="20"/>
          <w:color w:val="auto"/>
        </w:rPr>
      </w:pPr>
    </w:p>
    <w:p>
      <w:pPr>
        <w:ind w:right="120" w:firstLine="438"/>
        <w:spacing w:after="0" w:line="231" w:lineRule="auto"/>
        <w:rPr>
          <w:sz w:val="20"/>
          <w:szCs w:val="20"/>
          <w:color w:val="auto"/>
        </w:rPr>
      </w:pPr>
      <w:r>
        <w:rPr>
          <w:rFonts w:ascii="Arial" w:cs="Arial" w:eastAsia="Arial" w:hAnsi="Arial"/>
          <w:sz w:val="14"/>
          <w:szCs w:val="14"/>
          <w:color w:val="auto"/>
        </w:rPr>
        <w:t>On July 31, 2020, we and Pantheon formed PSLF, an unconsolidated joint venture. PSLF invests primarily in middle-market and other corporate debt securities consistent with our strategy. PSLF was formed as a Delaware limited liability company. PSLF invests in portfolio companies in the same industries in which we may directly invest. We provide capital to PSLF in the form of subordinated notes and equity interests. As of March 31, 2021 and September 30, 2020, we and Pantheon owned 60.5% and 39.5%, respectively, and 72.0% and 28.0%, respectively, of each of the outstanding subordinated notes and equity interests in PSLF. As of the same dates, our investment in PSLF consisted of subordinated notes of $64.2 million and $63.0 million, respectively, and equity interests of $40.2 million and $36.3 million, respectively.</w:t>
      </w:r>
    </w:p>
    <w:p>
      <w:pPr>
        <w:spacing w:after="0" w:line="197" w:lineRule="exact"/>
        <w:rPr>
          <w:sz w:val="20"/>
          <w:szCs w:val="20"/>
          <w:color w:val="auto"/>
        </w:rPr>
      </w:pPr>
    </w:p>
    <w:p>
      <w:pPr>
        <w:ind w:right="180" w:firstLine="438"/>
        <w:spacing w:after="0" w:line="264" w:lineRule="auto"/>
        <w:rPr>
          <w:sz w:val="20"/>
          <w:szCs w:val="20"/>
          <w:color w:val="auto"/>
        </w:rPr>
      </w:pPr>
      <w:r>
        <w:rPr>
          <w:rFonts w:ascii="Arial" w:cs="Arial" w:eastAsia="Arial" w:hAnsi="Arial"/>
          <w:sz w:val="13"/>
          <w:szCs w:val="13"/>
          <w:color w:val="auto"/>
        </w:rPr>
        <w:t>As of March 31, 2021 and September 30, 2020, PSLF had total assets of $395.1 million and $361.8 million, respectively. As of March 31, 2021, PSLF had $63.0 million of unused borrowing capacity under the PSLF Credit Facility (as defined below), subject to leverage and borrowing base restrictions, and cash and cash equivalents of $12.5 million. As of September 30, 2020, PSLF had $36.5 million of unused borrowing capacity under the PSLF Credit Facility, subject to leverage and borrowing base restrictions, and cash and cash equivalents of $7.5 million.</w:t>
      </w:r>
    </w:p>
    <w:p>
      <w:pPr>
        <w:spacing w:after="0" w:line="182"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or (iii) the presence of four members of the Member Designees’ Committee, provided that two individuals are present that were elected, designated or appointed by each of us and Pantheon.</w:t>
      </w:r>
    </w:p>
    <w:p>
      <w:pPr>
        <w:spacing w:after="0" w:line="199"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Additionally, PSLF has entered into a $275.0 million (increased from $250.0 million on November 6, 2020) senior secured revolving credit facility which bears interest at LIBOR (or an alternative risk-free interest rate index) plus 260 basis points, or the PSLF Credit Facility, with BNP Paribas through its wholly-owned subsidiary, or PSLF Subsidiary, subject to leverage and borrowing base restrictions.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38" w:name="page39"/>
    <w:bookmarkEnd w:id="38"/>
    <w:p>
      <w:pPr>
        <w:ind w:left="440"/>
        <w:spacing w:after="0"/>
        <w:rPr>
          <w:sz w:val="20"/>
          <w:szCs w:val="20"/>
          <w:color w:val="auto"/>
        </w:rPr>
      </w:pPr>
      <w:r>
        <w:rPr>
          <w:rFonts w:ascii="Arial" w:cs="Arial" w:eastAsia="Arial" w:hAnsi="Arial"/>
          <w:sz w:val="14"/>
          <w:szCs w:val="14"/>
          <w:color w:val="auto"/>
        </w:rPr>
        <w:t>Below is a summary of PSLF’s portfolio at fair value: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6"/>
              </w:rPr>
              <w:t>March 31, 2021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3"/>
              </w:rPr>
              <w:t>September 30, 2020</w:t>
            </w:r>
          </w:p>
        </w:tc>
        <w:tc>
          <w:tcPr>
            <w:tcW w:w="0" w:type="dxa"/>
            <w:vAlign w:val="bottom"/>
          </w:tcPr>
          <w:p>
            <w:pPr>
              <w:spacing w:after="0"/>
              <w:rPr>
                <w:sz w:val="1"/>
                <w:szCs w:val="1"/>
                <w:color w:val="auto"/>
              </w:rPr>
            </w:pPr>
          </w:p>
        </w:tc>
      </w:tr>
      <w:tr>
        <w:trPr>
          <w:trHeight w:val="156"/>
        </w:trPr>
        <w:tc>
          <w:tcPr>
            <w:tcW w:w="318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64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26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CFF"/>
          </w:tcPr>
          <w:p>
            <w:pPr>
              <w:spacing w:after="0"/>
              <w:rPr>
                <w:sz w:val="13"/>
                <w:szCs w:val="13"/>
                <w:color w:val="auto"/>
              </w:rPr>
            </w:pPr>
          </w:p>
        </w:tc>
        <w:tc>
          <w:tcPr>
            <w:tcW w:w="1420" w:type="dxa"/>
            <w:vAlign w:val="bottom"/>
            <w:tcBorders>
              <w:top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381,654,953</w:t>
            </w:r>
          </w:p>
        </w:tc>
        <w:tc>
          <w:tcPr>
            <w:tcW w:w="26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94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353,366,358</w:t>
            </w:r>
          </w:p>
        </w:tc>
        <w:tc>
          <w:tcPr>
            <w:tcW w:w="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gridSpan w:val="3"/>
          </w:tcPr>
          <w:p>
            <w:pPr>
              <w:spacing w:after="0"/>
              <w:rPr>
                <w:sz w:val="20"/>
                <w:szCs w:val="20"/>
                <w:color w:val="auto"/>
              </w:rPr>
            </w:pPr>
            <w:r>
              <w:rPr>
                <w:rFonts w:ascii="Arial" w:cs="Arial" w:eastAsia="Arial" w:hAnsi="Arial"/>
                <w:sz w:val="14"/>
                <w:szCs w:val="14"/>
                <w:color w:val="auto"/>
              </w:rPr>
              <w:t>Weighted average yield on debt investments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7.3%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62"/>
        </w:trPr>
        <w:tc>
          <w:tcPr>
            <w:tcW w:w="31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Number of portfolio companies in PSLF</w:t>
            </w:r>
          </w:p>
        </w:tc>
        <w:tc>
          <w:tcPr>
            <w:tcW w:w="6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6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40</w:t>
            </w:r>
          </w:p>
        </w:tc>
        <w:tc>
          <w:tcPr>
            <w:tcW w:w="2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80" w:type="dxa"/>
            <w:vAlign w:val="bottom"/>
            <w:tcBorders>
              <w:right w:val="single" w:sz="8" w:color="CCECFF"/>
            </w:tcBorders>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gridSpan w:val="3"/>
          </w:tcPr>
          <w:p>
            <w:pPr>
              <w:spacing w:after="0"/>
              <w:rPr>
                <w:sz w:val="20"/>
                <w:szCs w:val="20"/>
                <w:color w:val="auto"/>
              </w:rPr>
            </w:pPr>
            <w:r>
              <w:rPr>
                <w:rFonts w:ascii="Arial" w:cs="Arial" w:eastAsia="Arial" w:hAnsi="Arial"/>
                <w:sz w:val="14"/>
                <w:szCs w:val="14"/>
                <w:color w:val="auto"/>
              </w:rPr>
              <w:t>Largest portfolio company investment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w w:val="88"/>
              </w:rPr>
              <w:t>16,188,243</w:t>
            </w:r>
          </w:p>
        </w:tc>
        <w:tc>
          <w:tcPr>
            <w:tcW w:w="260" w:type="dxa"/>
            <w:vAlign w:val="bottom"/>
          </w:tcPr>
          <w:p>
            <w:pPr>
              <w:spacing w:after="0"/>
              <w:rPr>
                <w:sz w:val="14"/>
                <w:szCs w:val="14"/>
                <w:color w:val="auto"/>
              </w:rPr>
            </w:pPr>
          </w:p>
        </w:tc>
        <w:tc>
          <w:tcPr>
            <w:tcW w:w="2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18,411,916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6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6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5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w w:val="88"/>
              </w:rPr>
              <w:t>75,352,184</w:t>
            </w:r>
          </w:p>
        </w:tc>
        <w:tc>
          <w:tcPr>
            <w:tcW w:w="26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80" w:type="dxa"/>
            <w:vAlign w:val="bottom"/>
            <w:tcBorders>
              <w:right w:val="single" w:sz="8" w:color="CCECFF"/>
            </w:tcBorders>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1"/>
              </w:rPr>
              <w:t>77,896,431</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6700" w:type="dxa"/>
            <w:vAlign w:val="bottom"/>
            <w:gridSpan w:val="7"/>
          </w:tcPr>
          <w:p>
            <w:pPr>
              <w:ind w:left="440"/>
              <w:spacing w:after="0"/>
              <w:rPr>
                <w:sz w:val="20"/>
                <w:szCs w:val="20"/>
                <w:color w:val="auto"/>
              </w:rPr>
            </w:pPr>
            <w:r>
              <w:rPr>
                <w:rFonts w:ascii="Arial" w:cs="Arial" w:eastAsia="Arial" w:hAnsi="Arial"/>
                <w:sz w:val="14"/>
                <w:szCs w:val="14"/>
                <w:color w:val="auto"/>
              </w:rPr>
              <w:t>Below is a listing of PSLF’s individual investments as of March 31, 2021: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jc w:val="right"/>
              <w:ind w:right="400"/>
              <w:spacing w:after="0" w:line="122" w:lineRule="exact"/>
              <w:rPr>
                <w:sz w:val="20"/>
                <w:szCs w:val="20"/>
                <w:color w:val="auto"/>
              </w:rPr>
            </w:pPr>
            <w:r>
              <w:rPr>
                <w:rFonts w:ascii="Arial" w:cs="Arial" w:eastAsia="Arial" w:hAnsi="Arial"/>
                <w:sz w:val="11"/>
                <w:szCs w:val="11"/>
                <w:b w:val="1"/>
                <w:bCs w:val="1"/>
                <w:color w:val="auto"/>
              </w:rPr>
              <w:t>Current</w:t>
            </w: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Issuer Name</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3"/>
          </w:tcPr>
          <w:p>
            <w:pPr>
              <w:jc w:val="right"/>
              <w:ind w:right="400"/>
              <w:spacing w:after="0"/>
              <w:rPr>
                <w:sz w:val="20"/>
                <w:szCs w:val="20"/>
                <w:color w:val="auto"/>
              </w:rPr>
            </w:pPr>
            <w:r>
              <w:rPr>
                <w:rFonts w:ascii="Arial" w:cs="Arial" w:eastAsia="Arial" w:hAnsi="Arial"/>
                <w:sz w:val="11"/>
                <w:szCs w:val="11"/>
                <w:b w:val="1"/>
                <w:bCs w:val="1"/>
                <w:color w:val="auto"/>
              </w:rPr>
              <w:t>Coupon</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Par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80" w:type="dxa"/>
            <w:vAlign w:val="bottom"/>
          </w:tcPr>
          <w:p>
            <w:pPr>
              <w:spacing w:after="0"/>
              <w:rPr>
                <w:sz w:val="11"/>
                <w:szCs w:val="11"/>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(2)</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First Lien Secured Debt—573.8%</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48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42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6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right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07/24/2025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8.00%</w:t>
            </w:r>
          </w:p>
        </w:tc>
        <w:tc>
          <w:tcPr>
            <w:tcW w:w="760" w:type="dxa"/>
            <w:vAlign w:val="bottom"/>
          </w:tcPr>
          <w:p>
            <w:pPr>
              <w:jc w:val="right"/>
              <w:spacing w:after="0"/>
              <w:rPr>
                <w:sz w:val="20"/>
                <w:szCs w:val="20"/>
                <w:color w:val="auto"/>
              </w:rPr>
            </w:pPr>
            <w:r>
              <w:rPr>
                <w:rFonts w:ascii="Arial" w:cs="Arial" w:eastAsia="Arial" w:hAnsi="Arial"/>
                <w:sz w:val="11"/>
                <w:szCs w:val="11"/>
                <w:color w:val="auto"/>
              </w:rPr>
              <w:t>3M L+700</w:t>
            </w:r>
          </w:p>
        </w:tc>
        <w:tc>
          <w:tcPr>
            <w:tcW w:w="920" w:type="dxa"/>
            <w:vAlign w:val="bottom"/>
            <w:gridSpan w:val="3"/>
          </w:tcPr>
          <w:p>
            <w:pPr>
              <w:jc w:val="right"/>
              <w:ind w:right="120"/>
              <w:spacing w:after="0"/>
              <w:rPr>
                <w:sz w:val="20"/>
                <w:szCs w:val="20"/>
                <w:color w:val="auto"/>
              </w:rPr>
            </w:pPr>
            <w:r>
              <w:rPr>
                <w:rFonts w:ascii="Arial" w:cs="Arial" w:eastAsia="Arial" w:hAnsi="Arial"/>
                <w:sz w:val="11"/>
                <w:szCs w:val="11"/>
                <w:color w:val="auto"/>
              </w:rPr>
              <w:t>946,231</w:t>
            </w:r>
          </w:p>
        </w:tc>
        <w:tc>
          <w:tcPr>
            <w:tcW w:w="32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935,343</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910,747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American Insulated Glass,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12/21/2023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14,700,175</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14,525,350</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14,553,173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Apex Service Partners,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07/31/2025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6.25%</w:t>
            </w:r>
          </w:p>
        </w:tc>
        <w:tc>
          <w:tcPr>
            <w:tcW w:w="760" w:type="dxa"/>
            <w:vAlign w:val="bottom"/>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6,569,222</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6,513,036</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6,569,222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Apex Service Partners, LLC Term Loan B</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07/31/2025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2,887,307</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2,849,444</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2,887,307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 xml:space="preserve">Apex Service Partners, LLC Term Loan B </w:t>
            </w:r>
            <w:r>
              <w:rPr>
                <w:rFonts w:ascii="Arial" w:cs="Arial" w:eastAsia="Arial" w:hAnsi="Arial"/>
                <w:sz w:val="9"/>
                <w:szCs w:val="9"/>
                <w:color w:val="auto"/>
              </w:rPr>
              <w:t>(3)</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07/31/2021</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505,870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Bazaarvoice,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02/01/2024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14,554,206</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14,453,043</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14,554,206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Bottom Line Systems,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02/13/2023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6.25%</w:t>
            </w:r>
          </w:p>
        </w:tc>
        <w:tc>
          <w:tcPr>
            <w:tcW w:w="760" w:type="dxa"/>
            <w:vAlign w:val="bottom"/>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13,729,432</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13,654,333</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13,729,432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Datalot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7,081,132</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6,969,481</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7,081,132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DRS Holdings III,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6.75%</w:t>
            </w:r>
          </w:p>
        </w:tc>
        <w:tc>
          <w:tcPr>
            <w:tcW w:w="760" w:type="dxa"/>
            <w:vAlign w:val="bottom"/>
          </w:tcPr>
          <w:p>
            <w:pPr>
              <w:jc w:val="right"/>
              <w:spacing w:after="0"/>
              <w:rPr>
                <w:sz w:val="20"/>
                <w:szCs w:val="20"/>
                <w:color w:val="auto"/>
              </w:rPr>
            </w:pPr>
            <w:r>
              <w:rPr>
                <w:rFonts w:ascii="Arial" w:cs="Arial" w:eastAsia="Arial" w:hAnsi="Arial"/>
                <w:sz w:val="11"/>
                <w:szCs w:val="11"/>
                <w:color w:val="auto"/>
              </w:rPr>
              <w:t>1M L+575</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13,496,389</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13,392,116</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13,631,353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ECL Entertainment,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04/01/2028</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Hotels, Motels, Inns and Gaming</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8.25%</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L+750</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4,615,385</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4,569,231</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4,615,385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ECM Industries,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12/23/2025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Electronics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5.50%</w:t>
            </w:r>
          </w:p>
        </w:tc>
        <w:tc>
          <w:tcPr>
            <w:tcW w:w="760" w:type="dxa"/>
            <w:vAlign w:val="bottom"/>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2,826,993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2,802,723</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2,812,858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Global Holdings InterCo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03/16/2026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Banking, Finance, Insurance &amp; Real Estate</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7,500,000</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7,387,731</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7,481,250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Holdco Sands Intermediate,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12/19/2025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7.50%</w:t>
            </w:r>
          </w:p>
        </w:tc>
        <w:tc>
          <w:tcPr>
            <w:tcW w:w="7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12,132,143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11,981,532</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11,950,161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HW Holdco,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12/10/2024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14,662,500</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14,562,909</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14,369,249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IMIA Holdings,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10/26/2025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7.00%</w:t>
            </w:r>
          </w:p>
        </w:tc>
        <w:tc>
          <w:tcPr>
            <w:tcW w:w="7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5,545,103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5,518,102</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5,545,103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Integrity Marketing Acquisition,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08/27/2025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7,907,956</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7,835,094</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7,789,337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Juniper Landscaping of Florida,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12/22/2021</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6.50%</w:t>
            </w:r>
          </w:p>
        </w:tc>
        <w:tc>
          <w:tcPr>
            <w:tcW w:w="7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10,000,000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10,000,000</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10,000,000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12/20/2023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L+700</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14,662,500</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14,531,185</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14,350,188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Kentucky Downs,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03/07/2025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Hotels, Motels, Inns and Gaming</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10.00%</w:t>
            </w:r>
          </w:p>
        </w:tc>
        <w:tc>
          <w:tcPr>
            <w:tcW w:w="760" w:type="dxa"/>
            <w:vAlign w:val="bottom"/>
          </w:tcPr>
          <w:p>
            <w:pPr>
              <w:jc w:val="right"/>
              <w:spacing w:after="0"/>
              <w:rPr>
                <w:sz w:val="20"/>
                <w:szCs w:val="20"/>
                <w:color w:val="auto"/>
              </w:rPr>
            </w:pPr>
            <w:r>
              <w:rPr>
                <w:rFonts w:ascii="Arial" w:cs="Arial" w:eastAsia="Arial" w:hAnsi="Arial"/>
                <w:sz w:val="11"/>
                <w:szCs w:val="11"/>
                <w:color w:val="auto"/>
              </w:rPr>
              <w:t>1M L+900</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10,205,877</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10,044,256</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10,843,744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10/31/2024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Amusement, Motion Pictures, Entertainment</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L+750</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2,066,695</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2,052,119</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1,915,413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Lightspeed Buyer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02/03/2026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6.50%</w:t>
            </w:r>
          </w:p>
        </w:tc>
        <w:tc>
          <w:tcPr>
            <w:tcW w:w="760" w:type="dxa"/>
            <w:vAlign w:val="bottom"/>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12,534,901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12,318,777</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12,346,877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Lombart Brothers,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04/13/2023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9.25%</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L+825</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16,862,753</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16,747,224</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16,188,243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MAG DS Corp.</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04/01/2027</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6.50%</w:t>
            </w:r>
          </w:p>
        </w:tc>
        <w:tc>
          <w:tcPr>
            <w:tcW w:w="760" w:type="dxa"/>
            <w:vAlign w:val="bottom"/>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5,970,000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5,690,193</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5,850,600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05/23/2024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13,738,046</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13,600,767</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13,428,940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PlayPower,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05/08/2026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5.70%</w:t>
            </w:r>
          </w:p>
        </w:tc>
        <w:tc>
          <w:tcPr>
            <w:tcW w:w="7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4,004,520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3,972,682</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3,949,458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Radius Aerospace,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03/31/2025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13,709,619</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13,557,021</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13,435,427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80" w:type="dxa"/>
            <w:vAlign w:val="bottom"/>
            <w:gridSpan w:val="3"/>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180" w:type="dxa"/>
            <w:vAlign w:val="bottom"/>
            <w:gridSpan w:val="3"/>
          </w:tcPr>
          <w:p>
            <w:pPr>
              <w:ind w:left="80"/>
              <w:spacing w:after="0"/>
              <w:rPr>
                <w:sz w:val="20"/>
                <w:szCs w:val="20"/>
                <w:color w:val="auto"/>
              </w:rPr>
            </w:pPr>
            <w:r>
              <w:rPr>
                <w:rFonts w:ascii="Arial" w:cs="Arial" w:eastAsia="Arial" w:hAnsi="Arial"/>
                <w:sz w:val="11"/>
                <w:szCs w:val="11"/>
                <w:color w:val="auto"/>
              </w:rPr>
              <w:t>Sampling International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12/20/2024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6.50%</w:t>
            </w:r>
          </w:p>
        </w:tc>
        <w:tc>
          <w:tcPr>
            <w:tcW w:w="7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14,770,992</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14,665,291</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14,597,433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Riverpoint Medical,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1,965,000</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1,950,151</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1,953,014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Sales Benchmark Index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7.75%</w:t>
            </w:r>
          </w:p>
        </w:tc>
        <w:tc>
          <w:tcPr>
            <w:tcW w:w="7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7,847,561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7,723,814</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7,317,850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Sargent &amp; Greenleaf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5,379,340</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5,318,630</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5,379,340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Signature Systems Holding Company</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05/03/2024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7.50%</w:t>
            </w:r>
          </w:p>
        </w:tc>
        <w:tc>
          <w:tcPr>
            <w:tcW w:w="760" w:type="dxa"/>
            <w:vAlign w:val="bottom"/>
          </w:tcPr>
          <w:p>
            <w:pPr>
              <w:jc w:val="right"/>
              <w:spacing w:after="0"/>
              <w:rPr>
                <w:sz w:val="20"/>
                <w:szCs w:val="20"/>
                <w:color w:val="auto"/>
              </w:rPr>
            </w:pPr>
            <w:r>
              <w:rPr>
                <w:rFonts w:ascii="Arial" w:cs="Arial" w:eastAsia="Arial" w:hAnsi="Arial"/>
                <w:sz w:val="11"/>
                <w:szCs w:val="11"/>
                <w:color w:val="auto"/>
              </w:rPr>
              <w:t>3M L+650</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13,875,000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13,748,286</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13,701,562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Solutionreach,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01/17/2024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Communications</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12,464,523</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12,309,758</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12,464,523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STV Group Incorporated</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12/11/2026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5.36%</w:t>
            </w:r>
          </w:p>
        </w:tc>
        <w:tc>
          <w:tcPr>
            <w:tcW w:w="760" w:type="dxa"/>
            <w:vAlign w:val="bottom"/>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12,162,305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12,058,444</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11,615,001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TeleGuam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11/20/2025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4,877,809</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4,836,844</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4,829,030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Teneo Holdings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07/18/2025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6.25%</w:t>
            </w:r>
          </w:p>
        </w:tc>
        <w:tc>
          <w:tcPr>
            <w:tcW w:w="760" w:type="dxa"/>
            <w:vAlign w:val="bottom"/>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7,442,222</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7,182,469</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7,421,756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Food</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5,621,612</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5,565,396</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5,452,963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03/26/2026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6.75%</w:t>
            </w:r>
          </w:p>
        </w:tc>
        <w:tc>
          <w:tcPr>
            <w:tcW w:w="760" w:type="dxa"/>
            <w:vAlign w:val="bottom"/>
          </w:tcPr>
          <w:p>
            <w:pPr>
              <w:jc w:val="right"/>
              <w:spacing w:after="0"/>
              <w:rPr>
                <w:sz w:val="20"/>
                <w:szCs w:val="20"/>
                <w:color w:val="auto"/>
              </w:rPr>
            </w:pPr>
            <w:r>
              <w:rPr>
                <w:rFonts w:ascii="Arial" w:cs="Arial" w:eastAsia="Arial" w:hAnsi="Arial"/>
                <w:sz w:val="11"/>
                <w:szCs w:val="11"/>
                <w:color w:val="auto"/>
              </w:rPr>
              <w:t>1M L+575</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12,837,421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12,681,035</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12,709,047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06/16/2025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9,647,753</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9,497,821</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9,647,753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UBEO,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04/03/2024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5.50%</w:t>
            </w:r>
          </w:p>
        </w:tc>
        <w:tc>
          <w:tcPr>
            <w:tcW w:w="760" w:type="dxa"/>
            <w:vAlign w:val="bottom"/>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4,734,322</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4,700,190</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4,677,303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Vision Purchaser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06/10/2025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7.75%</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L+675</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14,321,451</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14,102,097</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13,748,593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Wheel Pros,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11/10/2027</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Automotive</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6.25%</w:t>
            </w:r>
          </w:p>
        </w:tc>
        <w:tc>
          <w:tcPr>
            <w:tcW w:w="760" w:type="dxa"/>
            <w:vAlign w:val="bottom"/>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3"/>
          </w:tcPr>
          <w:p>
            <w:pPr>
              <w:jc w:val="right"/>
              <w:ind w:right="20"/>
              <w:spacing w:after="0"/>
              <w:rPr>
                <w:sz w:val="20"/>
                <w:szCs w:val="20"/>
                <w:color w:val="auto"/>
              </w:rPr>
            </w:pPr>
            <w:r>
              <w:rPr>
                <w:rFonts w:ascii="Arial" w:cs="Arial" w:eastAsia="Arial" w:hAnsi="Arial"/>
                <w:sz w:val="11"/>
                <w:szCs w:val="11"/>
                <w:color w:val="auto"/>
              </w:rPr>
              <w:t>3,990,000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3,970,083</w:t>
            </w:r>
          </w:p>
        </w:tc>
        <w:tc>
          <w:tcPr>
            <w:tcW w:w="28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3,972,564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10/18/2022</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L+750</w:t>
            </w:r>
          </w:p>
        </w:tc>
        <w:tc>
          <w:tcPr>
            <w:tcW w:w="920" w:type="dxa"/>
            <w:vAlign w:val="bottom"/>
            <w:gridSpan w:val="3"/>
            <w:shd w:val="clear" w:color="auto" w:fill="CCECFF"/>
          </w:tcPr>
          <w:p>
            <w:pPr>
              <w:jc w:val="right"/>
              <w:ind w:right="20"/>
              <w:spacing w:after="0"/>
              <w:rPr>
                <w:sz w:val="20"/>
                <w:szCs w:val="20"/>
                <w:color w:val="auto"/>
              </w:rPr>
            </w:pPr>
            <w:r>
              <w:rPr>
                <w:rFonts w:ascii="Arial" w:cs="Arial" w:eastAsia="Arial" w:hAnsi="Arial"/>
                <w:sz w:val="11"/>
                <w:szCs w:val="11"/>
                <w:color w:val="auto"/>
              </w:rPr>
              <w:t>13,815,260</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13,691,368</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13,953,413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Wildcat Buyerco, Inc.</w:t>
            </w:r>
          </w:p>
        </w:tc>
        <w:tc>
          <w:tcPr>
            <w:tcW w:w="640" w:type="dxa"/>
            <w:vAlign w:val="bottom"/>
            <w:tcBorders>
              <w:bottom w:val="single" w:sz="8" w:color="CCECFF"/>
            </w:tcBorders>
          </w:tcPr>
          <w:p>
            <w:pPr>
              <w:jc w:val="center"/>
              <w:spacing w:after="0"/>
              <w:rPr>
                <w:sz w:val="20"/>
                <w:szCs w:val="20"/>
                <w:color w:val="auto"/>
              </w:rPr>
            </w:pPr>
            <w:r>
              <w:rPr>
                <w:rFonts w:ascii="Arial" w:cs="Arial" w:eastAsia="Arial" w:hAnsi="Arial"/>
                <w:sz w:val="11"/>
                <w:szCs w:val="11"/>
                <w:color w:val="auto"/>
                <w:w w:val="87"/>
              </w:rPr>
              <w:t>02/27/2026</w:t>
            </w:r>
          </w:p>
        </w:tc>
        <w:tc>
          <w:tcPr>
            <w:tcW w:w="12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92"/>
              </w:rPr>
              <w:t>Electronics</w:t>
            </w:r>
          </w:p>
        </w:tc>
        <w:tc>
          <w:tcPr>
            <w:tcW w:w="860" w:type="dxa"/>
            <w:vAlign w:val="bottom"/>
            <w:tcBorders>
              <w:bottom w:val="single" w:sz="8" w:color="CCECFF"/>
            </w:tcBorders>
            <w:gridSpan w:val="3"/>
          </w:tcPr>
          <w:p>
            <w:pPr>
              <w:jc w:val="right"/>
              <w:ind w:right="180"/>
              <w:spacing w:after="0"/>
              <w:rPr>
                <w:sz w:val="20"/>
                <w:szCs w:val="20"/>
                <w:color w:val="auto"/>
              </w:rPr>
            </w:pPr>
            <w:r>
              <w:rPr>
                <w:rFonts w:ascii="Arial" w:cs="Arial" w:eastAsia="Arial" w:hAnsi="Arial"/>
                <w:sz w:val="11"/>
                <w:szCs w:val="11"/>
                <w:color w:val="auto"/>
              </w:rPr>
              <w:t>6.25%</w:t>
            </w:r>
          </w:p>
        </w:tc>
        <w:tc>
          <w:tcPr>
            <w:tcW w:w="7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tcBorders>
              <w:bottom w:val="single" w:sz="8" w:color="CCECFF"/>
            </w:tcBorders>
            <w:gridSpan w:val="3"/>
          </w:tcPr>
          <w:p>
            <w:pPr>
              <w:jc w:val="right"/>
              <w:ind w:right="20"/>
              <w:spacing w:after="0"/>
              <w:rPr>
                <w:sz w:val="20"/>
                <w:szCs w:val="20"/>
                <w:color w:val="auto"/>
              </w:rPr>
            </w:pPr>
            <w:r>
              <w:rPr>
                <w:rFonts w:ascii="Arial" w:cs="Arial" w:eastAsia="Arial" w:hAnsi="Arial"/>
                <w:sz w:val="11"/>
                <w:szCs w:val="11"/>
                <w:color w:val="auto"/>
              </w:rPr>
              <w:t>7,462,312</w:t>
            </w:r>
          </w:p>
        </w:tc>
        <w:tc>
          <w:tcPr>
            <w:tcW w:w="60" w:type="dxa"/>
            <w:vAlign w:val="bottom"/>
            <w:tcBorders>
              <w:bottom w:val="single" w:sz="8" w:color="CCECFF"/>
            </w:tcBorders>
          </w:tcPr>
          <w:p>
            <w:pPr>
              <w:spacing w:after="0"/>
              <w:rPr>
                <w:sz w:val="11"/>
                <w:szCs w:val="11"/>
                <w:color w:val="auto"/>
              </w:rPr>
            </w:pPr>
          </w:p>
        </w:tc>
        <w:tc>
          <w:tcPr>
            <w:tcW w:w="18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7,392,228</w:t>
            </w:r>
          </w:p>
        </w:tc>
        <w:tc>
          <w:tcPr>
            <w:tcW w:w="28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7,425,003</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381,857,597</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381,654,953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Cash and Cash Equivalents—18.9%</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9,916,869</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9,916,869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US Bank Cash</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7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42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0" w:type="dxa"/>
            <w:vAlign w:val="bottom"/>
            <w:tcBorders>
              <w:bottom w:val="single" w:sz="8" w:color="CCECFF"/>
            </w:tcBorders>
          </w:tcPr>
          <w:p>
            <w:pPr>
              <w:spacing w:after="0"/>
              <w:rPr>
                <w:sz w:val="11"/>
                <w:szCs w:val="11"/>
                <w:color w:val="auto"/>
              </w:rPr>
            </w:pPr>
          </w:p>
        </w:tc>
        <w:tc>
          <w:tcPr>
            <w:tcW w:w="18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2,623,145</w:t>
            </w:r>
          </w:p>
        </w:tc>
        <w:tc>
          <w:tcPr>
            <w:tcW w:w="28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2,623,145</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12,540,014</w:t>
            </w:r>
          </w:p>
        </w:tc>
        <w:tc>
          <w:tcPr>
            <w:tcW w:w="280" w:type="dxa"/>
            <w:vAlign w:val="bottom"/>
            <w:tcBorders>
              <w:right w:val="single" w:sz="8" w:color="CCECFF"/>
            </w:tcBorders>
            <w:shd w:val="clear" w:color="auto" w:fill="CCECFF"/>
          </w:tcPr>
          <w:p>
            <w:pPr>
              <w:spacing w:after="0"/>
              <w:rPr>
                <w:sz w:val="11"/>
                <w:szCs w:val="11"/>
                <w:color w:val="auto"/>
              </w:rPr>
            </w:pPr>
          </w:p>
        </w:tc>
        <w:tc>
          <w:tcPr>
            <w:tcW w:w="68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12,540,014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Total Investments and Cash Equivalents—592.7%</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394,397,611</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394,194,967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CFF"/>
            </w:tcBorders>
            <w:gridSpan w:val="3"/>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Assets—(492.7)%</w:t>
            </w:r>
          </w:p>
        </w:tc>
        <w:tc>
          <w:tcPr>
            <w:tcW w:w="6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48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76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42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6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right w:val="single" w:sz="8" w:color="auto"/>
            </w:tcBorders>
            <w:shd w:val="clear" w:color="auto" w:fill="CCECFF"/>
          </w:tcPr>
          <w:p>
            <w:pPr>
              <w:spacing w:after="0" w:line="20" w:lineRule="exact"/>
              <w:rPr>
                <w:sz w:val="1"/>
                <w:szCs w:val="1"/>
                <w:color w:val="auto"/>
              </w:rPr>
            </w:pPr>
          </w:p>
        </w:tc>
        <w:tc>
          <w:tcPr>
            <w:tcW w:w="680" w:type="dxa"/>
            <w:vAlign w:val="bottom"/>
            <w:tcBorders>
              <w:top w:val="single" w:sz="8" w:color="auto"/>
            </w:tcBorders>
            <w:gridSpan w:val="2"/>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80" w:type="dxa"/>
            <w:vAlign w:val="bottom"/>
            <w:gridSpan w:val="3"/>
            <w:vMerge w:val="continue"/>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80" w:type="dxa"/>
            <w:vAlign w:val="bottom"/>
            <w:tcBorders>
              <w:right w:val="single" w:sz="8" w:color="CCECFF"/>
            </w:tcBorders>
            <w:shd w:val="clear" w:color="auto" w:fill="CCECFF"/>
          </w:tcPr>
          <w:p>
            <w:pPr>
              <w:spacing w:after="0"/>
              <w:rPr>
                <w:sz w:val="10"/>
                <w:szCs w:val="10"/>
                <w:color w:val="auto"/>
              </w:rPr>
            </w:pPr>
          </w:p>
        </w:tc>
        <w:tc>
          <w:tcPr>
            <w:tcW w:w="800" w:type="dxa"/>
            <w:vAlign w:val="bottom"/>
            <w:gridSpan w:val="3"/>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rPr>
              <w:t>(327,683,744)</w:t>
            </w:r>
          </w:p>
        </w:tc>
        <w:tc>
          <w:tcPr>
            <w:tcW w:w="0" w:type="dxa"/>
            <w:vAlign w:val="bottom"/>
          </w:tcPr>
          <w:p>
            <w:pPr>
              <w:spacing w:after="0"/>
              <w:rPr>
                <w:sz w:val="1"/>
                <w:szCs w:val="1"/>
                <w:color w:val="auto"/>
              </w:rPr>
            </w:pPr>
          </w:p>
        </w:tc>
      </w:tr>
      <w:tr>
        <w:trPr>
          <w:trHeight w:val="20"/>
        </w:trPr>
        <w:tc>
          <w:tcPr>
            <w:tcW w:w="31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Members' Equity—100.0%</w:t>
            </w: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8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66,511,223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80" w:right="40" w:hanging="372"/>
        <w:spacing w:after="0" w:line="235" w:lineRule="auto"/>
        <w:tabs>
          <w:tab w:leader="none" w:pos="380" w:val="left"/>
        </w:tabs>
        <w:numPr>
          <w:ilvl w:val="0"/>
          <w:numId w:val="39"/>
        </w:numPr>
        <w:rPr>
          <w:rFonts w:ascii="Arial" w:cs="Arial" w:eastAsia="Arial" w:hAnsi="Arial"/>
          <w:sz w:val="9"/>
          <w:szCs w:val="9"/>
          <w:b w:val="1"/>
          <w:bCs w:val="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0" w:lineRule="auto"/>
        <w:tabs>
          <w:tab w:leader="none" w:pos="380" w:val="left"/>
        </w:tabs>
        <w:numPr>
          <w:ilvl w:val="0"/>
          <w:numId w:val="39"/>
        </w:numPr>
        <w:rPr>
          <w:rFonts w:ascii="Arial" w:cs="Arial" w:eastAsia="Arial" w:hAnsi="Arial"/>
          <w:sz w:val="9"/>
          <w:szCs w:val="9"/>
          <w:b w:val="1"/>
          <w:bCs w:val="1"/>
          <w:color w:val="auto"/>
        </w:rPr>
      </w:pPr>
      <w:r>
        <w:rPr>
          <w:rFonts w:ascii="Arial" w:cs="Arial" w:eastAsia="Arial" w:hAnsi="Arial"/>
          <w:sz w:val="11"/>
          <w:szCs w:val="11"/>
          <w:color w:val="auto"/>
        </w:rPr>
        <w:t>Valued based on PSLF’s accounting policy.</w:t>
      </w:r>
    </w:p>
    <w:p>
      <w:pPr>
        <w:ind w:left="380" w:hanging="372"/>
        <w:spacing w:after="0"/>
        <w:tabs>
          <w:tab w:leader="none" w:pos="380" w:val="left"/>
        </w:tabs>
        <w:numPr>
          <w:ilvl w:val="0"/>
          <w:numId w:val="39"/>
        </w:numPr>
        <w:rPr>
          <w:rFonts w:ascii="Arial" w:cs="Arial" w:eastAsia="Arial" w:hAnsi="Arial"/>
          <w:sz w:val="9"/>
          <w:szCs w:val="9"/>
          <w:b w:val="1"/>
          <w:bCs w:val="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9" w:name="page40"/>
    <w:bookmarkEnd w:id="39"/>
    <w:p>
      <w:pPr>
        <w:ind w:left="440"/>
        <w:spacing w:after="0"/>
        <w:rPr>
          <w:sz w:val="20"/>
          <w:szCs w:val="20"/>
          <w:color w:val="auto"/>
        </w:rPr>
      </w:pPr>
      <w:r>
        <w:rPr>
          <w:rFonts w:ascii="Arial" w:cs="Arial" w:eastAsia="Arial" w:hAnsi="Arial"/>
          <w:sz w:val="14"/>
          <w:szCs w:val="14"/>
          <w:color w:val="auto"/>
        </w:rPr>
        <w:t>Below is a listing of PSLF’s individual investments as of September 30,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400"/>
              <w:spacing w:after="0" w:line="122" w:lineRule="exact"/>
              <w:rPr>
                <w:sz w:val="20"/>
                <w:szCs w:val="20"/>
                <w:color w:val="auto"/>
              </w:rPr>
            </w:pPr>
            <w:r>
              <w:rPr>
                <w:rFonts w:ascii="Arial" w:cs="Arial" w:eastAsia="Arial" w:hAnsi="Arial"/>
                <w:sz w:val="11"/>
                <w:szCs w:val="11"/>
                <w:b w:val="1"/>
                <w:bCs w:val="1"/>
                <w:color w:val="auto"/>
              </w:rPr>
              <w:t>Current</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Issuer Name</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Coupon</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First Lien Secured Debt—701.6%</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Advantage Sales &amp; Marketing</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07/23/2021</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Grocery</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4.25%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L+325</w:t>
            </w:r>
          </w:p>
        </w:tc>
        <w:tc>
          <w:tcPr>
            <w:tcW w:w="680" w:type="dxa"/>
            <w:vAlign w:val="bottom"/>
          </w:tcPr>
          <w:p>
            <w:pPr>
              <w:jc w:val="right"/>
              <w:spacing w:after="0"/>
              <w:rPr>
                <w:sz w:val="20"/>
                <w:szCs w:val="20"/>
                <w:color w:val="auto"/>
              </w:rPr>
            </w:pPr>
            <w:r>
              <w:rPr>
                <w:rFonts w:ascii="Arial" w:cs="Arial" w:eastAsia="Arial" w:hAnsi="Arial"/>
                <w:sz w:val="11"/>
                <w:szCs w:val="11"/>
                <w:color w:val="auto"/>
              </w:rPr>
              <w:t>8,627,315</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8,418,699</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8,456,926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07/24/2025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971,231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958,950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937,238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American Insulated Glass,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12/21/2023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14,775,105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14,571,097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14,479,603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Apex Service Partners,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07/31/2025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6,607,449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6,546,594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6,409,225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Bazaarvoice,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02/01/2024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14,628,085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14,509,210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14,408,664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Bottom Line Systems,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02/13/2023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14,895,515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14,683,499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Cano Health,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06/02/2025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L+750</w:t>
            </w:r>
          </w:p>
        </w:tc>
        <w:tc>
          <w:tcPr>
            <w:tcW w:w="680" w:type="dxa"/>
            <w:vAlign w:val="bottom"/>
          </w:tcPr>
          <w:p>
            <w:pPr>
              <w:jc w:val="right"/>
              <w:spacing w:after="0"/>
              <w:rPr>
                <w:sz w:val="20"/>
                <w:szCs w:val="20"/>
                <w:color w:val="auto"/>
              </w:rPr>
            </w:pPr>
            <w:r>
              <w:rPr>
                <w:rFonts w:ascii="Arial" w:cs="Arial" w:eastAsia="Arial" w:hAnsi="Arial"/>
                <w:sz w:val="11"/>
                <w:szCs w:val="11"/>
                <w:color w:val="auto"/>
              </w:rPr>
              <w:t>18,274,854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18,174,687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18,411,916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Datalot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7,116,895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6,991,975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7,125,435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DRS Holdings III,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13,564,726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13,448,313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13,316,490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ECM Industries,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12/23/2025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2,873,184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2,846,226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2,858,818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Holdco Sands Intermediate,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12/19/2025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12,193,571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12,028,384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11,888,732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HW Holdco,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12/10/2024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14,619,623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14,295,375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Integrity Marketing Acquisition,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08/27/2025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447,833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444,755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443,354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12/20/2023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14,583,983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14,413,275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Kentucky Downs,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03/07/2025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Hotels, Motels, Inns and Gaming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9.50%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L+850</w:t>
            </w:r>
          </w:p>
        </w:tc>
        <w:tc>
          <w:tcPr>
            <w:tcW w:w="680" w:type="dxa"/>
            <w:vAlign w:val="bottom"/>
          </w:tcPr>
          <w:p>
            <w:pPr>
              <w:jc w:val="right"/>
              <w:spacing w:after="0"/>
              <w:rPr>
                <w:sz w:val="20"/>
                <w:szCs w:val="20"/>
                <w:color w:val="auto"/>
              </w:rPr>
            </w:pPr>
            <w:r>
              <w:rPr>
                <w:rFonts w:ascii="Arial" w:cs="Arial" w:eastAsia="Arial" w:hAnsi="Arial"/>
                <w:sz w:val="11"/>
                <w:szCs w:val="11"/>
                <w:color w:val="auto"/>
              </w:rPr>
              <w:t>10,153,350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9,978,792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10,001,050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10/31/2024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Amusement, Motion Pictures, Entertainment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L+750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2,015,428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1,998,623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1,856,411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Lightspeed Buyer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02/03/2026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12,598,209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12,365,207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12,440,731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Lombart Brothers,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04/13/2023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16,914,403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16,770,520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15,882,625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MAG DS Corp.</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04/01/2027</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6,000,000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5,700,000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5,707,500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05/23/2024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14,076,563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13,914,921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13,407,926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PlayPower,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05/08/2026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5.72%</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4,025,520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3,990,631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3,824,244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Radius Aerospace,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03/31/2025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13,779,429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13,608,176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13,503,840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80" w:type="dxa"/>
            <w:vAlign w:val="bottom"/>
            <w:gridSpan w:val="3"/>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180" w:type="dxa"/>
            <w:vAlign w:val="bottom"/>
            <w:gridSpan w:val="3"/>
          </w:tcPr>
          <w:p>
            <w:pPr>
              <w:ind w:left="80"/>
              <w:spacing w:after="0"/>
              <w:rPr>
                <w:sz w:val="20"/>
                <w:szCs w:val="20"/>
                <w:color w:val="auto"/>
              </w:rPr>
            </w:pPr>
            <w:r>
              <w:rPr>
                <w:rFonts w:ascii="Arial" w:cs="Arial" w:eastAsia="Arial" w:hAnsi="Arial"/>
                <w:sz w:val="11"/>
                <w:szCs w:val="11"/>
                <w:color w:val="auto"/>
              </w:rPr>
              <w:t>Sampling International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12/20/2024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14,847,328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14,728,854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14,023,302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Riverpoint Medical,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1,958,417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1,905,678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Sales Benchmark Index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7.75%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7,887,195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7,748,712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7,697,903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Sargent &amp; Greenleaf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5,448,483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5,378,893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5,350,411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Signature Systems Holding Company</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05/03/2024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L+650</w:t>
            </w:r>
          </w:p>
        </w:tc>
        <w:tc>
          <w:tcPr>
            <w:tcW w:w="680" w:type="dxa"/>
            <w:vAlign w:val="bottom"/>
          </w:tcPr>
          <w:p>
            <w:pPr>
              <w:jc w:val="right"/>
              <w:spacing w:after="0"/>
              <w:rPr>
                <w:sz w:val="20"/>
                <w:szCs w:val="20"/>
                <w:color w:val="auto"/>
              </w:rPr>
            </w:pPr>
            <w:r>
              <w:rPr>
                <w:rFonts w:ascii="Arial" w:cs="Arial" w:eastAsia="Arial" w:hAnsi="Arial"/>
                <w:sz w:val="11"/>
                <w:szCs w:val="11"/>
                <w:color w:val="auto"/>
              </w:rPr>
              <w:t>14,250,000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14,096,623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13,786,875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Solutionreach,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01/17/2024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Communications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12,531,123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12,351,398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12,393,282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STV Group Incorporated</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12/11/2026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5.40%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12,351,980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12,238,771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12,228,460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TeleGuam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11/20/2025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5,080,832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5,034,725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4,928,407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Teneo Holdings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07/18/2025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1,980,000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1,874,970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1,905,750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Food</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5,650,076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5,593,575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5,480,573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01/18/2024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14,547,897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14,343,185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14,438,788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06/16/2025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8,644,186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8,469,082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8,471,302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UBEO,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04/03/2024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4,738,102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4,700,032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4,453,816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Vision Purchaser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06/10/2025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14,358,203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14,112,113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13,496,711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tcBorders>
              <w:bottom w:val="single" w:sz="8" w:color="CCECFF"/>
            </w:tcBorders>
          </w:tcPr>
          <w:p>
            <w:pPr>
              <w:jc w:val="center"/>
              <w:spacing w:after="0"/>
              <w:rPr>
                <w:sz w:val="20"/>
                <w:szCs w:val="20"/>
                <w:color w:val="auto"/>
              </w:rPr>
            </w:pPr>
            <w:r>
              <w:rPr>
                <w:rFonts w:ascii="Arial" w:cs="Arial" w:eastAsia="Arial" w:hAnsi="Arial"/>
                <w:sz w:val="11"/>
                <w:szCs w:val="11"/>
                <w:color w:val="auto"/>
                <w:w w:val="87"/>
              </w:rPr>
              <w:t>10/18/2022</w:t>
            </w:r>
          </w:p>
        </w:tc>
        <w:tc>
          <w:tcPr>
            <w:tcW w:w="12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tcBorders>
              <w:bottom w:val="single" w:sz="8" w:color="CCECFF"/>
            </w:tcBorders>
            <w:gridSpan w:val="2"/>
          </w:tcPr>
          <w:p>
            <w:pPr>
              <w:ind w:left="400"/>
              <w:spacing w:after="0"/>
              <w:rPr>
                <w:sz w:val="20"/>
                <w:szCs w:val="20"/>
                <w:color w:val="auto"/>
              </w:rPr>
            </w:pPr>
            <w:r>
              <w:rPr>
                <w:rFonts w:ascii="Arial" w:cs="Arial" w:eastAsia="Arial" w:hAnsi="Arial"/>
                <w:sz w:val="11"/>
                <w:szCs w:val="11"/>
                <w:color w:val="auto"/>
              </w:rPr>
              <w:t>1M L+750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14,194,162</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14,029,177</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14,052,223</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358,023,408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353,366,358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Cash and Cash Equivalents—15.0%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7,353,307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7,353,307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US Bank Cash</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183,412</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183,412</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7,536,719</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7,536,719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Total Investments and Cash Equivalents—716.6%</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365,560,127</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360,903,077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CFF"/>
            </w:tcBorders>
            <w:gridSpan w:val="3"/>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Assets—(616.6)%</w:t>
            </w:r>
          </w:p>
        </w:tc>
        <w:tc>
          <w:tcPr>
            <w:tcW w:w="6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8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80" w:type="dxa"/>
            <w:vAlign w:val="bottom"/>
            <w:gridSpan w:val="3"/>
            <w:vMerge w:val="continue"/>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(310,538,386)</w:t>
            </w:r>
          </w:p>
        </w:tc>
        <w:tc>
          <w:tcPr>
            <w:tcW w:w="0" w:type="dxa"/>
            <w:vAlign w:val="bottom"/>
          </w:tcPr>
          <w:p>
            <w:pPr>
              <w:spacing w:after="0"/>
              <w:rPr>
                <w:sz w:val="1"/>
                <w:szCs w:val="1"/>
                <w:color w:val="auto"/>
              </w:rPr>
            </w:pPr>
          </w:p>
        </w:tc>
      </w:tr>
      <w:tr>
        <w:trPr>
          <w:trHeight w:val="129"/>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Members' Equity—100.0%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50,364,691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80" w:right="40" w:hanging="372"/>
        <w:spacing w:after="0" w:line="235" w:lineRule="auto"/>
        <w:tabs>
          <w:tab w:leader="none" w:pos="380" w:val="left"/>
        </w:tabs>
        <w:numPr>
          <w:ilvl w:val="0"/>
          <w:numId w:val="40"/>
        </w:numPr>
        <w:rPr>
          <w:rFonts w:ascii="Arial" w:cs="Arial" w:eastAsia="Arial" w:hAnsi="Arial"/>
          <w:sz w:val="9"/>
          <w:szCs w:val="9"/>
          <w:b w:val="1"/>
          <w:bCs w:val="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tabs>
          <w:tab w:leader="none" w:pos="380" w:val="left"/>
        </w:tabs>
        <w:numPr>
          <w:ilvl w:val="0"/>
          <w:numId w:val="40"/>
        </w:numPr>
        <w:rPr>
          <w:rFonts w:ascii="Arial" w:cs="Arial" w:eastAsia="Arial" w:hAnsi="Arial"/>
          <w:sz w:val="9"/>
          <w:szCs w:val="9"/>
          <w:b w:val="1"/>
          <w:bCs w:val="1"/>
          <w:color w:val="auto"/>
        </w:rPr>
      </w:pPr>
      <w:r>
        <w:rPr>
          <w:rFonts w:ascii="Arial" w:cs="Arial" w:eastAsia="Arial" w:hAnsi="Arial"/>
          <w:sz w:val="11"/>
          <w:szCs w:val="11"/>
          <w:color w:val="auto"/>
        </w:rPr>
        <w:t>Valued based on PSLF’s accounting policy.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2"/>
        </w:trPr>
        <w:tc>
          <w:tcPr>
            <w:tcW w:w="7040" w:type="dxa"/>
            <w:vAlign w:val="bottom"/>
            <w:gridSpan w:val="2"/>
          </w:tcPr>
          <w:p>
            <w:pPr>
              <w:ind w:left="440"/>
              <w:spacing w:after="0"/>
              <w:rPr>
                <w:sz w:val="20"/>
                <w:szCs w:val="20"/>
                <w:color w:val="auto"/>
              </w:rPr>
            </w:pPr>
            <w:r>
              <w:rPr>
                <w:rFonts w:ascii="Arial" w:cs="Arial" w:eastAsia="Arial" w:hAnsi="Arial"/>
                <w:sz w:val="14"/>
                <w:szCs w:val="14"/>
                <w:color w:val="auto"/>
              </w:rPr>
              <w:t>Below is the financial information for PSLF:</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2960" w:type="dxa"/>
            <w:vAlign w:val="bottom"/>
          </w:tcPr>
          <w:p>
            <w:pPr>
              <w:spacing w:after="0"/>
              <w:rPr>
                <w:sz w:val="24"/>
                <w:szCs w:val="24"/>
                <w:color w:val="auto"/>
              </w:rPr>
            </w:pPr>
          </w:p>
        </w:tc>
        <w:tc>
          <w:tcPr>
            <w:tcW w:w="4080" w:type="dxa"/>
            <w:vAlign w:val="bottom"/>
          </w:tcPr>
          <w:p>
            <w:pPr>
              <w:ind w:left="1520"/>
              <w:spacing w:after="0"/>
              <w:rPr>
                <w:sz w:val="20"/>
                <w:szCs w:val="20"/>
                <w:color w:val="auto"/>
              </w:rPr>
            </w:pPr>
            <w:r>
              <w:rPr>
                <w:rFonts w:ascii="Arial" w:cs="Arial" w:eastAsia="Arial" w:hAnsi="Arial"/>
                <w:sz w:val="14"/>
                <w:szCs w:val="14"/>
                <w:b w:val="1"/>
                <w:bCs w:val="1"/>
                <w:color w:val="auto"/>
              </w:rPr>
              <w:t>Statements of Assets and Liabilities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24"/>
                <w:szCs w:val="24"/>
                <w:color w:val="auto"/>
              </w:rPr>
            </w:pPr>
          </w:p>
        </w:tc>
        <w:tc>
          <w:tcPr>
            <w:tcW w:w="1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62"/>
        </w:trPr>
        <w:tc>
          <w:tcPr>
            <w:tcW w:w="7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0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Investments at fair value (cost—$381,857,597 and $358,023,408, respectively)</w:t>
            </w:r>
          </w:p>
        </w:tc>
        <w:tc>
          <w:tcPr>
            <w:tcW w:w="620" w:type="dxa"/>
            <w:vAlign w:val="bottom"/>
            <w:gridSpan w:val="2"/>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381,654,953</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353,366,358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tcPr>
          <w:p>
            <w:pPr>
              <w:spacing w:after="0"/>
              <w:rPr>
                <w:sz w:val="20"/>
                <w:szCs w:val="20"/>
                <w:color w:val="auto"/>
              </w:rPr>
            </w:pPr>
            <w:r>
              <w:rPr>
                <w:rFonts w:ascii="Arial" w:cs="Arial" w:eastAsia="Arial" w:hAnsi="Arial"/>
                <w:sz w:val="14"/>
                <w:szCs w:val="14"/>
                <w:color w:val="auto"/>
              </w:rPr>
              <w:t>Cash and cash equivalents (cost—$12,540,014 and $7,536,719, respectively)</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12,540,014</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7,536,719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40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912,621</w:t>
            </w:r>
          </w:p>
        </w:tc>
        <w:tc>
          <w:tcPr>
            <w:tcW w:w="30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877,008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40" w:type="dxa"/>
            <w:vAlign w:val="bottom"/>
            <w:tcBorders>
              <w:bottom w:val="single" w:sz="8" w:color="CCECFF"/>
            </w:tcBorders>
            <w:gridSpan w:val="2"/>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40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395,107,588</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361,780,085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4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4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5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40" w:type="dxa"/>
            <w:vAlign w:val="bottom"/>
            <w:gridSpan w:val="2"/>
          </w:tcPr>
          <w:p>
            <w:pPr>
              <w:spacing w:after="0"/>
              <w:rPr>
                <w:sz w:val="20"/>
                <w:szCs w:val="20"/>
                <w:color w:val="auto"/>
              </w:rPr>
            </w:pPr>
            <w:r>
              <w:rPr>
                <w:rFonts w:ascii="Arial" w:cs="Arial" w:eastAsia="Arial" w:hAnsi="Arial"/>
                <w:sz w:val="14"/>
                <w:szCs w:val="14"/>
                <w:color w:val="auto"/>
              </w:rPr>
              <w:t>Distribution payable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2,400,000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1,393,716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4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4,569,231</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tcPr>
          <w:p>
            <w:pPr>
              <w:spacing w:after="0"/>
              <w:rPr>
                <w:sz w:val="20"/>
                <w:szCs w:val="20"/>
                <w:color w:val="auto"/>
              </w:rPr>
            </w:pPr>
            <w:r>
              <w:rPr>
                <w:rFonts w:ascii="Arial" w:cs="Arial" w:eastAsia="Arial" w:hAnsi="Arial"/>
                <w:sz w:val="14"/>
                <w:szCs w:val="14"/>
                <w:color w:val="auto"/>
              </w:rPr>
              <w:t>Credit facility payable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212,000,000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213,500,000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Notes payable to members</w:t>
            </w:r>
          </w:p>
        </w:tc>
        <w:tc>
          <w:tcPr>
            <w:tcW w:w="4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106,040,612</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tcPr>
          <w:p>
            <w:pPr>
              <w:spacing w:after="0"/>
              <w:rPr>
                <w:sz w:val="20"/>
                <w:szCs w:val="20"/>
                <w:color w:val="auto"/>
              </w:rPr>
            </w:pPr>
            <w:r>
              <w:rPr>
                <w:rFonts w:ascii="Arial" w:cs="Arial" w:eastAsia="Arial" w:hAnsi="Arial"/>
                <w:sz w:val="14"/>
                <w:szCs w:val="14"/>
                <w:color w:val="auto"/>
              </w:rPr>
              <w:t>Interest payable on credit facility</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1,477,458</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1,649,852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payable on members notes</w:t>
            </w:r>
          </w:p>
        </w:tc>
        <w:tc>
          <w:tcPr>
            <w:tcW w:w="4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1,590,609</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1,356,250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Accrued other expenses</w:t>
            </w:r>
          </w:p>
        </w:tc>
        <w:tc>
          <w:tcPr>
            <w:tcW w:w="40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518,455</w:t>
            </w:r>
          </w:p>
        </w:tc>
        <w:tc>
          <w:tcPr>
            <w:tcW w:w="30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315,576</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40" w:type="dxa"/>
            <w:vAlign w:val="bottom"/>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40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328,596,365</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311,415,394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40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40" w:type="dxa"/>
            <w:vAlign w:val="bottom"/>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40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66,511,223</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50,364,691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gridSpan w:val="2"/>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40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395,107,588</w:t>
            </w:r>
          </w:p>
        </w:tc>
        <w:tc>
          <w:tcPr>
            <w:tcW w:w="30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361,780,085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960" w:type="dxa"/>
            <w:vAlign w:val="bottom"/>
            <w:tcBorders>
              <w:bottom w:val="single" w:sz="8" w:color="auto"/>
            </w:tcBorders>
          </w:tcPr>
          <w:p>
            <w:pPr>
              <w:spacing w:after="0"/>
              <w:rPr>
                <w:sz w:val="3"/>
                <w:szCs w:val="3"/>
                <w:color w:val="auto"/>
              </w:rPr>
            </w:pPr>
          </w:p>
        </w:tc>
        <w:tc>
          <w:tcPr>
            <w:tcW w:w="4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0"/>
          <w:szCs w:val="10"/>
          <w:b w:val="1"/>
          <w:bCs w:val="1"/>
          <w:color w:val="auto"/>
        </w:rPr>
      </w:pPr>
      <w:r>
        <w:rPr>
          <w:rFonts w:ascii="Arial" w:cs="Arial" w:eastAsia="Arial" w:hAnsi="Arial"/>
          <w:sz w:val="11"/>
          <w:szCs w:val="11"/>
          <w:color w:val="auto"/>
        </w:rPr>
        <w:t>As of March 31, 2021 and September 30, 2020, PSLF had unfunded commitments to fund investments of $0.5 million and zero, respectively.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3100" w:type="dxa"/>
            <w:vAlign w:val="bottom"/>
            <w:gridSpan w:val="2"/>
          </w:tcPr>
          <w:p>
            <w:pPr>
              <w:jc w:val="right"/>
              <w:ind w:right="748"/>
              <w:spacing w:after="0"/>
              <w:rPr>
                <w:sz w:val="20"/>
                <w:szCs w:val="20"/>
                <w:color w:val="auto"/>
              </w:rPr>
            </w:pPr>
            <w:r>
              <w:rPr>
                <w:rFonts w:ascii="Arial" w:cs="Arial" w:eastAsia="Arial" w:hAnsi="Arial"/>
                <w:sz w:val="14"/>
                <w:szCs w:val="14"/>
                <w:b w:val="1"/>
                <w:bCs w:val="1"/>
                <w:color w:val="auto"/>
              </w:rPr>
              <w:t xml:space="preserve">Statements of Operations </w:t>
            </w:r>
            <w:r>
              <w:rPr>
                <w:rFonts w:ascii="Arial" w:cs="Arial" w:eastAsia="Arial" w:hAnsi="Arial"/>
                <w:sz w:val="12"/>
                <w:szCs w:val="12"/>
                <w:b w:val="1"/>
                <w:bCs w:val="1"/>
                <w:color w:val="auto"/>
              </w:rPr>
              <w:t>(1)</w:t>
            </w: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22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2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CECFF"/>
            </w:tcBorders>
          </w:tcPr>
          <w:p>
            <w:pPr>
              <w:spacing w:after="0"/>
              <w:rPr>
                <w:sz w:val="13"/>
                <w:szCs w:val="13"/>
                <w:color w:val="auto"/>
              </w:rPr>
            </w:pPr>
          </w:p>
        </w:tc>
        <w:tc>
          <w:tcPr>
            <w:tcW w:w="292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center"/>
              <w:ind w:right="108"/>
              <w:spacing w:after="0" w:line="155" w:lineRule="exact"/>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CFF"/>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708"/>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29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6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4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31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6,695,820</w:t>
            </w:r>
          </w:p>
        </w:tc>
        <w:tc>
          <w:tcPr>
            <w:tcW w:w="10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13,257,816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29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289,777</w:t>
            </w:r>
          </w:p>
        </w:tc>
        <w:tc>
          <w:tcPr>
            <w:tcW w:w="100" w:type="dxa"/>
            <w:vAlign w:val="bottom"/>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726,734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9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6,985,597</w:t>
            </w:r>
          </w:p>
        </w:tc>
        <w:tc>
          <w:tcPr>
            <w:tcW w:w="100" w:type="dxa"/>
            <w:vAlign w:val="bottom"/>
            <w:tcBorders>
              <w:bottom w:val="single" w:sz="8" w:color="CCEC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13,984,550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9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6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4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260"/>
              <w:spacing w:after="0"/>
              <w:rPr>
                <w:sz w:val="20"/>
                <w:szCs w:val="20"/>
                <w:color w:val="auto"/>
              </w:rPr>
            </w:pPr>
            <w:r>
              <w:rPr>
                <w:rFonts w:ascii="Arial" w:cs="Arial" w:eastAsia="Arial" w:hAnsi="Arial"/>
                <w:sz w:val="14"/>
                <w:szCs w:val="14"/>
                <w:color w:val="auto"/>
              </w:rPr>
              <w:t>Interest and expenses on credit facility</w:t>
            </w: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1,497,604</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3,249,951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expense on members notes</w:t>
            </w:r>
          </w:p>
        </w:tc>
        <w:tc>
          <w:tcPr>
            <w:tcW w:w="29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2,381,279</w:t>
            </w:r>
          </w:p>
        </w:tc>
        <w:tc>
          <w:tcPr>
            <w:tcW w:w="10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4,683,188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260"/>
              <w:spacing w:after="0"/>
              <w:rPr>
                <w:sz w:val="20"/>
                <w:szCs w:val="20"/>
                <w:color w:val="auto"/>
              </w:rPr>
            </w:pPr>
            <w:r>
              <w:rPr>
                <w:rFonts w:ascii="Arial" w:cs="Arial" w:eastAsia="Arial" w:hAnsi="Arial"/>
                <w:sz w:val="14"/>
                <w:szCs w:val="14"/>
                <w:color w:val="auto"/>
              </w:rPr>
              <w:t>Administrative services expenses</w:t>
            </w: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292,965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585,930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(2)</w:t>
            </w:r>
          </w:p>
        </w:tc>
        <w:tc>
          <w:tcPr>
            <w:tcW w:w="29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111,648</w:t>
            </w:r>
          </w:p>
        </w:tc>
        <w:tc>
          <w:tcPr>
            <w:tcW w:w="100" w:type="dxa"/>
            <w:vAlign w:val="bottom"/>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223,296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29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4,283,496</w:t>
            </w:r>
          </w:p>
        </w:tc>
        <w:tc>
          <w:tcPr>
            <w:tcW w:w="100" w:type="dxa"/>
            <w:vAlign w:val="bottom"/>
            <w:tcBorders>
              <w:bottom w:val="single" w:sz="8" w:color="CCEC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8,742,365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9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16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2,702,101</w:t>
            </w:r>
          </w:p>
        </w:tc>
        <w:tc>
          <w:tcPr>
            <w:tcW w:w="100" w:type="dxa"/>
            <w:vAlign w:val="bottom"/>
            <w:shd w:val="clear" w:color="auto" w:fill="CCECFF"/>
          </w:tcPr>
          <w:p>
            <w:pPr>
              <w:spacing w:after="0"/>
              <w:rPr>
                <w:sz w:val="13"/>
                <w:szCs w:val="13"/>
                <w:color w:val="auto"/>
              </w:rPr>
            </w:pPr>
          </w:p>
        </w:tc>
        <w:tc>
          <w:tcPr>
            <w:tcW w:w="68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5,242,185</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gain on investments:</w:t>
            </w:r>
          </w:p>
        </w:tc>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CFF"/>
          </w:tcPr>
          <w:p>
            <w:pPr>
              <w:spacing w:after="0"/>
              <w:rPr>
                <w:sz w:val="20"/>
                <w:szCs w:val="20"/>
                <w:color w:val="auto"/>
              </w:rPr>
            </w:pPr>
            <w:r>
              <w:rPr>
                <w:rFonts w:ascii="Arial" w:cs="Arial" w:eastAsia="Arial" w:hAnsi="Arial"/>
                <w:sz w:val="14"/>
                <w:szCs w:val="14"/>
                <w:color w:val="auto"/>
              </w:rPr>
              <w:t>Net realized gain on investments</w:t>
            </w:r>
          </w:p>
        </w:tc>
        <w:tc>
          <w:tcPr>
            <w:tcW w:w="29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7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464,337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Net change in unrealized appreciation on investments</w:t>
            </w:r>
          </w:p>
        </w:tc>
        <w:tc>
          <w:tcPr>
            <w:tcW w:w="29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1,744,154</w:t>
            </w:r>
          </w:p>
        </w:tc>
        <w:tc>
          <w:tcPr>
            <w:tcW w:w="100" w:type="dxa"/>
            <w:vAlign w:val="bottom"/>
            <w:tcBorders>
              <w:bottom w:val="single" w:sz="8" w:color="CCEC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4,454,406</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w:t>
            </w:r>
          </w:p>
        </w:tc>
        <w:tc>
          <w:tcPr>
            <w:tcW w:w="29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16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1,744,154</w:t>
            </w:r>
          </w:p>
        </w:tc>
        <w:tc>
          <w:tcPr>
            <w:tcW w:w="100" w:type="dxa"/>
            <w:vAlign w:val="bottom"/>
            <w:shd w:val="clear" w:color="auto" w:fill="CCECFF"/>
          </w:tcPr>
          <w:p>
            <w:pPr>
              <w:spacing w:after="0"/>
              <w:rPr>
                <w:sz w:val="13"/>
                <w:szCs w:val="13"/>
                <w:color w:val="auto"/>
              </w:rPr>
            </w:pPr>
          </w:p>
        </w:tc>
        <w:tc>
          <w:tcPr>
            <w:tcW w:w="68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4,918,743</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292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4,446,255</w:t>
            </w:r>
          </w:p>
        </w:tc>
        <w:tc>
          <w:tcPr>
            <w:tcW w:w="100" w:type="dxa"/>
            <w:vAlign w:val="bottom"/>
          </w:tcPr>
          <w:p>
            <w:pPr>
              <w:spacing w:after="0"/>
              <w:rPr>
                <w:sz w:val="13"/>
                <w:szCs w:val="13"/>
                <w:color w:val="auto"/>
              </w:rPr>
            </w:pPr>
          </w:p>
        </w:tc>
        <w:tc>
          <w:tcPr>
            <w:tcW w:w="68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10,160,928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18599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4"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9"/>
          <w:szCs w:val="9"/>
          <w:b w:val="1"/>
          <w:bCs w:val="1"/>
          <w:color w:val="auto"/>
        </w:rPr>
      </w:pPr>
      <w:r>
        <w:rPr>
          <w:rFonts w:ascii="Arial" w:cs="Arial" w:eastAsia="Arial" w:hAnsi="Arial"/>
          <w:sz w:val="11"/>
          <w:szCs w:val="11"/>
          <w:color w:val="auto"/>
        </w:rPr>
        <w:t>PSLF commenced operations on July 31, 2020.</w:t>
      </w:r>
    </w:p>
    <w:p>
      <w:pPr>
        <w:spacing w:after="0" w:line="3" w:lineRule="exact"/>
        <w:rPr>
          <w:rFonts w:ascii="Arial" w:cs="Arial" w:eastAsia="Arial" w:hAnsi="Arial"/>
          <w:sz w:val="9"/>
          <w:szCs w:val="9"/>
          <w:b w:val="1"/>
          <w:bCs w:val="1"/>
          <w:color w:val="auto"/>
        </w:rPr>
      </w:pPr>
    </w:p>
    <w:p>
      <w:pPr>
        <w:ind w:left="380" w:hanging="372"/>
        <w:spacing w:after="0"/>
        <w:tabs>
          <w:tab w:leader="none" w:pos="380" w:val="left"/>
        </w:tabs>
        <w:numPr>
          <w:ilvl w:val="0"/>
          <w:numId w:val="42"/>
        </w:numPr>
        <w:rPr>
          <w:rFonts w:ascii="Arial" w:cs="Arial" w:eastAsia="Arial" w:hAnsi="Arial"/>
          <w:sz w:val="9"/>
          <w:szCs w:val="9"/>
          <w:b w:val="1"/>
          <w:bCs w:val="1"/>
          <w:color w:val="auto"/>
        </w:rPr>
      </w:pPr>
      <w:r>
        <w:rPr>
          <w:rFonts w:ascii="Arial" w:cs="Arial" w:eastAsia="Arial" w:hAnsi="Arial"/>
          <w:sz w:val="11"/>
          <w:szCs w:val="11"/>
          <w:color w:val="auto"/>
        </w:rPr>
        <w:t>No management or incentive fees are payable by PSLF. If any fees were to be charged, they would be separately disclosed in the Statement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217" w:lineRule="exact"/>
        <w:rPr>
          <w:sz w:val="20"/>
          <w:szCs w:val="20"/>
          <w:color w:val="auto"/>
        </w:rPr>
      </w:pPr>
    </w:p>
    <w:p>
      <w:pPr>
        <w:ind w:right="46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March 31, 2021, including borrowings under our various debt facilities and other contractual obligations, is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6"/>
          </w:tcPr>
          <w:p>
            <w:pPr>
              <w:jc w:val="right"/>
              <w:spacing w:after="0"/>
              <w:rPr>
                <w:sz w:val="20"/>
                <w:szCs w:val="20"/>
                <w:color w:val="auto"/>
              </w:rPr>
            </w:pPr>
            <w:r>
              <w:rPr>
                <w:rFonts w:ascii="Arial" w:cs="Arial" w:eastAsia="Arial" w:hAnsi="Arial"/>
                <w:sz w:val="14"/>
                <w:szCs w:val="14"/>
                <w:b w:val="1"/>
                <w:bCs w:val="1"/>
                <w:color w:val="auto"/>
              </w:rPr>
              <w:t>Payments due by period (in millions)</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660" w:type="dxa"/>
            <w:vAlign w:val="bottom"/>
          </w:tcPr>
          <w:p>
            <w:pPr>
              <w:spacing w:after="0"/>
              <w:rPr>
                <w:sz w:val="14"/>
                <w:szCs w:val="14"/>
                <w:color w:val="auto"/>
              </w:rPr>
            </w:pPr>
          </w:p>
        </w:tc>
        <w:tc>
          <w:tcPr>
            <w:tcW w:w="840" w:type="dxa"/>
            <w:vAlign w:val="bottom"/>
          </w:tcPr>
          <w:p>
            <w:pPr>
              <w:jc w:val="right"/>
              <w:ind w:right="2"/>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w w:val="92"/>
              </w:rPr>
              <w:t>Less than 1 year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1-3 years</w:t>
            </w:r>
          </w:p>
        </w:tc>
        <w:tc>
          <w:tcPr>
            <w:tcW w:w="3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More than 5 years</w:t>
            </w:r>
          </w:p>
        </w:tc>
      </w:tr>
      <w:tr>
        <w:trPr>
          <w:trHeight w:val="155"/>
        </w:trPr>
        <w:tc>
          <w:tcPr>
            <w:tcW w:w="36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Truist Credit Facility</w:t>
            </w:r>
          </w:p>
        </w:tc>
        <w:tc>
          <w:tcPr>
            <w:tcW w:w="840" w:type="dxa"/>
            <w:vAlign w:val="bottom"/>
            <w:tcBorders>
              <w:top w:val="single" w:sz="8" w:color="auto"/>
            </w:tcBorders>
            <w:shd w:val="clear" w:color="auto" w:fill="CCECFF"/>
          </w:tcPr>
          <w:p>
            <w:pPr>
              <w:jc w:val="right"/>
              <w:ind w:right="722"/>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375.5</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31.6</w:t>
            </w:r>
          </w:p>
        </w:tc>
        <w:tc>
          <w:tcPr>
            <w:tcW w:w="2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343.9</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SBA debentures</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108.5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86.0</w:t>
            </w:r>
          </w:p>
        </w:tc>
        <w:tc>
          <w:tcPr>
            <w:tcW w:w="120" w:type="dxa"/>
            <w:vAlign w:val="bottom"/>
          </w:tcPr>
          <w:p>
            <w:pPr>
              <w:spacing w:after="0"/>
              <w:rPr>
                <w:sz w:val="14"/>
                <w:szCs w:val="14"/>
                <w:color w:val="auto"/>
              </w:rPr>
            </w:pPr>
          </w:p>
        </w:tc>
      </w:tr>
      <w:tr>
        <w:trPr>
          <w:trHeight w:val="162"/>
        </w:trPr>
        <w:tc>
          <w:tcPr>
            <w:tcW w:w="3660" w:type="dxa"/>
            <w:vAlign w:val="bottom"/>
            <w:shd w:val="clear" w:color="auto" w:fill="CCECFF"/>
          </w:tcPr>
          <w:p>
            <w:pPr>
              <w:spacing w:after="0"/>
              <w:rPr>
                <w:sz w:val="20"/>
                <w:szCs w:val="20"/>
                <w:color w:val="auto"/>
              </w:rPr>
            </w:pPr>
            <w:r>
              <w:rPr>
                <w:rFonts w:ascii="Arial" w:cs="Arial" w:eastAsia="Arial" w:hAnsi="Arial"/>
                <w:sz w:val="14"/>
                <w:szCs w:val="14"/>
                <w:color w:val="auto"/>
              </w:rPr>
              <w:t>2024 Notes</w:t>
            </w:r>
          </w:p>
        </w:tc>
        <w:tc>
          <w:tcPr>
            <w:tcW w:w="84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86.3</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86.3</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55"/>
        </w:trPr>
        <w:tc>
          <w:tcPr>
            <w:tcW w:w="3660" w:type="dxa"/>
            <w:vAlign w:val="bottom"/>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570.3</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31.6</w:t>
            </w:r>
          </w:p>
        </w:tc>
        <w:tc>
          <w:tcPr>
            <w:tcW w:w="2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452.7</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86.0</w:t>
            </w:r>
          </w:p>
        </w:tc>
        <w:tc>
          <w:tcPr>
            <w:tcW w:w="120" w:type="dxa"/>
            <w:vAlign w:val="bottom"/>
          </w:tcPr>
          <w:p>
            <w:pPr>
              <w:spacing w:after="0"/>
              <w:rPr>
                <w:sz w:val="13"/>
                <w:szCs w:val="13"/>
                <w:color w:val="auto"/>
              </w:rPr>
            </w:pPr>
          </w:p>
        </w:tc>
      </w:tr>
      <w:tr>
        <w:trPr>
          <w:trHeight w:val="162"/>
        </w:trPr>
        <w:tc>
          <w:tcPr>
            <w:tcW w:w="36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4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47.4</w:t>
            </w:r>
          </w:p>
        </w:tc>
        <w:tc>
          <w:tcPr>
            <w:tcW w:w="26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10.3</w:t>
            </w:r>
          </w:p>
        </w:tc>
        <w:tc>
          <w:tcPr>
            <w:tcW w:w="26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12.5</w:t>
            </w:r>
          </w:p>
        </w:tc>
        <w:tc>
          <w:tcPr>
            <w:tcW w:w="26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21.5</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 w:type="dxa"/>
            <w:vAlign w:val="bottom"/>
            <w:tcBorders>
              <w:bottom w:val="single" w:sz="8" w:color="auto"/>
            </w:tcBorders>
            <w:shd w:val="clear" w:color="auto" w:fill="CCECFF"/>
          </w:tcPr>
          <w:p>
            <w:pPr>
              <w:spacing w:after="0"/>
              <w:rPr>
                <w:sz w:val="14"/>
                <w:szCs w:val="14"/>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CFF"/>
          </w:tcPr>
          <w:p>
            <w:pPr>
              <w:spacing w:after="0"/>
              <w:rPr>
                <w:sz w:val="14"/>
                <w:szCs w:val="14"/>
                <w:color w:val="auto"/>
              </w:rPr>
            </w:pPr>
          </w:p>
        </w:tc>
      </w:tr>
      <w:tr>
        <w:trPr>
          <w:trHeight w:val="155"/>
        </w:trPr>
        <w:tc>
          <w:tcPr>
            <w:tcW w:w="3660" w:type="dxa"/>
            <w:vAlign w:val="bottom"/>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40" w:type="dxa"/>
            <w:vAlign w:val="bottom"/>
            <w:tcBorders>
              <w:bottom w:val="single" w:sz="8" w:color="auto"/>
            </w:tcBorders>
          </w:tcPr>
          <w:p>
            <w:pPr>
              <w:jc w:val="right"/>
              <w:ind w:right="722"/>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617.7</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w:t>
            </w:r>
          </w:p>
        </w:tc>
        <w:tc>
          <w:tcPr>
            <w:tcW w:w="26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44.1</w:t>
            </w:r>
          </w:p>
        </w:tc>
        <w:tc>
          <w:tcPr>
            <w:tcW w:w="260" w:type="dxa"/>
            <w:vAlign w:val="bottom"/>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474.2</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89.1</w:t>
            </w:r>
          </w:p>
        </w:tc>
        <w:tc>
          <w:tcPr>
            <w:tcW w:w="120" w:type="dxa"/>
            <w:vAlign w:val="bottom"/>
          </w:tcPr>
          <w:p>
            <w:pPr>
              <w:spacing w:after="0"/>
              <w:rPr>
                <w:sz w:val="13"/>
                <w:szCs w:val="13"/>
                <w:color w:val="auto"/>
              </w:rPr>
            </w:pPr>
          </w:p>
        </w:tc>
      </w:tr>
      <w:tr>
        <w:trPr>
          <w:trHeight w:val="20"/>
        </w:trPr>
        <w:tc>
          <w:tcPr>
            <w:tcW w:w="3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3455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38" w:lineRule="exact"/>
        <w:rPr>
          <w:sz w:val="20"/>
          <w:szCs w:val="20"/>
          <w:color w:val="auto"/>
        </w:rPr>
      </w:pPr>
    </w:p>
    <w:p>
      <w:pPr>
        <w:ind w:left="380" w:hanging="372"/>
        <w:spacing w:after="0"/>
        <w:tabs>
          <w:tab w:leader="none" w:pos="380" w:val="left"/>
        </w:tabs>
        <w:numPr>
          <w:ilvl w:val="0"/>
          <w:numId w:val="43"/>
        </w:numPr>
        <w:rPr>
          <w:rFonts w:ascii="Arial" w:cs="Arial" w:eastAsia="Arial" w:hAnsi="Arial"/>
          <w:sz w:val="8"/>
          <w:szCs w:val="8"/>
          <w:b w:val="1"/>
          <w:bCs w:val="1"/>
          <w:color w:val="auto"/>
        </w:rPr>
      </w:pPr>
      <w:r>
        <w:rPr>
          <w:rFonts w:ascii="Arial" w:cs="Arial" w:eastAsia="Arial" w:hAnsi="Arial"/>
          <w:sz w:val="10"/>
          <w:szCs w:val="10"/>
          <w:color w:val="auto"/>
        </w:rPr>
        <w:t>The annualized weighted average cost of debt as of March 31, 2021 was 3.1%, exclusive of the fee on the undrawn commitment on the Truist Credit Facility, debt issuance costs on the 2024 Notes and upfront fees on SBA debentures.</w:t>
      </w:r>
    </w:p>
    <w:p>
      <w:pPr>
        <w:spacing w:after="0" w:line="14" w:lineRule="exact"/>
        <w:rPr>
          <w:rFonts w:ascii="Arial" w:cs="Arial" w:eastAsia="Arial" w:hAnsi="Arial"/>
          <w:sz w:val="8"/>
          <w:szCs w:val="8"/>
          <w:b w:val="1"/>
          <w:bCs w:val="1"/>
          <w:color w:val="auto"/>
        </w:rPr>
      </w:pPr>
    </w:p>
    <w:p>
      <w:pPr>
        <w:ind w:left="380" w:hanging="372"/>
        <w:spacing w:after="0"/>
        <w:tabs>
          <w:tab w:leader="none" w:pos="380" w:val="left"/>
        </w:tabs>
        <w:numPr>
          <w:ilvl w:val="0"/>
          <w:numId w:val="43"/>
        </w:numPr>
        <w:rPr>
          <w:rFonts w:ascii="Arial" w:cs="Arial" w:eastAsia="Arial" w:hAnsi="Arial"/>
          <w:sz w:val="9"/>
          <w:szCs w:val="9"/>
          <w:b w:val="1"/>
          <w:bCs w:val="1"/>
          <w:color w:val="auto"/>
        </w:rPr>
      </w:pPr>
      <w:r>
        <w:rPr>
          <w:rFonts w:ascii="Arial" w:cs="Arial" w:eastAsia="Arial" w:hAnsi="Arial"/>
          <w:sz w:val="11"/>
          <w:szCs w:val="11"/>
          <w:color w:val="auto"/>
        </w:rPr>
        <w:t>Unfunded debt and equity investments are disclosed in the Consolidated Schedule of Investments and Note 11 of our Consolidated Financial Statements</w:t>
      </w:r>
    </w:p>
    <w:p>
      <w:pPr>
        <w:spacing w:after="0" w:line="208"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2021, PennantPark Investment Advisers serves as our investment adviser. PennantPark Investment, through the Investment Adviser, provides similar services to SBIC II under its investment management agreement with us. SBIC II’s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90"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2021, the Administrator furnishes us with office facilities and administrative services necessary to conduct our day-to-day operations. PennantPark Investment, through the Administrator, provides similar services to SBIC II under its administration agreement, which is intended to have no effect on the consolidated administration fee. If requested to provide significant managerial assistance to our portfolio companies, we or the Administrator will be paid an additional amount based on the services provided.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41" w:name="page42"/>
    <w:bookmarkEnd w:id="41"/>
    <w:p>
      <w:pPr>
        <w:ind w:right="20"/>
        <w:spacing w:after="0" w:line="253" w:lineRule="auto"/>
        <w:rPr>
          <w:sz w:val="20"/>
          <w:szCs w:val="20"/>
          <w:color w:val="auto"/>
        </w:rPr>
      </w:pPr>
      <w:r>
        <w:rPr>
          <w:rFonts w:ascii="Arial" w:cs="Arial" w:eastAsia="Arial" w:hAnsi="Arial"/>
          <w:sz w:val="14"/>
          <w:szCs w:val="14"/>
          <w:color w:val="auto"/>
        </w:rPr>
        <w:t>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87"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217" w:lineRule="exact"/>
        <w:rPr>
          <w:sz w:val="20"/>
          <w:szCs w:val="20"/>
          <w:color w:val="auto"/>
        </w:rPr>
      </w:pPr>
    </w:p>
    <w:p>
      <w:pPr>
        <w:ind w:right="40" w:firstLine="729"/>
        <w:spacing w:after="0" w:line="226" w:lineRule="auto"/>
        <w:rPr>
          <w:sz w:val="20"/>
          <w:szCs w:val="20"/>
          <w:color w:val="auto"/>
        </w:rPr>
      </w:pPr>
      <w:r>
        <w:rPr>
          <w:rFonts w:ascii="Arial" w:cs="Arial" w:eastAsia="Arial" w:hAnsi="Arial"/>
          <w:sz w:val="14"/>
          <w:szCs w:val="14"/>
          <w:color w:val="auto"/>
        </w:rPr>
        <w:t>On April 14, 2021, we entered into an underwriting agreement, or the Underwriting Agreement, by and among the Company, the Adviser, the Administrator and Raymond James &amp; Associates, Inc., Keefe, Bruyette &amp; Woods, Inc. and Truist Securities, Inc., as representatives of the several underwriters named on Schedule A to the Underwriting Agreement, in connection with the issuance and sale of $150.0 million aggregate principal amount of the Company’s 4.5% Notes due 2026, or the 2026 Notes. On April 21, 2021, we closed the transaction and issued $150.0 million in aggregate principal amount of our 2026 Notes at a public offering price per note of 99.4%. Interest on the 2026 Notes is paid semi-annually on May 1 and November 1 of each year, at a rate of 4.5%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217" w:lineRule="exact"/>
        <w:rPr>
          <w:sz w:val="20"/>
          <w:szCs w:val="20"/>
          <w:color w:val="auto"/>
        </w:rPr>
      </w:pPr>
    </w:p>
    <w:p>
      <w:pPr>
        <w:jc w:val="both"/>
        <w:ind w:right="260" w:firstLine="438"/>
        <w:spacing w:after="0" w:line="238" w:lineRule="auto"/>
        <w:rPr>
          <w:sz w:val="20"/>
          <w:szCs w:val="20"/>
          <w:color w:val="auto"/>
        </w:rPr>
      </w:pPr>
      <w:r>
        <w:rPr>
          <w:rFonts w:ascii="Arial" w:cs="Arial" w:eastAsia="Arial" w:hAnsi="Arial"/>
          <w:sz w:val="14"/>
          <w:szCs w:val="14"/>
          <w:color w:val="auto"/>
        </w:rPr>
        <w:t>In order to be treated as a U.S.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9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97" w:lineRule="exact"/>
        <w:rPr>
          <w:sz w:val="20"/>
          <w:szCs w:val="20"/>
          <w:color w:val="auto"/>
        </w:rPr>
      </w:pPr>
    </w:p>
    <w:p>
      <w:pPr>
        <w:ind w:right="300" w:firstLine="438"/>
        <w:spacing w:after="0" w:line="251" w:lineRule="auto"/>
        <w:rPr>
          <w:sz w:val="20"/>
          <w:szCs w:val="20"/>
          <w:color w:val="auto"/>
        </w:rPr>
      </w:pPr>
      <w:r>
        <w:rPr>
          <w:rFonts w:ascii="Arial" w:cs="Arial" w:eastAsia="Arial" w:hAnsi="Arial"/>
          <w:sz w:val="13"/>
          <w:szCs w:val="13"/>
          <w:color w:val="auto"/>
        </w:rPr>
        <w:t>During the three and six months ended March 31, 2021, we declared distributions of $0.12 and $0.24 per share, for total distributions of $8.0 million and $16.1 million, respectively. For the same periods in the prior year, we declared distributions of $0.18 and $0.36 per share, for total distributions of $12.1 million and $24.1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217" w:lineRule="exact"/>
        <w:rPr>
          <w:sz w:val="20"/>
          <w:szCs w:val="20"/>
          <w:color w:val="auto"/>
        </w:rPr>
      </w:pPr>
    </w:p>
    <w:p>
      <w:pPr>
        <w:ind w:right="620" w:firstLine="438"/>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stockholders specifically “opt out” of the dividend reinvestment plan so as to receive cash distributions.</w:t>
      </w:r>
    </w:p>
    <w:p>
      <w:pPr>
        <w:spacing w:after="0" w:line="165"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9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221" w:lineRule="exact"/>
        <w:rPr>
          <w:sz w:val="20"/>
          <w:szCs w:val="20"/>
          <w:color w:val="auto"/>
        </w:rPr>
      </w:pPr>
    </w:p>
    <w:p>
      <w:pPr>
        <w:ind w:right="180" w:firstLine="438"/>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March 31, 2021, our debt portfolio consisted of 92%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97"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jc w:val="center"/>
              <w:ind w:left="568"/>
              <w:spacing w:after="0"/>
              <w:rPr>
                <w:sz w:val="20"/>
                <w:szCs w:val="20"/>
                <w:color w:val="auto"/>
              </w:rPr>
            </w:pPr>
            <w:r>
              <w:rPr>
                <w:rFonts w:ascii="Arial" w:cs="Arial" w:eastAsia="Arial" w:hAnsi="Arial"/>
                <w:sz w:val="14"/>
                <w:szCs w:val="14"/>
                <w:b w:val="1"/>
                <w:bCs w:val="1"/>
                <w:color w:val="auto"/>
                <w:w w:val="93"/>
              </w:rPr>
              <w:t>Change in Interest Income,</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Change in Interest Income,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Change in Interest Rates</w:t>
            </w:r>
          </w:p>
        </w:tc>
        <w:tc>
          <w:tcPr>
            <w:tcW w:w="220" w:type="dxa"/>
            <w:vAlign w:val="bottom"/>
          </w:tcPr>
          <w:p>
            <w:pPr>
              <w:spacing w:after="0"/>
              <w:rPr>
                <w:sz w:val="12"/>
                <w:szCs w:val="12"/>
                <w:color w:val="auto"/>
              </w:rPr>
            </w:pPr>
          </w:p>
        </w:tc>
        <w:tc>
          <w:tcPr>
            <w:tcW w:w="284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2"/>
              </w:rPr>
              <w:t>Net of Interest Expense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jc w:val="center"/>
              <w:ind w:left="568"/>
              <w:spacing w:after="0"/>
              <w:rPr>
                <w:sz w:val="20"/>
                <w:szCs w:val="20"/>
                <w:color w:val="auto"/>
              </w:rPr>
            </w:pPr>
            <w:r>
              <w:rPr>
                <w:rFonts w:ascii="Arial" w:cs="Arial" w:eastAsia="Arial" w:hAnsi="Arial"/>
                <w:sz w:val="14"/>
                <w:szCs w:val="14"/>
                <w:b w:val="1"/>
                <w:bCs w:val="1"/>
                <w:color w:val="auto"/>
                <w:w w:val="91"/>
              </w:rPr>
              <w:t>(in thousands)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2840" w:type="dxa"/>
            <w:vAlign w:val="bottom"/>
            <w:tcBorders>
              <w:top w:val="single" w:sz="8" w:color="auto"/>
            </w:tcBorders>
            <w:shd w:val="clear" w:color="auto" w:fill="CCECFF"/>
          </w:tcPr>
          <w:p>
            <w:pPr>
              <w:jc w:val="right"/>
              <w:ind w:right="268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1,160</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0.02</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(2,814)</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right"/>
              <w:ind w:right="80"/>
              <w:spacing w:after="0"/>
              <w:rPr>
                <w:sz w:val="20"/>
                <w:szCs w:val="20"/>
                <w:color w:val="auto"/>
              </w:rPr>
            </w:pPr>
            <w:r>
              <w:rPr>
                <w:rFonts w:ascii="Arial" w:cs="Arial" w:eastAsia="Arial" w:hAnsi="Arial"/>
                <w:sz w:val="14"/>
                <w:szCs w:val="14"/>
                <w:color w:val="auto"/>
              </w:rPr>
              <w:t>(0.04)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220" w:type="dxa"/>
            <w:vAlign w:val="bottom"/>
            <w:shd w:val="clear" w:color="auto" w:fill="CCECFF"/>
          </w:tcPr>
          <w:p>
            <w:pPr>
              <w:spacing w:after="0"/>
              <w:rPr>
                <w:sz w:val="14"/>
                <w:szCs w:val="14"/>
                <w:color w:val="auto"/>
              </w:rPr>
            </w:pPr>
          </w:p>
        </w:tc>
        <w:tc>
          <w:tcPr>
            <w:tcW w:w="2840" w:type="dxa"/>
            <w:vAlign w:val="bottom"/>
            <w:shd w:val="clear" w:color="auto" w:fill="CCECFF"/>
          </w:tcPr>
          <w:p>
            <w:pPr>
              <w:spacing w:after="0"/>
              <w:rPr>
                <w:sz w:val="14"/>
                <w:szCs w:val="14"/>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457</w:t>
            </w: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3,729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3060" w:type="dxa"/>
            <w:vAlign w:val="bottom"/>
            <w:gridSpan w:val="2"/>
            <w:shd w:val="clear" w:color="auto" w:fill="CCECFF"/>
          </w:tcPr>
          <w:p>
            <w:pPr>
              <w:jc w:val="right"/>
              <w:ind w:right="26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7,000</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0.10</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8"/>
        </w:trPr>
        <w:tc>
          <w:tcPr>
            <w:tcW w:w="3600" w:type="dxa"/>
            <w:vAlign w:val="bottom"/>
          </w:tcPr>
          <w:p>
            <w:pPr>
              <w:spacing w:after="0"/>
              <w:rPr>
                <w:sz w:val="24"/>
                <w:szCs w:val="24"/>
                <w:color w:val="auto"/>
              </w:rPr>
            </w:pPr>
          </w:p>
        </w:tc>
        <w:tc>
          <w:tcPr>
            <w:tcW w:w="3060" w:type="dxa"/>
            <w:vAlign w:val="bottom"/>
            <w:gridSpan w:val="2"/>
          </w:tcPr>
          <w:p>
            <w:pPr>
              <w:jc w:val="right"/>
              <w:ind w:right="888"/>
              <w:spacing w:after="0"/>
              <w:rPr>
                <w:sz w:val="20"/>
                <w:szCs w:val="20"/>
                <w:color w:val="auto"/>
              </w:rPr>
            </w:pPr>
            <w:r>
              <w:rPr>
                <w:rFonts w:ascii="Arial" w:cs="Arial" w:eastAsia="Arial" w:hAnsi="Arial"/>
                <w:sz w:val="14"/>
                <w:szCs w:val="14"/>
                <w:color w:val="auto"/>
              </w:rPr>
              <w:t>42</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2" w:name="page43"/>
    <w:bookmarkEnd w:id="42"/>
    <w:p>
      <w:pPr>
        <w:ind w:right="3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96" w:lineRule="exact"/>
        <w:rPr>
          <w:sz w:val="20"/>
          <w:szCs w:val="20"/>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9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Truist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8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221"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92"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66" w:right="37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color w:val="auto"/>
        </w:rPr>
        <w:t>PART II – OTHER INFORMATION</w:t>
      </w:r>
    </w:p>
    <w:p>
      <w:pPr>
        <w:spacing w:after="0" w:line="217"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22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9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221"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In addition to the other information set forth in this Report, you should consider carefully the factors discussed below, as well as in Part I “Item 1A. Risk Factors” in our Annual Report on Form 10-K for the fiscal year ended September 30, 2020 filed on November 19, 2020 and amended on March 26, 2021, which could materially affect our business, financial condition and/or operating results. The risks described below, as well as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217"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of February 5, 2019, we are able to incur additional indebtedness so long as we comply with the applicable disclosure requirements,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the Company’s total net assets as of the immediately preceding quarter-end.</w:t>
      </w:r>
    </w:p>
    <w:p>
      <w:pPr>
        <w:spacing w:after="0" w:line="198" w:lineRule="exact"/>
        <w:rPr>
          <w:sz w:val="20"/>
          <w:szCs w:val="20"/>
          <w:color w:val="auto"/>
        </w:rPr>
      </w:pPr>
    </w:p>
    <w:p>
      <w:pPr>
        <w:ind w:right="280" w:firstLine="483"/>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87" w:lineRule="exact"/>
        <w:rPr>
          <w:sz w:val="20"/>
          <w:szCs w:val="20"/>
          <w:color w:val="auto"/>
        </w:rPr>
      </w:pPr>
    </w:p>
    <w:p>
      <w:pPr>
        <w:jc w:val="both"/>
        <w:ind w:right="100" w:firstLine="438"/>
        <w:spacing w:after="0" w:line="238" w:lineRule="auto"/>
        <w:rPr>
          <w:sz w:val="20"/>
          <w:szCs w:val="20"/>
          <w:color w:val="auto"/>
        </w:rPr>
      </w:pPr>
      <w:r>
        <w:rPr>
          <w:rFonts w:ascii="Arial" w:cs="Arial" w:eastAsia="Arial" w:hAnsi="Arial"/>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96" w:lineRule="exact"/>
        <w:rPr>
          <w:sz w:val="20"/>
          <w:szCs w:val="20"/>
          <w:color w:val="auto"/>
        </w:rPr>
      </w:pPr>
    </w:p>
    <w:p>
      <w:pPr>
        <w:ind w:right="120" w:firstLine="438"/>
        <w:spacing w:after="0" w:line="248" w:lineRule="auto"/>
        <w:rPr>
          <w:sz w:val="20"/>
          <w:szCs w:val="20"/>
          <w:color w:val="auto"/>
        </w:rPr>
      </w:pPr>
      <w:r>
        <w:rPr>
          <w:rFonts w:ascii="Arial" w:cs="Arial" w:eastAsia="Arial" w:hAnsi="Arial"/>
          <w:sz w:val="13"/>
          <w:szCs w:val="13"/>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As a result, as of February 6,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94"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We are partially dependent on our SBIC Fund for cash distributions to enable us to meet the distribution requirements in order to permit us to be subject to tax as a RIC. In this regard, our SBIC Fund is limited by the SBA regulations governing SBICs from making certain distributions to us that may be necessary to satisfy the requirements to be subject to tax as a RIC. In such a case, we would need to request a waiver of the SBA’s restrictions for our SBIC Fund to make certain distributions to enable us to be subject to tax as a RIC. We cannot assure you that the SBA will grant such waiver, and if our SBIC Fund is unable to obtain a waiver, compliance with the SBA regulations may cause us to incur a corporate-level income tax.</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217"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We have indebtedness outstanding pursuant to the Truist Credit Facility, 2024 Notes and SBA debentures and expect in the future to borrow additional amounts under the Truist Credit Facility or other debt securities, subject to market availability, and, may increase the size of the Truist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SBIC II, in connection with borrowings under the Truist Credit Facility. In the case of a liquidation event, those lenders would receive proceeds before our stockholders. Additionally, the SBA, as a lender and an administrative agent, has a superior claim over the assets of SBIC II in relation to our other creditors. Any future debt issuance will increase our leverage and may be subordinate to the Truist Credit Facility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98" w:lineRule="exact"/>
        <w:rPr>
          <w:sz w:val="20"/>
          <w:szCs w:val="20"/>
          <w:color w:val="auto"/>
        </w:rPr>
      </w:pPr>
    </w:p>
    <w:p>
      <w:pPr>
        <w:jc w:val="both"/>
        <w:ind w:right="120" w:firstLine="483"/>
        <w:spacing w:after="0" w:line="233" w:lineRule="auto"/>
        <w:rPr>
          <w:sz w:val="20"/>
          <w:szCs w:val="20"/>
          <w:color w:val="auto"/>
        </w:rPr>
      </w:pPr>
      <w:r>
        <w:rPr>
          <w:rFonts w:ascii="Arial" w:cs="Arial" w:eastAsia="Arial" w:hAnsi="Arial"/>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as of February 6,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engage in any sales of unregistered securities during the six months ended March 31, 2021.</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44" w:name="page45"/>
    <w:bookmarkEnd w:id="44"/>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82"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62" w:right="1440" w:bottom="1440" w:gutter="0" w:footer="0" w:header="0"/>
        </w:sectPr>
      </w:pPr>
    </w:p>
    <w:bookmarkStart w:id="45" w:name="page46"/>
    <w:bookmarkEnd w:id="45"/>
    <w:p>
      <w:pPr>
        <w:spacing w:after="0"/>
        <w:tabs>
          <w:tab w:leader="none" w:pos="9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17" w:lineRule="exact"/>
        <w:rPr>
          <w:sz w:val="20"/>
          <w:szCs w:val="20"/>
          <w:color w:val="auto"/>
        </w:rPr>
      </w:pPr>
    </w:p>
    <w:p>
      <w:pPr>
        <w:ind w:left="80"/>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3.1</w:t>
      </w:r>
      <w:r>
        <w:rPr>
          <w:sz w:val="20"/>
          <w:szCs w:val="20"/>
          <w:color w:val="auto"/>
        </w:rPr>
        <w:tab/>
      </w:r>
      <w:hyperlink r:id="rId79">
        <w:r>
          <w:rPr>
            <w:rFonts w:ascii="Arial" w:cs="Arial" w:eastAsia="Arial" w:hAnsi="Arial"/>
            <w:sz w:val="13"/>
            <w:szCs w:val="13"/>
            <w:u w:val="single" w:color="auto"/>
            <w:color w:val="0000EE"/>
          </w:rPr>
          <w:t>Articles of Incorporation (Incorporated by reference to Exhibit 99(a) to the Registrant’s Pre-Effective Amendment No. 3 to the Registration Statement on Form N-2/A (File No. 333-</w:t>
        </w:r>
      </w:hyperlink>
    </w:p>
    <w:p>
      <w:pPr>
        <w:ind w:left="500"/>
        <w:spacing w:after="0"/>
        <w:rPr>
          <w:rFonts w:ascii="Arial" w:cs="Arial" w:eastAsia="Arial" w:hAnsi="Arial"/>
          <w:sz w:val="14"/>
          <w:szCs w:val="14"/>
          <w:u w:val="single" w:color="auto"/>
          <w:color w:val="0000EE"/>
        </w:rPr>
      </w:pPr>
      <w:hyperlink r:id="rId79">
        <w:r>
          <w:rPr>
            <w:rFonts w:ascii="Arial" w:cs="Arial" w:eastAsia="Arial" w:hAnsi="Arial"/>
            <w:sz w:val="14"/>
            <w:szCs w:val="14"/>
            <w:u w:val="single" w:color="auto"/>
            <w:color w:val="0000EE"/>
          </w:rPr>
          <w:t>140092), filed on April 5, 2007).</w:t>
        </w:r>
      </w:hyperlink>
    </w:p>
    <w:p>
      <w:pPr>
        <w:spacing w:after="0" w:line="124" w:lineRule="exact"/>
        <w:rPr>
          <w:sz w:val="20"/>
          <w:szCs w:val="20"/>
          <w:color w:val="auto"/>
        </w:rPr>
      </w:pPr>
    </w:p>
    <w:p>
      <w:pPr>
        <w:ind w:left="80"/>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3.2*</w:t>
      </w:r>
      <w:r>
        <w:rPr>
          <w:sz w:val="20"/>
          <w:szCs w:val="20"/>
          <w:color w:val="auto"/>
        </w:rPr>
        <w:tab/>
      </w:r>
      <w:hyperlink r:id="rId80">
        <w:r>
          <w:rPr>
            <w:rFonts w:ascii="Arial" w:cs="Arial" w:eastAsia="Arial" w:hAnsi="Arial"/>
            <w:sz w:val="13"/>
            <w:szCs w:val="13"/>
            <w:u w:val="single" w:color="auto"/>
            <w:color w:val="0000EE"/>
          </w:rPr>
          <w:t>Second Amended and Restated Bylaws of the Registrant (Incorporated by reference to Exhibit 3.2 to the Registrant's Quarterly Report on Form 10-Q (File No. 814-00736), filed on May</w:t>
        </w:r>
      </w:hyperlink>
    </w:p>
    <w:p>
      <w:pPr>
        <w:ind w:left="500"/>
        <w:spacing w:after="0"/>
        <w:rPr>
          <w:rFonts w:ascii="Arial" w:cs="Arial" w:eastAsia="Arial" w:hAnsi="Arial"/>
          <w:sz w:val="14"/>
          <w:szCs w:val="14"/>
          <w:u w:val="single" w:color="auto"/>
          <w:color w:val="0000EE"/>
        </w:rPr>
      </w:pPr>
      <w:hyperlink r:id="rId80">
        <w:r>
          <w:rPr>
            <w:rFonts w:ascii="Arial" w:cs="Arial" w:eastAsia="Arial" w:hAnsi="Arial"/>
            <w:sz w:val="14"/>
            <w:szCs w:val="14"/>
            <w:u w:val="single" w:color="auto"/>
            <w:color w:val="0000EE"/>
          </w:rPr>
          <w:t>11, 2020).</w:t>
        </w:r>
      </w:hyperlink>
    </w:p>
    <w:p>
      <w:pPr>
        <w:spacing w:after="0" w:line="124" w:lineRule="exact"/>
        <w:rPr>
          <w:sz w:val="20"/>
          <w:szCs w:val="20"/>
          <w:color w:val="auto"/>
        </w:rPr>
      </w:pPr>
    </w:p>
    <w:p>
      <w:pPr>
        <w:ind w:left="80"/>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81">
        <w:r>
          <w:rPr>
            <w:rFonts w:ascii="Arial" w:cs="Arial" w:eastAsia="Arial" w:hAnsi="Arial"/>
            <w:sz w:val="13"/>
            <w:szCs w:val="13"/>
            <w:u w:val="single" w:color="auto"/>
            <w:color w:val="0000EE"/>
          </w:rPr>
          <w:t>Form of Share Certificate (Incorporated by reference to Exhibit 99(d)(1) to the Registrant’s Registration Statement on Form N-2 (File No. 333-150033), filed on April 2, 2008).</w:t>
        </w:r>
      </w:hyperlink>
    </w:p>
    <w:p>
      <w:pPr>
        <w:spacing w:after="0" w:line="136" w:lineRule="exact"/>
        <w:rPr>
          <w:sz w:val="20"/>
          <w:szCs w:val="20"/>
          <w:color w:val="auto"/>
        </w:rPr>
      </w:pPr>
    </w:p>
    <w:p>
      <w:pPr>
        <w:ind w:left="500" w:right="40" w:hanging="485"/>
        <w:spacing w:after="0" w:line="253" w:lineRule="auto"/>
        <w:tabs>
          <w:tab w:leader="none" w:pos="480" w:val="left"/>
        </w:tabs>
        <w:rPr>
          <w:rFonts w:ascii="Arial" w:cs="Arial" w:eastAsia="Arial" w:hAnsi="Arial"/>
          <w:sz w:val="14"/>
          <w:szCs w:val="14"/>
          <w:u w:val="single" w:color="auto"/>
          <w:color w:val="0000EE"/>
        </w:rPr>
      </w:pPr>
      <w:r>
        <w:rPr>
          <w:rFonts w:ascii="Arial" w:cs="Arial" w:eastAsia="Arial" w:hAnsi="Arial"/>
          <w:sz w:val="14"/>
          <w:szCs w:val="14"/>
          <w:color w:val="auto"/>
        </w:rPr>
        <w:t>4.2</w:t>
      </w:r>
      <w:r>
        <w:rPr>
          <w:sz w:val="20"/>
          <w:szCs w:val="20"/>
          <w:color w:val="auto"/>
        </w:rPr>
        <w:tab/>
      </w:r>
      <w:hyperlink r:id="rId82">
        <w:r>
          <w:rPr>
            <w:rFonts w:ascii="Arial" w:cs="Arial" w:eastAsia="Arial" w:hAnsi="Arial"/>
            <w:sz w:val="14"/>
            <w:szCs w:val="14"/>
            <w:u w:val="single" w:color="auto"/>
            <w:color w:val="0000EE"/>
          </w:rPr>
          <w:t>Fourth Supplemental Indenture, dated as of April 21, 2021, by and between the Company and American Stock Transfer &amp; Trust Company, LLC, as trustee (Incorporated by reference to</w:t>
        </w:r>
      </w:hyperlink>
      <w:r>
        <w:rPr>
          <w:rFonts w:ascii="Arial" w:cs="Arial" w:eastAsia="Arial" w:hAnsi="Arial"/>
          <w:sz w:val="14"/>
          <w:szCs w:val="14"/>
          <w:u w:val="single" w:color="auto"/>
          <w:color w:val="0000EE"/>
        </w:rPr>
        <w:t xml:space="preserve"> </w:t>
      </w:r>
      <w:hyperlink r:id="rId82">
        <w:r>
          <w:rPr>
            <w:rFonts w:ascii="Arial" w:cs="Arial" w:eastAsia="Arial" w:hAnsi="Arial"/>
            <w:sz w:val="14"/>
            <w:szCs w:val="14"/>
            <w:u w:val="single" w:color="auto"/>
            <w:color w:val="0000EE"/>
          </w:rPr>
          <w:t>Exhibit 4.1 to the Registrant’s Current Report on Form 8-K (File No. 814-00736), filed on April 22, 2021.</w:t>
        </w:r>
      </w:hyperlink>
    </w:p>
    <w:p>
      <w:pPr>
        <w:spacing w:after="0" w:line="106"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4.3</w:t>
      </w:r>
      <w:r>
        <w:rPr>
          <w:sz w:val="20"/>
          <w:szCs w:val="20"/>
          <w:color w:val="auto"/>
        </w:rPr>
        <w:tab/>
      </w:r>
      <w:hyperlink r:id="rId82">
        <w:r>
          <w:rPr>
            <w:rFonts w:ascii="Arial" w:cs="Arial" w:eastAsia="Arial" w:hAnsi="Arial"/>
            <w:sz w:val="13"/>
            <w:szCs w:val="13"/>
            <w:u w:val="single" w:color="auto"/>
            <w:color w:val="0000EE"/>
          </w:rPr>
          <w:t>Form of 4.50% Notes due 2026 (Incorporated by reference to Exhibit 4.2 hereto).</w:t>
        </w:r>
      </w:hyperlink>
    </w:p>
    <w:p>
      <w:pPr>
        <w:spacing w:after="0" w:line="136"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31.1*</w:t>
      </w:r>
      <w:r>
        <w:rPr>
          <w:sz w:val="20"/>
          <w:szCs w:val="20"/>
          <w:color w:val="auto"/>
        </w:rPr>
        <w:tab/>
      </w:r>
      <w:hyperlink w:anchor="page48">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36"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31.2*</w:t>
      </w:r>
      <w:r>
        <w:rPr>
          <w:sz w:val="20"/>
          <w:szCs w:val="20"/>
          <w:color w:val="auto"/>
        </w:rPr>
        <w:tab/>
      </w:r>
      <w:hyperlink w:anchor="page49">
        <w:r>
          <w:rPr>
            <w:rFonts w:ascii="Arial" w:cs="Arial" w:eastAsia="Arial" w:hAnsi="Arial"/>
            <w:sz w:val="13"/>
            <w:szCs w:val="13"/>
            <w:u w:val="single" w:color="auto"/>
            <w:color w:val="0000EE"/>
          </w:rPr>
          <w:t>Certification of Chief Financial Officer pursuant to Rule 13a-14 of the Securities Exchange Act of 1934, as amended.</w:t>
        </w:r>
      </w:hyperlink>
    </w:p>
    <w:p>
      <w:pPr>
        <w:spacing w:after="0" w:line="136"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32.1*</w:t>
      </w:r>
      <w:r>
        <w:rPr>
          <w:sz w:val="20"/>
          <w:szCs w:val="20"/>
          <w:color w:val="auto"/>
        </w:rPr>
        <w:tab/>
      </w:r>
      <w:hyperlink w:anchor="page50">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36"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32.2*</w:t>
      </w:r>
      <w:r>
        <w:rPr>
          <w:sz w:val="20"/>
          <w:szCs w:val="20"/>
          <w:color w:val="auto"/>
        </w:rPr>
        <w:tab/>
      </w:r>
      <w:hyperlink w:anchor="page51">
        <w:r>
          <w:rPr>
            <w:rFonts w:ascii="Arial" w:cs="Arial" w:eastAsia="Arial" w:hAnsi="Arial"/>
            <w:sz w:val="13"/>
            <w:szCs w:val="13"/>
            <w:u w:val="single" w:color="auto"/>
            <w:color w:val="0000EE"/>
          </w:rPr>
          <w:t>Certification of Chief Financial Officer pursuant to Section 906 of the Sarbanes-Oxley Act of 2002.</w:t>
        </w:r>
      </w:hyperlink>
    </w:p>
    <w:p>
      <w:pPr>
        <w:spacing w:after="0" w:line="136"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99.1</w:t>
      </w:r>
      <w:r>
        <w:rPr>
          <w:sz w:val="20"/>
          <w:szCs w:val="20"/>
          <w:color w:val="auto"/>
        </w:rPr>
        <w:tab/>
      </w:r>
      <w:hyperlink r:id="rId83">
        <w:r>
          <w:rPr>
            <w:rFonts w:ascii="Arial" w:cs="Arial" w:eastAsia="Arial" w:hAnsi="Arial"/>
            <w:sz w:val="13"/>
            <w:szCs w:val="13"/>
            <w:u w:val="single" w:color="auto"/>
            <w:color w:val="0000EE"/>
          </w:rPr>
          <w:t>Privacy Policy of the Registrant (Incorporated by reference to Exhibit 99.1 to the Registrant’s Annual Report on Form 10-K (File No. 814-00736), filed on November 16, 2011).</w:t>
        </w:r>
      </w:hyperlink>
    </w:p>
    <w:p>
      <w:pPr>
        <w:spacing w:after="0" w:line="244"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62" w:right="419" w:bottom="1440" w:gutter="0" w:footer="0" w:header="0"/>
        </w:sectPr>
      </w:pPr>
    </w:p>
    <w:bookmarkStart w:id="46" w:name="page47"/>
    <w:bookmarkEnd w:id="46"/>
    <w:p>
      <w:pPr>
        <w:jc w:val="center"/>
        <w:ind w:right="-319"/>
        <w:spacing w:after="0"/>
        <w:rPr>
          <w:sz w:val="20"/>
          <w:szCs w:val="20"/>
          <w:color w:val="auto"/>
        </w:rPr>
      </w:pPr>
      <w:r>
        <w:rPr>
          <w:rFonts w:ascii="Arial" w:cs="Arial" w:eastAsia="Arial" w:hAnsi="Arial"/>
          <w:sz w:val="14"/>
          <w:szCs w:val="14"/>
          <w:b w:val="1"/>
          <w:bCs w:val="1"/>
          <w:color w:val="auto"/>
        </w:rPr>
        <w:t>SIGNATURES</w:t>
      </w:r>
    </w:p>
    <w:p>
      <w:pPr>
        <w:spacing w:after="0" w:line="154"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0940"/>
          </w:cols>
          <w:pgMar w:left="320" w:top="333" w:right="6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5"/>
          <w:szCs w:val="15"/>
          <w:color w:val="auto"/>
        </w:rPr>
        <w:t>May 5, 2021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5"/>
          <w:szCs w:val="15"/>
          <w:color w:val="auto"/>
        </w:rPr>
        <w:t>May 5, 2021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PENNANTPARK INVESTMENT CORPORATION</w:t>
      </w:r>
    </w:p>
    <w:p>
      <w:pPr>
        <w:spacing w:after="0" w:line="244" w:lineRule="exact"/>
        <w:rPr>
          <w:sz w:val="20"/>
          <w:szCs w:val="20"/>
          <w:color w:val="auto"/>
        </w:rPr>
      </w:pPr>
    </w:p>
    <w:p>
      <w:pPr>
        <w:spacing w:after="0"/>
        <w:tabs>
          <w:tab w:leader="none" w:pos="24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3810</wp:posOffset>
            </wp:positionV>
            <wp:extent cx="33515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4" w:lineRule="exact"/>
        <w:rPr>
          <w:sz w:val="20"/>
          <w:szCs w:val="20"/>
          <w:color w:val="auto"/>
        </w:rPr>
      </w:pPr>
    </w:p>
    <w:p>
      <w:pPr>
        <w:jc w:val="center"/>
        <w:ind w:right="-619"/>
        <w:spacing w:after="0"/>
        <w:rPr>
          <w:sz w:val="20"/>
          <w:szCs w:val="20"/>
          <w:color w:val="auto"/>
        </w:rPr>
      </w:pPr>
      <w:r>
        <w:rPr>
          <w:rFonts w:ascii="Arial" w:cs="Arial" w:eastAsia="Arial" w:hAnsi="Arial"/>
          <w:sz w:val="14"/>
          <w:szCs w:val="14"/>
          <w:b w:val="1"/>
          <w:bCs w:val="1"/>
          <w:color w:val="auto"/>
        </w:rPr>
        <w:t>Arthur H. Penn</w:t>
      </w:r>
    </w:p>
    <w:p>
      <w:pPr>
        <w:spacing w:after="0" w:line="3" w:lineRule="exact"/>
        <w:rPr>
          <w:sz w:val="20"/>
          <w:szCs w:val="20"/>
          <w:color w:val="auto"/>
        </w:rPr>
      </w:pPr>
    </w:p>
    <w:p>
      <w:pPr>
        <w:jc w:val="center"/>
        <w:ind w:right="-619"/>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jc w:val="center"/>
        <w:ind w:right="-619"/>
        <w:spacing w:after="0"/>
        <w:rPr>
          <w:sz w:val="20"/>
          <w:szCs w:val="20"/>
          <w:color w:val="auto"/>
        </w:rPr>
      </w:pPr>
      <w:r>
        <w:rPr>
          <w:rFonts w:ascii="Arial" w:cs="Arial" w:eastAsia="Arial" w:hAnsi="Arial"/>
          <w:sz w:val="14"/>
          <w:szCs w:val="14"/>
          <w:b w:val="1"/>
          <w:bCs w:val="1"/>
          <w:color w:val="auto"/>
        </w:rPr>
        <w:t>(Principal Executive Officer)</w:t>
      </w:r>
    </w:p>
    <w:p>
      <w:pPr>
        <w:spacing w:after="0" w:line="205" w:lineRule="exact"/>
        <w:rPr>
          <w:sz w:val="20"/>
          <w:szCs w:val="20"/>
          <w:color w:val="auto"/>
        </w:rPr>
      </w:pPr>
    </w:p>
    <w:p>
      <w:pPr>
        <w:spacing w:after="0"/>
        <w:tabs>
          <w:tab w:leader="none" w:pos="25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3810</wp:posOffset>
            </wp:positionV>
            <wp:extent cx="33515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4" w:lineRule="exact"/>
        <w:rPr>
          <w:sz w:val="20"/>
          <w:szCs w:val="20"/>
          <w:color w:val="auto"/>
        </w:rPr>
      </w:pPr>
    </w:p>
    <w:p>
      <w:pPr>
        <w:ind w:left="2640"/>
        <w:spacing w:after="0"/>
        <w:rPr>
          <w:sz w:val="20"/>
          <w:szCs w:val="20"/>
          <w:color w:val="auto"/>
        </w:rPr>
      </w:pPr>
      <w:r>
        <w:rPr>
          <w:rFonts w:ascii="Arial" w:cs="Arial" w:eastAsia="Arial" w:hAnsi="Arial"/>
          <w:sz w:val="14"/>
          <w:szCs w:val="14"/>
          <w:b w:val="1"/>
          <w:bCs w:val="1"/>
          <w:color w:val="auto"/>
        </w:rPr>
        <w:t>Aviv Efrat</w:t>
      </w:r>
    </w:p>
    <w:p>
      <w:pPr>
        <w:spacing w:after="0" w:line="82"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2">
            <w:col w:w="4920" w:space="720"/>
            <w:col w:w="5300"/>
          </w:cols>
          <w:pgMar w:left="320" w:top="333" w:right="639" w:bottom="1440" w:gutter="0" w:footer="0" w:header="0"/>
          <w:type w:val="continuous"/>
        </w:sectPr>
      </w:pPr>
    </w:p>
    <w:p>
      <w:pPr>
        <w:spacing w:after="0" w:line="370" w:lineRule="exact"/>
        <w:rPr>
          <w:sz w:val="20"/>
          <w:szCs w:val="20"/>
          <w:color w:val="auto"/>
        </w:rPr>
      </w:pPr>
    </w:p>
    <w:p>
      <w:pPr>
        <w:jc w:val="center"/>
        <w:ind w:right="-319"/>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0940"/>
          </w:cols>
          <w:pgMar w:left="320" w:top="333" w:right="63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4"/>
          <w:szCs w:val="14"/>
          <w:b w:val="1"/>
          <w:bCs w:val="1"/>
          <w:color w:val="auto"/>
        </w:rPr>
        <w:t>EXHIBIT 31.1</w:t>
      </w:r>
    </w:p>
    <w:p>
      <w:pPr>
        <w:spacing w:after="0" w:line="13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36" w:lineRule="exact"/>
        <w:rPr>
          <w:sz w:val="20"/>
          <w:szCs w:val="20"/>
          <w:color w:val="auto"/>
        </w:rPr>
      </w:pPr>
    </w:p>
    <w:p>
      <w:pPr>
        <w:ind w:left="600" w:hanging="145"/>
        <w:spacing w:after="0"/>
        <w:tabs>
          <w:tab w:leader="none" w:pos="600" w:val="left"/>
        </w:tabs>
        <w:numPr>
          <w:ilvl w:val="1"/>
          <w:numId w:val="45"/>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36" w:lineRule="exact"/>
        <w:rPr>
          <w:rFonts w:ascii="Arial" w:cs="Arial" w:eastAsia="Arial" w:hAnsi="Arial"/>
          <w:sz w:val="14"/>
          <w:szCs w:val="14"/>
          <w:color w:val="auto"/>
        </w:rPr>
      </w:pPr>
    </w:p>
    <w:p>
      <w:pPr>
        <w:ind w:right="480" w:firstLine="441"/>
        <w:spacing w:after="0" w:line="253" w:lineRule="auto"/>
        <w:tabs>
          <w:tab w:leader="none" w:pos="577"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right="200" w:firstLine="455"/>
        <w:spacing w:after="0" w:line="253" w:lineRule="auto"/>
        <w:tabs>
          <w:tab w:leader="none" w:pos="591" w:val="left"/>
        </w:tabs>
        <w:numPr>
          <w:ilvl w:val="1"/>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right="440" w:firstLine="695"/>
        <w:spacing w:after="0" w:line="335" w:lineRule="auto"/>
        <w:tabs>
          <w:tab w:leader="none" w:pos="832" w:val="left"/>
        </w:tabs>
        <w:numPr>
          <w:ilvl w:val="2"/>
          <w:numId w:val="4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right="620" w:firstLine="692"/>
        <w:spacing w:after="0" w:line="335" w:lineRule="auto"/>
        <w:tabs>
          <w:tab w:leader="none" w:pos="838" w:val="left"/>
        </w:tabs>
        <w:numPr>
          <w:ilvl w:val="2"/>
          <w:numId w:val="4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2"/>
          <w:szCs w:val="12"/>
          <w:color w:val="auto"/>
        </w:rPr>
      </w:pPr>
    </w:p>
    <w:p>
      <w:pPr>
        <w:ind w:right="340" w:firstLine="719"/>
        <w:spacing w:after="0" w:line="253" w:lineRule="auto"/>
        <w:tabs>
          <w:tab w:leader="none" w:pos="856" w:val="left"/>
        </w:tabs>
        <w:numPr>
          <w:ilvl w:val="3"/>
          <w:numId w:val="4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right="480" w:firstLine="705"/>
        <w:spacing w:after="0" w:line="290" w:lineRule="auto"/>
        <w:tabs>
          <w:tab w:leader="none" w:pos="850" w:val="left"/>
        </w:tabs>
        <w:numPr>
          <w:ilvl w:val="3"/>
          <w:numId w:val="4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3"/>
          <w:szCs w:val="13"/>
          <w:color w:val="auto"/>
        </w:rPr>
      </w:pPr>
    </w:p>
    <w:p>
      <w:pPr>
        <w:ind w:right="380" w:firstLine="447"/>
        <w:spacing w:after="0" w:line="253" w:lineRule="auto"/>
        <w:tabs>
          <w:tab w:leader="none" w:pos="583" w:val="left"/>
        </w:tabs>
        <w:numPr>
          <w:ilvl w:val="1"/>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right="100" w:firstLine="719"/>
        <w:spacing w:after="0" w:line="253" w:lineRule="auto"/>
        <w:tabs>
          <w:tab w:leader="none" w:pos="856" w:val="left"/>
        </w:tabs>
        <w:numPr>
          <w:ilvl w:val="3"/>
          <w:numId w:val="4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860" w:hanging="161"/>
        <w:spacing w:after="0"/>
        <w:tabs>
          <w:tab w:leader="none" w:pos="860" w:val="left"/>
        </w:tabs>
        <w:numPr>
          <w:ilvl w:val="3"/>
          <w:numId w:val="4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Dated: May 5,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Arthur H. Penn</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4000" w:type="dxa"/>
            <w:vAlign w:val="bottom"/>
          </w:tcPr>
          <w:p>
            <w:pPr>
              <w:ind w:left="100"/>
              <w:spacing w:after="0"/>
              <w:rPr>
                <w:sz w:val="20"/>
                <w:szCs w:val="20"/>
                <w:color w:val="auto"/>
              </w:rPr>
            </w:pPr>
            <w:r>
              <w:rPr>
                <w:rFonts w:ascii="Arial" w:cs="Arial" w:eastAsia="Arial" w:hAnsi="Arial"/>
                <w:sz w:val="14"/>
                <w:szCs w:val="14"/>
                <w:color w:val="auto"/>
              </w:rPr>
              <w:t>Chief Executive Officer</w:t>
            </w:r>
          </w:p>
        </w:tc>
      </w:tr>
    </w:tbl>
    <w:p>
      <w:pPr>
        <w:sectPr>
          <w:pgSz w:w="11900" w:h="16838" w:orient="portrait"/>
          <w:cols w:equalWidth="0" w:num="1">
            <w:col w:w="11240"/>
          </w:cols>
          <w:pgMar w:left="320" w:top="11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b w:val="1"/>
          <w:bCs w:val="1"/>
          <w:color w:val="auto"/>
        </w:rPr>
        <w:t>EXHIBIT 31.2</w:t>
      </w:r>
    </w:p>
    <w:p>
      <w:pPr>
        <w:spacing w:after="0" w:line="13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36" w:lineRule="exact"/>
        <w:rPr>
          <w:sz w:val="20"/>
          <w:szCs w:val="20"/>
          <w:color w:val="auto"/>
        </w:rPr>
      </w:pPr>
    </w:p>
    <w:p>
      <w:pPr>
        <w:ind w:left="600" w:hanging="145"/>
        <w:spacing w:after="0"/>
        <w:tabs>
          <w:tab w:leader="none" w:pos="600" w:val="left"/>
        </w:tabs>
        <w:numPr>
          <w:ilvl w:val="1"/>
          <w:numId w:val="48"/>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36" w:lineRule="exact"/>
        <w:rPr>
          <w:rFonts w:ascii="Arial" w:cs="Arial" w:eastAsia="Arial" w:hAnsi="Arial"/>
          <w:sz w:val="14"/>
          <w:szCs w:val="14"/>
          <w:color w:val="auto"/>
        </w:rPr>
      </w:pPr>
    </w:p>
    <w:p>
      <w:pPr>
        <w:ind w:right="480" w:firstLine="441"/>
        <w:spacing w:after="0" w:line="253" w:lineRule="auto"/>
        <w:tabs>
          <w:tab w:leader="none" w:pos="577"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580" w:hanging="139"/>
        <w:spacing w:after="0"/>
        <w:tabs>
          <w:tab w:leader="none" w:pos="5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24" w:lineRule="exact"/>
        <w:rPr>
          <w:rFonts w:ascii="Arial" w:cs="Arial" w:eastAsia="Arial" w:hAnsi="Arial"/>
          <w:sz w:val="13"/>
          <w:szCs w:val="13"/>
          <w:color w:val="auto"/>
        </w:rPr>
      </w:pPr>
    </w:p>
    <w:p>
      <w:pPr>
        <w:ind w:right="440" w:firstLine="695"/>
        <w:spacing w:after="0" w:line="335" w:lineRule="auto"/>
        <w:tabs>
          <w:tab w:leader="none" w:pos="832" w:val="left"/>
        </w:tabs>
        <w:numPr>
          <w:ilvl w:val="2"/>
          <w:numId w:val="4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right="620" w:firstLine="692"/>
        <w:spacing w:after="0" w:line="335" w:lineRule="auto"/>
        <w:tabs>
          <w:tab w:leader="none" w:pos="838" w:val="left"/>
        </w:tabs>
        <w:numPr>
          <w:ilvl w:val="2"/>
          <w:numId w:val="4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2"/>
          <w:szCs w:val="12"/>
          <w:color w:val="auto"/>
        </w:rPr>
      </w:pPr>
    </w:p>
    <w:p>
      <w:pPr>
        <w:ind w:right="340" w:firstLine="719"/>
        <w:spacing w:after="0" w:line="253" w:lineRule="auto"/>
        <w:tabs>
          <w:tab w:leader="none" w:pos="856" w:val="left"/>
        </w:tabs>
        <w:numPr>
          <w:ilvl w:val="3"/>
          <w:numId w:val="4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right="480" w:firstLine="705"/>
        <w:spacing w:after="0" w:line="290" w:lineRule="auto"/>
        <w:tabs>
          <w:tab w:leader="none" w:pos="850" w:val="left"/>
        </w:tabs>
        <w:numPr>
          <w:ilvl w:val="3"/>
          <w:numId w:val="4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3"/>
          <w:szCs w:val="13"/>
          <w:color w:val="auto"/>
        </w:rPr>
      </w:pPr>
    </w:p>
    <w:p>
      <w:pPr>
        <w:ind w:right="380" w:firstLine="447"/>
        <w:spacing w:after="0" w:line="253" w:lineRule="auto"/>
        <w:tabs>
          <w:tab w:leader="none" w:pos="583" w:val="left"/>
        </w:tabs>
        <w:numPr>
          <w:ilvl w:val="1"/>
          <w:numId w:val="4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right="100" w:firstLine="719"/>
        <w:spacing w:after="0" w:line="253" w:lineRule="auto"/>
        <w:tabs>
          <w:tab w:leader="none" w:pos="856" w:val="left"/>
        </w:tabs>
        <w:numPr>
          <w:ilvl w:val="3"/>
          <w:numId w:val="5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860" w:hanging="161"/>
        <w:spacing w:after="0"/>
        <w:tabs>
          <w:tab w:leader="none" w:pos="860" w:val="left"/>
        </w:tabs>
        <w:numPr>
          <w:ilvl w:val="3"/>
          <w:numId w:val="5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Dated: May 5,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Aviv Efrat</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4000" w:type="dxa"/>
            <w:vAlign w:val="bottom"/>
          </w:tcPr>
          <w:p>
            <w:pPr>
              <w:ind w:left="10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40"/>
          </w:cols>
          <w:pgMar w:left="320" w:top="11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b w:val="1"/>
          <w:bCs w:val="1"/>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67"/>
        <w:spacing w:after="0" w:line="253" w:lineRule="auto"/>
        <w:rPr>
          <w:sz w:val="20"/>
          <w:szCs w:val="20"/>
          <w:color w:val="auto"/>
        </w:rPr>
      </w:pPr>
      <w:r>
        <w:rPr>
          <w:rFonts w:ascii="Arial" w:cs="Arial" w:eastAsia="Arial" w:hAnsi="Arial"/>
          <w:sz w:val="14"/>
          <w:szCs w:val="14"/>
          <w:color w:val="auto"/>
        </w:rPr>
        <w:t>In connection with this Report on Form 10-Q for the three and six months ended March 31, 2021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106" w:lineRule="exact"/>
        <w:rPr>
          <w:sz w:val="20"/>
          <w:szCs w:val="20"/>
          <w:color w:val="auto"/>
        </w:rPr>
      </w:pPr>
    </w:p>
    <w:p>
      <w:pPr>
        <w:ind w:left="780" w:hanging="305"/>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780" w:hanging="305"/>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4"/>
          <w:szCs w:val="14"/>
          <w:color w:val="auto"/>
        </w:rPr>
        <w:t>Name:</w:t>
        <w:tab/>
        <w:t>Arthur H. Penn</w:t>
      </w:r>
    </w:p>
    <w:p>
      <w:pPr>
        <w:sectPr>
          <w:pgSz w:w="11900" w:h="16838" w:orient="portrait"/>
          <w:cols w:equalWidth="0" w:num="1">
            <w:col w:w="11240"/>
          </w:cols>
          <w:pgMar w:left="320" w:top="118"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Chief Executive Officer</w:t>
      </w:r>
    </w:p>
    <w:p>
      <w:pPr>
        <w:spacing w:after="0" w:line="32" w:lineRule="exact"/>
        <w:rPr>
          <w:sz w:val="20"/>
          <w:szCs w:val="20"/>
          <w:color w:val="auto"/>
        </w:rPr>
      </w:pPr>
    </w:p>
    <w:p>
      <w:pPr>
        <w:sectPr>
          <w:pgSz w:w="11900" w:h="16838" w:orient="portrait"/>
          <w:cols w:equalWidth="0" w:num="2">
            <w:col w:w="320" w:space="260"/>
            <w:col w:w="10660"/>
          </w:cols>
          <w:pgMar w:left="320" w:top="118" w:right="339" w:bottom="1440" w:gutter="0" w:footer="0" w:header="0"/>
          <w:type w:val="continuous"/>
        </w:sect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May 5, 2021</w:t>
      </w:r>
    </w:p>
    <w:p>
      <w:pPr>
        <w:sectPr>
          <w:pgSz w:w="11900" w:h="16838" w:orient="portrait"/>
          <w:cols w:equalWidth="0" w:num="2">
            <w:col w:w="320" w:space="260"/>
            <w:col w:w="10660"/>
          </w:cols>
          <w:pgMar w:left="320" w:top="118" w:right="33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4"/>
          <w:szCs w:val="14"/>
          <w:b w:val="1"/>
          <w:bCs w:val="1"/>
          <w:color w:val="auto"/>
        </w:rPr>
        <w:t>EXHIBIT 32.2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24" w:lineRule="exact"/>
        <w:rPr>
          <w:sz w:val="20"/>
          <w:szCs w:val="20"/>
          <w:color w:val="auto"/>
        </w:rPr>
      </w:pPr>
    </w:p>
    <w:p>
      <w:pPr>
        <w:ind w:firstLine="467"/>
        <w:spacing w:after="0" w:line="253" w:lineRule="auto"/>
        <w:rPr>
          <w:sz w:val="20"/>
          <w:szCs w:val="20"/>
          <w:color w:val="auto"/>
        </w:rPr>
      </w:pPr>
      <w:r>
        <w:rPr>
          <w:rFonts w:ascii="Arial" w:cs="Arial" w:eastAsia="Arial" w:hAnsi="Arial"/>
          <w:sz w:val="14"/>
          <w:szCs w:val="14"/>
          <w:color w:val="auto"/>
        </w:rPr>
        <w:t>In connection with this Report on Form 10-Q for the three and six months ended March 31, 2021 (the “Report”) of PennantPark Investment Corporation (the “Registrant”), as filed with the Securities and Exchange Commission on the date hereof, I, Aviv Efrat, Chief Financial Officer of the Registrant, hereby certify, to the best of my knowledge, that:</w:t>
      </w:r>
    </w:p>
    <w:p>
      <w:pPr>
        <w:spacing w:after="0" w:line="106" w:lineRule="exact"/>
        <w:rPr>
          <w:sz w:val="20"/>
          <w:szCs w:val="20"/>
          <w:color w:val="auto"/>
        </w:rPr>
      </w:pPr>
    </w:p>
    <w:p>
      <w:pPr>
        <w:ind w:left="780" w:hanging="305"/>
        <w:spacing w:after="0"/>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780" w:hanging="305"/>
        <w:spacing w:after="0"/>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4"/>
          <w:szCs w:val="14"/>
          <w:color w:val="auto"/>
        </w:rPr>
        <w:t>Name:</w:t>
        <w:tab/>
        <w:t>Aviv Efrat</w:t>
      </w:r>
    </w:p>
    <w:p>
      <w:pPr>
        <w:sectPr>
          <w:pgSz w:w="11900" w:h="16838" w:orient="portrait"/>
          <w:cols w:equalWidth="0" w:num="1">
            <w:col w:w="11240"/>
          </w:cols>
          <w:pgMar w:left="320" w:top="118"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Chief Financial Officer</w:t>
      </w:r>
    </w:p>
    <w:p>
      <w:pPr>
        <w:spacing w:after="0" w:line="32" w:lineRule="exact"/>
        <w:rPr>
          <w:sz w:val="20"/>
          <w:szCs w:val="20"/>
          <w:color w:val="auto"/>
        </w:rPr>
      </w:pPr>
    </w:p>
    <w:p>
      <w:pPr>
        <w:sectPr>
          <w:pgSz w:w="11900" w:h="16838" w:orient="portrait"/>
          <w:cols w:equalWidth="0" w:num="2">
            <w:col w:w="320" w:space="260"/>
            <w:col w:w="10660"/>
          </w:cols>
          <w:pgMar w:left="320" w:top="118" w:right="339" w:bottom="1440" w:gutter="0" w:footer="0" w:header="0"/>
          <w:type w:val="continuous"/>
        </w:sect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May 5, 2021</w:t>
      </w:r>
    </w:p>
    <w:sectPr>
      <w:pgSz w:w="11900" w:h="16838" w:orient="portrait"/>
      <w:cols w:equalWidth="0" w:num="2">
        <w:col w:w="320" w:space="260"/>
        <w:col w:w="1066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5"/>
    </w:lvl>
  </w:abstractNum>
  <w:abstractNum w:abstractNumId="5">
    <w:nsid w:val="2901D82"/>
    <w:multiLevelType w:val="hybridMultilevel"/>
    <w:lvl w:ilvl="0">
      <w:lvlJc w:val="left"/>
      <w:lvlText w:val="(%1)"/>
      <w:numFmt w:val="lowerLetter"/>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4"/>
    </w:lvl>
  </w:abstractNum>
  <w:abstractNum w:abstractNumId="8">
    <w:nsid w:val="1E7FF521"/>
    <w:multiLevelType w:val="hybridMultilevel"/>
    <w:lvl w:ilvl="0">
      <w:lvlJc w:val="left"/>
      <w:lvlText w:val="(%1)"/>
      <w:numFmt w:val="lowerLetter"/>
      <w:start w:val="2"/>
    </w:lvl>
  </w:abstractNum>
  <w:abstractNum w:abstractNumId="9">
    <w:nsid w:val="7C3DBD3D"/>
    <w:multiLevelType w:val="hybridMultilevel"/>
    <w:lvl w:ilvl="0">
      <w:lvlJc w:val="left"/>
      <w:lvlText w:val="(%1)"/>
      <w:numFmt w:val="lowerLetter"/>
      <w:start w:val="3"/>
    </w:lvl>
  </w:abstractNum>
  <w:abstractNum w:abstractNumId="10">
    <w:nsid w:val="737B8DDC"/>
    <w:multiLevelType w:val="hybridMultilevel"/>
    <w:lvl w:ilvl="0">
      <w:lvlJc w:val="left"/>
      <w:lvlText w:val="(%1)"/>
      <w:numFmt w:val="lowerLetter"/>
      <w:start w:val="4"/>
    </w:lvl>
  </w:abstractNum>
  <w:abstractNum w:abstractNumId="11">
    <w:nsid w:val="6CEAF087"/>
    <w:multiLevelType w:val="hybridMultilevel"/>
    <w:lvl w:ilvl="0">
      <w:lvlJc w:val="left"/>
      <w:lvlText w:val="(%1)"/>
      <w:numFmt w:val="lowerLetter"/>
      <w:start w:val="5"/>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lowerLetter"/>
      <w:start w:val="6"/>
    </w:lvl>
  </w:abstractNum>
  <w:abstractNum w:abstractNumId="14">
    <w:nsid w:val="3006C83E"/>
    <w:multiLevelType w:val="hybridMultilevel"/>
    <w:lvl w:ilvl="0">
      <w:lvlJc w:val="left"/>
      <w:lvlText w:val="(%1)"/>
      <w:numFmt w:val="lowerLetter"/>
      <w:start w:val="7"/>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lowerLetter"/>
      <w:start w:val="2"/>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5">
    <w:nsid w:val="684A481A"/>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46">
    <w:nsid w:val="579478F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7">
    <w:nsid w:val="749ABB4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8">
    <w:nsid w:val="3DC240FB"/>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49">
    <w:nsid w:val="1BA026F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79" Type="http://schemas.openxmlformats.org/officeDocument/2006/relationships/hyperlink" Target="http://www.sec.gov/Archives/edgar/data/1383414/000119312507075646/dex99a.htm" TargetMode="External"/><Relationship Id="rId80" Type="http://schemas.openxmlformats.org/officeDocument/2006/relationships/hyperlink" Target="http://www.sec.gov/Archives/edgar/data/1383414/000156459020024172/pnnt-ex32_163.htm" TargetMode="External"/><Relationship Id="rId81" Type="http://schemas.openxmlformats.org/officeDocument/2006/relationships/hyperlink" Target="http://www.sec.gov/Archives/edgar/data/1383414/000119312508072557/dex99d1.htm" TargetMode="External"/><Relationship Id="rId82" Type="http://schemas.openxmlformats.org/officeDocument/2006/relationships/hyperlink" Target="http://www.sec.gov/Archives/edgar/data/1383414/000119312521125241/d124015dex41.htm" TargetMode="External"/><Relationship Id="rId83" Type="http://schemas.openxmlformats.org/officeDocument/2006/relationships/hyperlink" Target="http://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2021-05-05T15:35:07Z</dcterms:created>
  <dcterms:modified xsi:type="dcterms:W3CDTF">2021-05-05T15:35:07Z</dcterms:modified>
</cp:coreProperties>
</file>