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June 10, 2016</w:t>
      </w:r>
    </w:p>
    <w:p>
      <w:pPr>
        <w:spacing w:after="0" w:line="102"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114" w:lineRule="exact"/>
        <w:rPr>
          <w:sz w:val="24"/>
          <w:szCs w:val="24"/>
          <w:color w:val="auto"/>
        </w:rPr>
      </w:pPr>
    </w:p>
    <w:p>
      <w:pPr>
        <w:spacing w:after="0"/>
        <w:rPr>
          <w:sz w:val="20"/>
          <w:szCs w:val="20"/>
          <w:color w:val="auto"/>
        </w:rPr>
      </w:pPr>
      <w:r>
        <w:rPr>
          <w:rFonts w:ascii="Arial" w:cs="Arial" w:eastAsia="Arial" w:hAnsi="Arial"/>
          <w:sz w:val="20"/>
          <w:szCs w:val="20"/>
          <w:color w:val="auto"/>
        </w:rPr>
        <w:t>Office of Registration and Reports</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U. S. Securities and Exchange Commission</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20549-0505</w:t>
      </w:r>
    </w:p>
    <w:p>
      <w:pPr>
        <w:spacing w:after="0" w:line="86" w:lineRule="exact"/>
        <w:rPr>
          <w:sz w:val="24"/>
          <w:szCs w:val="24"/>
          <w:color w:val="auto"/>
        </w:rPr>
      </w:pPr>
    </w:p>
    <w:p>
      <w:pPr>
        <w:spacing w:after="0"/>
        <w:rPr>
          <w:sz w:val="20"/>
          <w:szCs w:val="20"/>
          <w:color w:val="auto"/>
        </w:rPr>
      </w:pPr>
      <w:r>
        <w:rPr>
          <w:rFonts w:ascii="Arial" w:cs="Arial" w:eastAsia="Arial" w:hAnsi="Arial"/>
          <w:sz w:val="20"/>
          <w:szCs w:val="20"/>
          <w:color w:val="auto"/>
        </w:rPr>
        <w:t>RE</w:t>
      </w:r>
      <w:r>
        <w:rPr>
          <w:rFonts w:ascii="Arial" w:cs="Arial" w:eastAsia="Arial" w:hAnsi="Arial"/>
          <w:sz w:val="20"/>
          <w:szCs w:val="20"/>
          <w:b w:val="1"/>
          <w:bCs w:val="1"/>
          <w:color w:val="auto"/>
        </w:rPr>
        <w:t>: PENNANTPARK INVESTMENT CORPORATION</w:t>
      </w:r>
    </w:p>
    <w:p>
      <w:pPr>
        <w:spacing w:after="0" w:line="22"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File No. 814-00736</w:t>
      </w:r>
    </w:p>
    <w:p>
      <w:pPr>
        <w:spacing w:after="0" w:line="92"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08"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On behalf of PennantPark Investment Corporation (the “Corporation”), enclosed for filing, pursuant to Rule 17g-1 of the Investment Company Act of 1940, as amended (the “1940 Act”), are the following documents:</w:t>
      </w:r>
    </w:p>
    <w:p>
      <w:pPr>
        <w:spacing w:after="0" w:line="204" w:lineRule="exact"/>
        <w:rPr>
          <w:sz w:val="24"/>
          <w:szCs w:val="24"/>
          <w:color w:val="auto"/>
        </w:rPr>
      </w:pPr>
    </w:p>
    <w:p>
      <w:pPr>
        <w:ind w:left="1020" w:hanging="566"/>
        <w:spacing w:after="0"/>
        <w:tabs>
          <w:tab w:leader="none" w:pos="1020" w:val="left"/>
        </w:tabs>
        <w:numPr>
          <w:ilvl w:val="0"/>
          <w:numId w:val="1"/>
        </w:numPr>
        <w:rPr>
          <w:rFonts w:ascii="Arial" w:cs="Arial" w:eastAsia="Arial" w:hAnsi="Arial"/>
          <w:sz w:val="19"/>
          <w:szCs w:val="19"/>
          <w:color w:val="auto"/>
        </w:rPr>
      </w:pPr>
      <w:r>
        <w:rPr>
          <w:rFonts w:ascii="Arial" w:cs="Arial" w:eastAsia="Arial" w:hAnsi="Arial"/>
          <w:sz w:val="19"/>
          <w:szCs w:val="19"/>
          <w:color w:val="auto"/>
        </w:rPr>
        <w:t>A copy of the Joint Fidelity Bond and any riders thereto for the Corporation and other joint insureds (attached as Exhibit A);</w:t>
      </w:r>
    </w:p>
    <w:p>
      <w:pPr>
        <w:spacing w:after="0" w:line="254" w:lineRule="exact"/>
        <w:rPr>
          <w:rFonts w:ascii="Arial" w:cs="Arial" w:eastAsia="Arial" w:hAnsi="Arial"/>
          <w:sz w:val="19"/>
          <w:szCs w:val="19"/>
          <w:color w:val="auto"/>
        </w:rPr>
      </w:pPr>
    </w:p>
    <w:p>
      <w:pPr>
        <w:ind w:left="1020" w:right="20" w:hanging="566"/>
        <w:spacing w:after="0" w:line="246" w:lineRule="auto"/>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A certified copy of the resolutions approved at the May 3, 2016 Meeting of the Board of Directors of the Corporation in which a majority of the Directors who are not “interested persons” of the Corporation as defined by Section 2(a)(19) of the 1940 Act approved the amount, type, form and coverage of the Joint Fidelity Bond, the portion of the premium paid by the Corporation and the Joint Fidelity Bond Agreement (attached as Exhibit B); and</w:t>
      </w:r>
    </w:p>
    <w:p>
      <w:pPr>
        <w:spacing w:after="0" w:line="218" w:lineRule="exact"/>
        <w:rPr>
          <w:rFonts w:ascii="Arial" w:cs="Arial" w:eastAsia="Arial" w:hAnsi="Arial"/>
          <w:sz w:val="20"/>
          <w:szCs w:val="20"/>
          <w:color w:val="auto"/>
        </w:rPr>
      </w:pPr>
    </w:p>
    <w:p>
      <w:pPr>
        <w:ind w:left="1020" w:hanging="566"/>
        <w:spacing w:after="0" w:line="260" w:lineRule="auto"/>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A copy of the Joint Fidelity Bond Agreement, by and among the Corporation and other joint insureds, pursuant to paragraph (f) of Rule 17g-1 (attached as Exhibit C).</w:t>
      </w:r>
    </w:p>
    <w:p>
      <w:pPr>
        <w:spacing w:after="0" w:line="177" w:lineRule="exact"/>
        <w:rPr>
          <w:sz w:val="24"/>
          <w:szCs w:val="24"/>
          <w:color w:val="auto"/>
        </w:rPr>
      </w:pPr>
    </w:p>
    <w:p>
      <w:pPr>
        <w:ind w:right="140"/>
        <w:spacing w:after="0" w:line="250" w:lineRule="auto"/>
        <w:rPr>
          <w:sz w:val="20"/>
          <w:szCs w:val="20"/>
          <w:color w:val="auto"/>
        </w:rPr>
      </w:pPr>
      <w:r>
        <w:rPr>
          <w:rFonts w:ascii="Arial" w:cs="Arial" w:eastAsia="Arial" w:hAnsi="Arial"/>
          <w:sz w:val="20"/>
          <w:szCs w:val="20"/>
          <w:color w:val="auto"/>
        </w:rPr>
        <w:t>If the Corporation had not been named as a co-insured under this Joint Fidelity Bond Agreement, the Corporation would have maintained a single-insured fidelity bond in the amount of at least $1,250,000 as required under paragraph (d)(1) of Rule 17g-1. A premium of $3,816 was paid for the period May 31, 2016 through May 31, 2017.</w:t>
      </w:r>
    </w:p>
    <w:p>
      <w:pPr>
        <w:spacing w:after="0" w:line="78" w:lineRule="exact"/>
        <w:rPr>
          <w:sz w:val="24"/>
          <w:szCs w:val="24"/>
          <w:color w:val="auto"/>
        </w:rPr>
      </w:pPr>
    </w:p>
    <w:p>
      <w:pPr>
        <w:spacing w:after="0"/>
        <w:rPr>
          <w:sz w:val="20"/>
          <w:szCs w:val="20"/>
          <w:color w:val="auto"/>
        </w:rPr>
      </w:pPr>
      <w:r>
        <w:rPr>
          <w:rFonts w:ascii="Arial" w:cs="Arial" w:eastAsia="Arial" w:hAnsi="Arial"/>
          <w:sz w:val="20"/>
          <w:szCs w:val="20"/>
          <w:color w:val="auto"/>
        </w:rPr>
        <w:t>Please contact me at (212) 905-1000 if you have any questions.</w:t>
      </w:r>
    </w:p>
    <w:p>
      <w:pPr>
        <w:spacing w:after="0" w:line="243"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Sincerely,</w:t>
      </w:r>
    </w:p>
    <w:p>
      <w:pPr>
        <w:spacing w:after="0" w:line="324"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Aviv Efrat</w:t>
      </w:r>
    </w:p>
    <w:p>
      <w:pPr>
        <w:spacing w:after="0" w:line="216"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Chief Financial Officer and Treasurer</w:t>
      </w:r>
    </w:p>
    <w:p>
      <w:pPr>
        <w:spacing w:after="0" w:line="216"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PennantPark Investment Corporation</w:t>
      </w:r>
    </w:p>
    <w:p>
      <w:pPr>
        <w:sectPr>
          <w:pgSz w:w="11900" w:h="16838" w:orient="portrait"/>
          <w:cols w:equalWidth="0" w:num="1">
            <w:col w:w="11320"/>
          </w:cols>
          <w:pgMar w:left="240" w:top="231" w:right="33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the Secretary</w:t>
      </w:r>
    </w:p>
    <w:p>
      <w:pPr>
        <w:spacing w:after="0" w:line="114"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undersigned, Thomas J. Friedmann, Secretary of PennantPark Investment Corporation, a Maryland corporation (the “Corporation”), does hereby certify that:</w:t>
      </w:r>
    </w:p>
    <w:p>
      <w:pPr>
        <w:spacing w:after="0" w:line="204" w:lineRule="exact"/>
        <w:rPr>
          <w:sz w:val="20"/>
          <w:szCs w:val="20"/>
          <w:color w:val="auto"/>
        </w:rPr>
      </w:pPr>
    </w:p>
    <w:p>
      <w:pPr>
        <w:ind w:left="1020" w:right="120" w:hanging="566"/>
        <w:spacing w:after="0" w:line="250"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This certificate is being delivered to the Securities and Exchange Commission (the “SEC”) in connection with the filing of the Corporation’s joint fidelity bond (the “Bond”) pursuant to Rule 17g-1 of the Investment Company Act of 1940, as amended, and the SEC is entitled to rely on this certificate for purposes of the filing.</w:t>
      </w:r>
    </w:p>
    <w:p>
      <w:pPr>
        <w:spacing w:after="0" w:line="213" w:lineRule="exact"/>
        <w:rPr>
          <w:rFonts w:ascii="Arial" w:cs="Arial" w:eastAsia="Arial" w:hAnsi="Arial"/>
          <w:sz w:val="20"/>
          <w:szCs w:val="20"/>
          <w:color w:val="auto"/>
        </w:rPr>
      </w:pPr>
    </w:p>
    <w:p>
      <w:pPr>
        <w:ind w:left="1020" w:hanging="566"/>
        <w:spacing w:after="0" w:line="260"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undersigned is the duly elected, qualified and acting Secretary of the Corporation, and has custody of the corporate records of the Corporation and is a proper officer to make this certification.</w:t>
      </w:r>
    </w:p>
    <w:p>
      <w:pPr>
        <w:spacing w:after="0" w:line="203" w:lineRule="exact"/>
        <w:rPr>
          <w:rFonts w:ascii="Arial" w:cs="Arial" w:eastAsia="Arial" w:hAnsi="Arial"/>
          <w:sz w:val="20"/>
          <w:szCs w:val="20"/>
          <w:color w:val="auto"/>
        </w:rPr>
      </w:pPr>
    </w:p>
    <w:p>
      <w:pPr>
        <w:ind w:left="1020" w:right="100" w:hanging="566"/>
        <w:spacing w:after="0" w:line="260" w:lineRule="auto"/>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Attached hereto as Exhibit B is a certified copy of the resolutions approved by a majority of the directors who are not “interested persons” of the Corporation, approving the amount, type, form and coverage of the Bond.</w:t>
      </w:r>
    </w:p>
    <w:p>
      <w:pPr>
        <w:spacing w:after="0" w:line="203" w:lineRule="exact"/>
        <w:rPr>
          <w:rFonts w:ascii="Arial" w:cs="Arial" w:eastAsia="Arial" w:hAnsi="Arial"/>
          <w:sz w:val="20"/>
          <w:szCs w:val="20"/>
          <w:color w:val="auto"/>
        </w:rPr>
      </w:pPr>
    </w:p>
    <w:p>
      <w:pPr>
        <w:ind w:left="1020" w:hanging="566"/>
        <w:spacing w:after="0"/>
        <w:tabs>
          <w:tab w:leader="none" w:pos="1020" w:val="left"/>
        </w:tabs>
        <w:numPr>
          <w:ilvl w:val="0"/>
          <w:numId w:val="2"/>
        </w:numPr>
        <w:rPr>
          <w:rFonts w:ascii="Arial" w:cs="Arial" w:eastAsia="Arial" w:hAnsi="Arial"/>
          <w:sz w:val="20"/>
          <w:szCs w:val="20"/>
          <w:color w:val="auto"/>
        </w:rPr>
      </w:pPr>
      <w:r>
        <w:rPr>
          <w:rFonts w:ascii="Arial" w:cs="Arial" w:eastAsia="Arial" w:hAnsi="Arial"/>
          <w:sz w:val="20"/>
          <w:szCs w:val="20"/>
          <w:color w:val="auto"/>
        </w:rPr>
        <w:t>Premiums have been paid for the period May 31, 2016 to May 31, 2017.</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undersigned has caused this certificate to be executed this 10</w:t>
      </w:r>
      <w:r>
        <w:rPr>
          <w:rFonts w:ascii="Arial" w:cs="Arial" w:eastAsia="Arial" w:hAnsi="Arial"/>
          <w:sz w:val="16"/>
          <w:szCs w:val="16"/>
          <w:color w:val="auto"/>
        </w:rPr>
        <w:t>th</w:t>
      </w:r>
      <w:r>
        <w:rPr>
          <w:rFonts w:ascii="Arial" w:cs="Arial" w:eastAsia="Arial" w:hAnsi="Arial"/>
          <w:sz w:val="20"/>
          <w:szCs w:val="20"/>
          <w:color w:val="auto"/>
        </w:rPr>
        <w:t xml:space="preserve"> day of June, 2016.</w:t>
      </w:r>
    </w:p>
    <w:p>
      <w:pPr>
        <w:spacing w:after="0" w:line="243"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Thomas J. Friedmann</w:t>
      </w:r>
    </w:p>
    <w:p>
      <w:pPr>
        <w:spacing w:after="0" w:line="216"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Secretary</w:t>
      </w:r>
    </w:p>
    <w:p>
      <w:pPr>
        <w:sectPr>
          <w:pgSz w:w="11900" w:h="16838" w:orient="portrait"/>
          <w:cols w:equalWidth="0" w:num="1">
            <w:col w:w="11320"/>
          </w:cols>
          <w:pgMar w:left="240" w:top="265"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2380" w:type="dxa"/>
            <w:vAlign w:val="bottom"/>
          </w:tcPr>
          <w:p>
            <w:pPr>
              <w:spacing w:after="0"/>
              <w:rPr>
                <w:sz w:val="24"/>
                <w:szCs w:val="24"/>
                <w:color w:val="auto"/>
              </w:rPr>
            </w:pPr>
          </w:p>
        </w:tc>
        <w:tc>
          <w:tcPr>
            <w:tcW w:w="7020" w:type="dxa"/>
            <w:vAlign w:val="bottom"/>
          </w:tcPr>
          <w:p>
            <w:pPr>
              <w:jc w:val="center"/>
              <w:ind w:right="263"/>
              <w:spacing w:after="0"/>
              <w:rPr>
                <w:sz w:val="20"/>
                <w:szCs w:val="20"/>
                <w:color w:val="auto"/>
              </w:rPr>
            </w:pPr>
            <w:r>
              <w:rPr>
                <w:rFonts w:ascii="Arial" w:cs="Arial" w:eastAsia="Arial" w:hAnsi="Arial"/>
                <w:sz w:val="24"/>
                <w:szCs w:val="24"/>
                <w:b w:val="1"/>
                <w:bCs w:val="1"/>
                <w:color w:val="auto"/>
              </w:rPr>
              <w:t>INVESTMENT COMPANY BLANKET BOND</w:t>
            </w:r>
          </w:p>
        </w:tc>
        <w:tc>
          <w:tcPr>
            <w:tcW w:w="0" w:type="dxa"/>
            <w:vAlign w:val="bottom"/>
          </w:tcPr>
          <w:p>
            <w:pPr>
              <w:spacing w:after="0"/>
              <w:rPr>
                <w:sz w:val="1"/>
                <w:szCs w:val="1"/>
                <w:color w:val="auto"/>
              </w:rPr>
            </w:pPr>
          </w:p>
        </w:tc>
      </w:tr>
      <w:tr>
        <w:trPr>
          <w:trHeight w:val="221"/>
        </w:trPr>
        <w:tc>
          <w:tcPr>
            <w:tcW w:w="2380" w:type="dxa"/>
            <w:vAlign w:val="bottom"/>
          </w:tcPr>
          <w:p>
            <w:pPr>
              <w:spacing w:after="0"/>
              <w:rPr>
                <w:sz w:val="19"/>
                <w:szCs w:val="19"/>
                <w:color w:val="auto"/>
              </w:rPr>
            </w:pPr>
          </w:p>
        </w:tc>
        <w:tc>
          <w:tcPr>
            <w:tcW w:w="7020" w:type="dxa"/>
            <w:vAlign w:val="bottom"/>
          </w:tcPr>
          <w:p>
            <w:pPr>
              <w:jc w:val="center"/>
              <w:ind w:right="243"/>
              <w:spacing w:after="0"/>
              <w:rPr>
                <w:sz w:val="20"/>
                <w:szCs w:val="20"/>
                <w:color w:val="auto"/>
              </w:rPr>
            </w:pPr>
            <w:r>
              <w:rPr>
                <w:rFonts w:ascii="Arial" w:cs="Arial" w:eastAsia="Arial" w:hAnsi="Arial"/>
                <w:sz w:val="19"/>
                <w:szCs w:val="19"/>
                <w:b w:val="1"/>
                <w:bCs w:val="1"/>
                <w:color w:val="auto"/>
                <w:w w:val="99"/>
              </w:rPr>
              <w:t>St. Paul Fire and Marine Insurance Company</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7020" w:type="dxa"/>
            <w:vAlign w:val="bottom"/>
          </w:tcPr>
          <w:p>
            <w:pPr>
              <w:jc w:val="center"/>
              <w:ind w:right="243"/>
              <w:spacing w:after="0"/>
              <w:rPr>
                <w:sz w:val="20"/>
                <w:szCs w:val="20"/>
                <w:color w:val="auto"/>
              </w:rPr>
            </w:pPr>
            <w:r>
              <w:rPr>
                <w:rFonts w:ascii="Arial" w:cs="Arial" w:eastAsia="Arial" w:hAnsi="Arial"/>
                <w:sz w:val="18"/>
                <w:szCs w:val="18"/>
                <w:color w:val="auto"/>
                <w:w w:val="90"/>
              </w:rPr>
              <w:t>St. Paul, Minnesota 55102-1396</w:t>
            </w:r>
          </w:p>
        </w:tc>
        <w:tc>
          <w:tcPr>
            <w:tcW w:w="0" w:type="dxa"/>
            <w:vAlign w:val="bottom"/>
          </w:tcPr>
          <w:p>
            <w:pPr>
              <w:spacing w:after="0"/>
              <w:rPr>
                <w:sz w:val="1"/>
                <w:szCs w:val="1"/>
                <w:color w:val="auto"/>
              </w:rPr>
            </w:pPr>
          </w:p>
        </w:tc>
      </w:tr>
      <w:tr>
        <w:trPr>
          <w:trHeight w:val="216"/>
        </w:trPr>
        <w:tc>
          <w:tcPr>
            <w:tcW w:w="2380" w:type="dxa"/>
            <w:vAlign w:val="bottom"/>
            <w:vMerge w:val="restart"/>
          </w:tcPr>
          <w:p>
            <w:pPr>
              <w:spacing w:after="0"/>
              <w:rPr>
                <w:sz w:val="20"/>
                <w:szCs w:val="20"/>
                <w:color w:val="auto"/>
              </w:rPr>
            </w:pPr>
            <w:r>
              <w:rPr>
                <w:rFonts w:ascii="Arial" w:cs="Arial" w:eastAsia="Arial" w:hAnsi="Arial"/>
                <w:sz w:val="19"/>
                <w:szCs w:val="19"/>
                <w:b w:val="1"/>
                <w:bCs w:val="1"/>
                <w:color w:val="auto"/>
              </w:rPr>
              <w:t>DECLARATIONS</w:t>
            </w:r>
          </w:p>
        </w:tc>
        <w:tc>
          <w:tcPr>
            <w:tcW w:w="7020" w:type="dxa"/>
            <w:vAlign w:val="bottom"/>
          </w:tcPr>
          <w:p>
            <w:pPr>
              <w:jc w:val="center"/>
              <w:ind w:right="243"/>
              <w:spacing w:after="0"/>
              <w:rPr>
                <w:sz w:val="20"/>
                <w:szCs w:val="20"/>
                <w:color w:val="auto"/>
              </w:rPr>
            </w:pPr>
            <w:r>
              <w:rPr>
                <w:rFonts w:ascii="Arial" w:cs="Arial" w:eastAsia="Arial" w:hAnsi="Arial"/>
                <w:sz w:val="18"/>
                <w:szCs w:val="18"/>
                <w:color w:val="auto"/>
                <w:w w:val="91"/>
              </w:rPr>
              <w:t>(A Stock Insurance Company, herein called Underwriter)</w:t>
            </w:r>
          </w:p>
        </w:tc>
        <w:tc>
          <w:tcPr>
            <w:tcW w:w="0" w:type="dxa"/>
            <w:vAlign w:val="bottom"/>
          </w:tcPr>
          <w:p>
            <w:pPr>
              <w:spacing w:after="0"/>
              <w:rPr>
                <w:sz w:val="1"/>
                <w:szCs w:val="1"/>
                <w:color w:val="auto"/>
              </w:rPr>
            </w:pPr>
          </w:p>
        </w:tc>
      </w:tr>
      <w:tr>
        <w:trPr>
          <w:trHeight w:val="246"/>
        </w:trPr>
        <w:tc>
          <w:tcPr>
            <w:tcW w:w="2380" w:type="dxa"/>
            <w:vAlign w:val="bottom"/>
            <w:vMerge w:val="continue"/>
          </w:tcPr>
          <w:p>
            <w:pPr>
              <w:spacing w:after="0"/>
              <w:rPr>
                <w:sz w:val="21"/>
                <w:szCs w:val="21"/>
                <w:color w:val="auto"/>
              </w:rPr>
            </w:pPr>
          </w:p>
        </w:tc>
        <w:tc>
          <w:tcPr>
            <w:tcW w:w="7020" w:type="dxa"/>
            <w:vAlign w:val="bottom"/>
          </w:tcPr>
          <w:p>
            <w:pPr>
              <w:ind w:left="4220"/>
              <w:spacing w:after="0"/>
              <w:rPr>
                <w:sz w:val="20"/>
                <w:szCs w:val="20"/>
                <w:color w:val="auto"/>
              </w:rPr>
            </w:pPr>
            <w:r>
              <w:rPr>
                <w:rFonts w:ascii="Arial" w:cs="Arial" w:eastAsia="Arial" w:hAnsi="Arial"/>
                <w:sz w:val="18"/>
                <w:szCs w:val="18"/>
                <w:b w:val="1"/>
                <w:bCs w:val="1"/>
                <w:color w:val="auto"/>
              </w:rPr>
              <w:t xml:space="preserve">BOND NO. </w:t>
            </w:r>
            <w:r>
              <w:rPr>
                <w:rFonts w:ascii="Arial" w:cs="Arial" w:eastAsia="Arial" w:hAnsi="Arial"/>
                <w:sz w:val="18"/>
                <w:szCs w:val="18"/>
                <w:color w:val="auto"/>
              </w:rPr>
              <w:t>ZBN-81M58129-16-N2</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1.</w:t>
      </w:r>
      <w:r>
        <w:rPr>
          <w:sz w:val="20"/>
          <w:szCs w:val="20"/>
          <w:color w:val="auto"/>
        </w:rPr>
        <w:tab/>
      </w:r>
      <w:r>
        <w:rPr>
          <w:rFonts w:ascii="Arial" w:cs="Arial" w:eastAsia="Arial" w:hAnsi="Arial"/>
          <w:sz w:val="19"/>
          <w:szCs w:val="19"/>
          <w:color w:val="auto"/>
        </w:rPr>
        <w:t>Name of Insured (herein called Insured):</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PennantPark Investment Corporation</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22"/>
          <w:szCs w:val="22"/>
          <w:color w:val="auto"/>
        </w:rPr>
        <w:t>Principal Address:</w:t>
      </w:r>
    </w:p>
    <w:p>
      <w:pPr>
        <w:spacing w:after="0" w:line="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590 Madison Avenue, 15th Floor</w:t>
      </w:r>
    </w:p>
    <w:p>
      <w:pPr>
        <w:ind w:left="580"/>
        <w:spacing w:after="0"/>
        <w:rPr>
          <w:sz w:val="20"/>
          <w:szCs w:val="20"/>
          <w:color w:val="auto"/>
        </w:rPr>
      </w:pPr>
      <w:r>
        <w:rPr>
          <w:rFonts w:ascii="Arial" w:cs="Arial" w:eastAsia="Arial" w:hAnsi="Arial"/>
          <w:sz w:val="21"/>
          <w:szCs w:val="21"/>
          <w:color w:val="auto"/>
        </w:rPr>
        <w:t>New York, NY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0"/>
          <w:szCs w:val="20"/>
          <w:color w:val="auto"/>
        </w:rPr>
      </w:pPr>
    </w:p>
    <w:p>
      <w:pPr>
        <w:ind w:left="920" w:right="120" w:hanging="904"/>
        <w:spacing w:after="0" w:line="251" w:lineRule="auto"/>
        <w:tabs>
          <w:tab w:leader="none" w:pos="900" w:val="left"/>
        </w:tabs>
        <w:rPr>
          <w:sz w:val="20"/>
          <w:szCs w:val="20"/>
          <w:color w:val="auto"/>
        </w:rPr>
      </w:pPr>
      <w:r>
        <w:rPr>
          <w:rFonts w:ascii="Arial" w:cs="Arial" w:eastAsia="Arial" w:hAnsi="Arial"/>
          <w:sz w:val="22"/>
          <w:szCs w:val="22"/>
          <w:color w:val="auto"/>
        </w:rPr>
        <w:t>Item 2.</w:t>
        <w:tab/>
        <w:t>Bond Period from 12:01 a.m. on 05/31/16 to 12:01 a.m. on 05/31/17 the effective date of the termination or cancellation of the bond, standard time at the Principal Address as to each of said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21"/>
          <w:szCs w:val="21"/>
          <w:color w:val="auto"/>
        </w:rPr>
        <w:t>Limit of Liability</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Subject to Sections 9, 10, and 12 hereof:</w:t>
      </w:r>
    </w:p>
    <w:p>
      <w:pPr>
        <w:spacing w:after="0" w:line="22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40" w:type="dxa"/>
            <w:vAlign w:val="bottom"/>
            <w:gridSpan w:val="2"/>
          </w:tcPr>
          <w:p>
            <w:pPr>
              <w:ind w:left="340"/>
              <w:spacing w:after="0"/>
              <w:rPr>
                <w:sz w:val="20"/>
                <w:szCs w:val="20"/>
                <w:color w:val="auto"/>
              </w:rPr>
            </w:pPr>
            <w:r>
              <w:rPr>
                <w:rFonts w:ascii="Arial" w:cs="Arial" w:eastAsia="Arial" w:hAnsi="Arial"/>
                <w:sz w:val="18"/>
                <w:szCs w:val="18"/>
                <w:color w:val="auto"/>
              </w:rPr>
              <w:t>Deductible</w:t>
            </w:r>
          </w:p>
        </w:tc>
      </w:tr>
      <w:tr>
        <w:trPr>
          <w:trHeight w:val="230"/>
        </w:trPr>
        <w:tc>
          <w:tcPr>
            <w:tcW w:w="6220" w:type="dxa"/>
            <w:vAlign w:val="bottom"/>
          </w:tcPr>
          <w:p>
            <w:pPr>
              <w:spacing w:after="0"/>
              <w:rPr>
                <w:sz w:val="20"/>
                <w:szCs w:val="20"/>
                <w:color w:val="auto"/>
              </w:rPr>
            </w:pPr>
          </w:p>
        </w:tc>
        <w:tc>
          <w:tcPr>
            <w:tcW w:w="3040" w:type="dxa"/>
            <w:vAlign w:val="bottom"/>
            <w:gridSpan w:val="2"/>
          </w:tcPr>
          <w:p>
            <w:pPr>
              <w:ind w:left="1420"/>
              <w:spacing w:after="0"/>
              <w:rPr>
                <w:sz w:val="20"/>
                <w:szCs w:val="20"/>
                <w:color w:val="auto"/>
              </w:rPr>
            </w:pPr>
            <w:r>
              <w:rPr>
                <w:rFonts w:ascii="Arial" w:cs="Arial" w:eastAsia="Arial" w:hAnsi="Arial"/>
                <w:sz w:val="18"/>
                <w:szCs w:val="18"/>
                <w:color w:val="auto"/>
              </w:rPr>
              <w:t>Limit of Liability</w:t>
            </w:r>
          </w:p>
        </w:tc>
        <w:tc>
          <w:tcPr>
            <w:tcW w:w="440" w:type="dxa"/>
            <w:vAlign w:val="bottom"/>
          </w:tcPr>
          <w:p>
            <w:pPr>
              <w:spacing w:after="0"/>
              <w:rPr>
                <w:sz w:val="20"/>
                <w:szCs w:val="20"/>
                <w:color w:val="auto"/>
              </w:rPr>
            </w:pPr>
          </w:p>
        </w:tc>
        <w:tc>
          <w:tcPr>
            <w:tcW w:w="800" w:type="dxa"/>
            <w:vAlign w:val="bottom"/>
          </w:tcPr>
          <w:p>
            <w:pPr>
              <w:jc w:val="right"/>
              <w:ind w:right="118"/>
              <w:spacing w:after="0"/>
              <w:rPr>
                <w:sz w:val="20"/>
                <w:szCs w:val="20"/>
                <w:color w:val="auto"/>
              </w:rPr>
            </w:pPr>
            <w:r>
              <w:rPr>
                <w:rFonts w:ascii="Arial" w:cs="Arial" w:eastAsia="Arial" w:hAnsi="Arial"/>
                <w:sz w:val="18"/>
                <w:szCs w:val="18"/>
                <w:color w:val="auto"/>
                <w:w w:val="90"/>
              </w:rPr>
              <w:t>Amount</w:t>
            </w:r>
          </w:p>
        </w:tc>
      </w:tr>
      <w:tr>
        <w:trPr>
          <w:trHeight w:val="24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A - FIDELITY</w:t>
            </w:r>
          </w:p>
        </w:tc>
        <w:tc>
          <w:tcPr>
            <w:tcW w:w="1700" w:type="dxa"/>
            <w:vAlign w:val="bottom"/>
            <w:shd w:val="clear" w:color="auto" w:fill="CCEEFF"/>
          </w:tcPr>
          <w:p>
            <w:pPr>
              <w:ind w:left="1420"/>
              <w:spacing w:after="0"/>
              <w:rPr>
                <w:sz w:val="20"/>
                <w:szCs w:val="20"/>
                <w:color w:val="auto"/>
              </w:rPr>
            </w:pPr>
            <w:r>
              <w:rPr>
                <w:rFonts w:ascii="Arial" w:cs="Arial" w:eastAsia="Arial" w:hAnsi="Arial"/>
                <w:sz w:val="21"/>
                <w:szCs w:val="21"/>
                <w:color w:val="auto"/>
              </w:rPr>
              <w:t>$</w:t>
            </w:r>
          </w:p>
        </w:tc>
        <w:tc>
          <w:tcPr>
            <w:tcW w:w="1340" w:type="dxa"/>
            <w:vAlign w:val="bottom"/>
            <w:shd w:val="clear" w:color="auto" w:fill="CCEEFF"/>
          </w:tcPr>
          <w:p>
            <w:pPr>
              <w:jc w:val="right"/>
              <w:ind w:right="256"/>
              <w:spacing w:after="0"/>
              <w:rPr>
                <w:sz w:val="20"/>
                <w:szCs w:val="20"/>
                <w:color w:val="auto"/>
              </w:rPr>
            </w:pPr>
            <w:r>
              <w:rPr>
                <w:rFonts w:ascii="Arial" w:cs="Arial" w:eastAsia="Arial" w:hAnsi="Arial"/>
                <w:sz w:val="21"/>
                <w:szCs w:val="21"/>
                <w:color w:val="auto"/>
              </w:rPr>
              <w:t>5,000,000</w:t>
            </w:r>
          </w:p>
        </w:tc>
        <w:tc>
          <w:tcPr>
            <w:tcW w:w="440" w:type="dxa"/>
            <w:vAlign w:val="bottom"/>
            <w:shd w:val="clear" w:color="auto" w:fill="CCEEFF"/>
          </w:tcPr>
          <w:p>
            <w:pPr>
              <w:ind w:left="340"/>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1"/>
                <w:szCs w:val="21"/>
                <w:color w:val="auto"/>
              </w:rPr>
              <w:t>25,000</w:t>
            </w: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Insuring Agreement B - AUDIT EXPENSE</w:t>
            </w:r>
          </w:p>
        </w:tc>
        <w:tc>
          <w:tcPr>
            <w:tcW w:w="1700" w:type="dxa"/>
            <w:vAlign w:val="bottom"/>
          </w:tcPr>
          <w:p>
            <w:pPr>
              <w:ind w:left="1420"/>
              <w:spacing w:after="0"/>
              <w:rPr>
                <w:sz w:val="20"/>
                <w:szCs w:val="20"/>
                <w:color w:val="auto"/>
              </w:rPr>
            </w:pPr>
            <w:r>
              <w:rPr>
                <w:rFonts w:ascii="Arial" w:cs="Arial" w:eastAsia="Arial" w:hAnsi="Arial"/>
                <w:sz w:val="21"/>
                <w:szCs w:val="21"/>
                <w:color w:val="auto"/>
              </w:rPr>
              <w:t>$</w:t>
            </w:r>
          </w:p>
        </w:tc>
        <w:tc>
          <w:tcPr>
            <w:tcW w:w="1340" w:type="dxa"/>
            <w:vAlign w:val="bottom"/>
          </w:tcPr>
          <w:p>
            <w:pPr>
              <w:jc w:val="right"/>
              <w:ind w:right="256"/>
              <w:spacing w:after="0"/>
              <w:rPr>
                <w:sz w:val="20"/>
                <w:szCs w:val="20"/>
                <w:color w:val="auto"/>
              </w:rPr>
            </w:pPr>
            <w:r>
              <w:rPr>
                <w:rFonts w:ascii="Arial" w:cs="Arial" w:eastAsia="Arial" w:hAnsi="Arial"/>
                <w:sz w:val="21"/>
                <w:szCs w:val="21"/>
                <w:color w:val="auto"/>
              </w:rPr>
              <w:t>50,000</w:t>
            </w:r>
          </w:p>
        </w:tc>
        <w:tc>
          <w:tcPr>
            <w:tcW w:w="440" w:type="dxa"/>
            <w:vAlign w:val="bottom"/>
          </w:tcPr>
          <w:p>
            <w:pPr>
              <w:ind w:left="340"/>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1"/>
                <w:szCs w:val="21"/>
                <w:color w:val="auto"/>
              </w:rPr>
              <w:t>5,000</w:t>
            </w:r>
          </w:p>
        </w:tc>
      </w:tr>
      <w:tr>
        <w:trPr>
          <w:trHeight w:val="24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C - PREMISES</w:t>
            </w:r>
          </w:p>
        </w:tc>
        <w:tc>
          <w:tcPr>
            <w:tcW w:w="1700" w:type="dxa"/>
            <w:vAlign w:val="bottom"/>
            <w:shd w:val="clear" w:color="auto" w:fill="CCEEFF"/>
          </w:tcPr>
          <w:p>
            <w:pPr>
              <w:ind w:left="1420"/>
              <w:spacing w:after="0"/>
              <w:rPr>
                <w:sz w:val="20"/>
                <w:szCs w:val="20"/>
                <w:color w:val="auto"/>
              </w:rPr>
            </w:pPr>
            <w:r>
              <w:rPr>
                <w:rFonts w:ascii="Arial" w:cs="Arial" w:eastAsia="Arial" w:hAnsi="Arial"/>
                <w:sz w:val="21"/>
                <w:szCs w:val="21"/>
                <w:color w:val="auto"/>
              </w:rPr>
              <w:t>$</w:t>
            </w:r>
          </w:p>
        </w:tc>
        <w:tc>
          <w:tcPr>
            <w:tcW w:w="1340" w:type="dxa"/>
            <w:vAlign w:val="bottom"/>
            <w:shd w:val="clear" w:color="auto" w:fill="CCEEFF"/>
          </w:tcPr>
          <w:p>
            <w:pPr>
              <w:jc w:val="right"/>
              <w:ind w:right="256"/>
              <w:spacing w:after="0"/>
              <w:rPr>
                <w:sz w:val="20"/>
                <w:szCs w:val="20"/>
                <w:color w:val="auto"/>
              </w:rPr>
            </w:pPr>
            <w:r>
              <w:rPr>
                <w:rFonts w:ascii="Arial" w:cs="Arial" w:eastAsia="Arial" w:hAnsi="Arial"/>
                <w:sz w:val="21"/>
                <w:szCs w:val="21"/>
                <w:color w:val="auto"/>
              </w:rPr>
              <w:t>5,000,000</w:t>
            </w:r>
          </w:p>
        </w:tc>
        <w:tc>
          <w:tcPr>
            <w:tcW w:w="440" w:type="dxa"/>
            <w:vAlign w:val="bottom"/>
            <w:shd w:val="clear" w:color="auto" w:fill="CCEEFF"/>
          </w:tcPr>
          <w:p>
            <w:pPr>
              <w:ind w:left="340"/>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1"/>
                <w:szCs w:val="21"/>
                <w:color w:val="auto"/>
              </w:rPr>
              <w:t>25,000</w:t>
            </w: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Insuring Agreement D - TRANSIT</w:t>
            </w:r>
          </w:p>
        </w:tc>
        <w:tc>
          <w:tcPr>
            <w:tcW w:w="1700" w:type="dxa"/>
            <w:vAlign w:val="bottom"/>
          </w:tcPr>
          <w:p>
            <w:pPr>
              <w:ind w:left="1420"/>
              <w:spacing w:after="0"/>
              <w:rPr>
                <w:sz w:val="20"/>
                <w:szCs w:val="20"/>
                <w:color w:val="auto"/>
              </w:rPr>
            </w:pPr>
            <w:r>
              <w:rPr>
                <w:rFonts w:ascii="Arial" w:cs="Arial" w:eastAsia="Arial" w:hAnsi="Arial"/>
                <w:sz w:val="21"/>
                <w:szCs w:val="21"/>
                <w:color w:val="auto"/>
              </w:rPr>
              <w:t>$</w:t>
            </w:r>
          </w:p>
        </w:tc>
        <w:tc>
          <w:tcPr>
            <w:tcW w:w="1340" w:type="dxa"/>
            <w:vAlign w:val="bottom"/>
          </w:tcPr>
          <w:p>
            <w:pPr>
              <w:jc w:val="right"/>
              <w:ind w:right="256"/>
              <w:spacing w:after="0"/>
              <w:rPr>
                <w:sz w:val="20"/>
                <w:szCs w:val="20"/>
                <w:color w:val="auto"/>
              </w:rPr>
            </w:pPr>
            <w:r>
              <w:rPr>
                <w:rFonts w:ascii="Arial" w:cs="Arial" w:eastAsia="Arial" w:hAnsi="Arial"/>
                <w:sz w:val="21"/>
                <w:szCs w:val="21"/>
                <w:color w:val="auto"/>
              </w:rPr>
              <w:t>5,000,000</w:t>
            </w:r>
          </w:p>
        </w:tc>
        <w:tc>
          <w:tcPr>
            <w:tcW w:w="440" w:type="dxa"/>
            <w:vAlign w:val="bottom"/>
          </w:tcPr>
          <w:p>
            <w:pPr>
              <w:ind w:left="340"/>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1"/>
                <w:szCs w:val="21"/>
                <w:color w:val="auto"/>
              </w:rPr>
              <w:t>25,000</w:t>
            </w:r>
          </w:p>
        </w:tc>
      </w:tr>
      <w:tr>
        <w:trPr>
          <w:trHeight w:val="24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E - FORGERY OR ALTERATION</w:t>
            </w:r>
          </w:p>
        </w:tc>
        <w:tc>
          <w:tcPr>
            <w:tcW w:w="1700" w:type="dxa"/>
            <w:vAlign w:val="bottom"/>
            <w:shd w:val="clear" w:color="auto" w:fill="CCEEFF"/>
          </w:tcPr>
          <w:p>
            <w:pPr>
              <w:ind w:left="1420"/>
              <w:spacing w:after="0"/>
              <w:rPr>
                <w:sz w:val="20"/>
                <w:szCs w:val="20"/>
                <w:color w:val="auto"/>
              </w:rPr>
            </w:pPr>
            <w:r>
              <w:rPr>
                <w:rFonts w:ascii="Arial" w:cs="Arial" w:eastAsia="Arial" w:hAnsi="Arial"/>
                <w:sz w:val="21"/>
                <w:szCs w:val="21"/>
                <w:color w:val="auto"/>
              </w:rPr>
              <w:t>$</w:t>
            </w:r>
          </w:p>
        </w:tc>
        <w:tc>
          <w:tcPr>
            <w:tcW w:w="1340" w:type="dxa"/>
            <w:vAlign w:val="bottom"/>
            <w:shd w:val="clear" w:color="auto" w:fill="CCEEFF"/>
          </w:tcPr>
          <w:p>
            <w:pPr>
              <w:jc w:val="right"/>
              <w:ind w:right="256"/>
              <w:spacing w:after="0"/>
              <w:rPr>
                <w:sz w:val="20"/>
                <w:szCs w:val="20"/>
                <w:color w:val="auto"/>
              </w:rPr>
            </w:pPr>
            <w:r>
              <w:rPr>
                <w:rFonts w:ascii="Arial" w:cs="Arial" w:eastAsia="Arial" w:hAnsi="Arial"/>
                <w:sz w:val="21"/>
                <w:szCs w:val="21"/>
                <w:color w:val="auto"/>
              </w:rPr>
              <w:t>5,000,000</w:t>
            </w:r>
          </w:p>
        </w:tc>
        <w:tc>
          <w:tcPr>
            <w:tcW w:w="440" w:type="dxa"/>
            <w:vAlign w:val="bottom"/>
            <w:shd w:val="clear" w:color="auto" w:fill="CCEEFF"/>
          </w:tcPr>
          <w:p>
            <w:pPr>
              <w:ind w:left="340"/>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1"/>
                <w:szCs w:val="21"/>
                <w:color w:val="auto"/>
              </w:rPr>
              <w:t>25,000</w:t>
            </w: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Insuring Agreement F - SECURITIES</w:t>
            </w:r>
          </w:p>
        </w:tc>
        <w:tc>
          <w:tcPr>
            <w:tcW w:w="1700" w:type="dxa"/>
            <w:vAlign w:val="bottom"/>
          </w:tcPr>
          <w:p>
            <w:pPr>
              <w:ind w:left="1420"/>
              <w:spacing w:after="0"/>
              <w:rPr>
                <w:sz w:val="20"/>
                <w:szCs w:val="20"/>
                <w:color w:val="auto"/>
              </w:rPr>
            </w:pPr>
            <w:r>
              <w:rPr>
                <w:rFonts w:ascii="Arial" w:cs="Arial" w:eastAsia="Arial" w:hAnsi="Arial"/>
                <w:sz w:val="21"/>
                <w:szCs w:val="21"/>
                <w:color w:val="auto"/>
              </w:rPr>
              <w:t>$</w:t>
            </w:r>
          </w:p>
        </w:tc>
        <w:tc>
          <w:tcPr>
            <w:tcW w:w="1340" w:type="dxa"/>
            <w:vAlign w:val="bottom"/>
          </w:tcPr>
          <w:p>
            <w:pPr>
              <w:jc w:val="right"/>
              <w:ind w:right="256"/>
              <w:spacing w:after="0"/>
              <w:rPr>
                <w:sz w:val="20"/>
                <w:szCs w:val="20"/>
                <w:color w:val="auto"/>
              </w:rPr>
            </w:pPr>
            <w:r>
              <w:rPr>
                <w:rFonts w:ascii="Arial" w:cs="Arial" w:eastAsia="Arial" w:hAnsi="Arial"/>
                <w:sz w:val="21"/>
                <w:szCs w:val="21"/>
                <w:color w:val="auto"/>
              </w:rPr>
              <w:t>5,000,000</w:t>
            </w:r>
          </w:p>
        </w:tc>
        <w:tc>
          <w:tcPr>
            <w:tcW w:w="440" w:type="dxa"/>
            <w:vAlign w:val="bottom"/>
          </w:tcPr>
          <w:p>
            <w:pPr>
              <w:ind w:left="340"/>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1"/>
                <w:szCs w:val="21"/>
                <w:color w:val="auto"/>
              </w:rPr>
              <w:t>25,000</w:t>
            </w:r>
          </w:p>
        </w:tc>
      </w:tr>
      <w:tr>
        <w:trPr>
          <w:trHeight w:val="24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G - COUNTERFEIT CURRENCY</w:t>
            </w:r>
          </w:p>
        </w:tc>
        <w:tc>
          <w:tcPr>
            <w:tcW w:w="1700" w:type="dxa"/>
            <w:vAlign w:val="bottom"/>
            <w:shd w:val="clear" w:color="auto" w:fill="CCEEFF"/>
          </w:tcPr>
          <w:p>
            <w:pPr>
              <w:ind w:left="1420"/>
              <w:spacing w:after="0"/>
              <w:rPr>
                <w:sz w:val="20"/>
                <w:szCs w:val="20"/>
                <w:color w:val="auto"/>
              </w:rPr>
            </w:pPr>
            <w:r>
              <w:rPr>
                <w:rFonts w:ascii="Arial" w:cs="Arial" w:eastAsia="Arial" w:hAnsi="Arial"/>
                <w:sz w:val="21"/>
                <w:szCs w:val="21"/>
                <w:color w:val="auto"/>
              </w:rPr>
              <w:t>$</w:t>
            </w:r>
          </w:p>
        </w:tc>
        <w:tc>
          <w:tcPr>
            <w:tcW w:w="1340" w:type="dxa"/>
            <w:vAlign w:val="bottom"/>
            <w:shd w:val="clear" w:color="auto" w:fill="CCEEFF"/>
          </w:tcPr>
          <w:p>
            <w:pPr>
              <w:jc w:val="right"/>
              <w:ind w:right="256"/>
              <w:spacing w:after="0"/>
              <w:rPr>
                <w:sz w:val="20"/>
                <w:szCs w:val="20"/>
                <w:color w:val="auto"/>
              </w:rPr>
            </w:pPr>
            <w:r>
              <w:rPr>
                <w:rFonts w:ascii="Arial" w:cs="Arial" w:eastAsia="Arial" w:hAnsi="Arial"/>
                <w:sz w:val="21"/>
                <w:szCs w:val="21"/>
                <w:color w:val="auto"/>
              </w:rPr>
              <w:t>5,000,000</w:t>
            </w:r>
          </w:p>
        </w:tc>
        <w:tc>
          <w:tcPr>
            <w:tcW w:w="440" w:type="dxa"/>
            <w:vAlign w:val="bottom"/>
            <w:shd w:val="clear" w:color="auto" w:fill="CCEEFF"/>
          </w:tcPr>
          <w:p>
            <w:pPr>
              <w:ind w:left="340"/>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1"/>
                <w:szCs w:val="21"/>
                <w:color w:val="auto"/>
              </w:rPr>
              <w:t>25,000</w:t>
            </w:r>
          </w:p>
        </w:tc>
      </w:tr>
      <w:tr>
        <w:trPr>
          <w:trHeight w:val="243"/>
        </w:trPr>
        <w:tc>
          <w:tcPr>
            <w:tcW w:w="6220" w:type="dxa"/>
            <w:vAlign w:val="bottom"/>
          </w:tcPr>
          <w:p>
            <w:pPr>
              <w:spacing w:after="0"/>
              <w:rPr>
                <w:sz w:val="20"/>
                <w:szCs w:val="20"/>
                <w:color w:val="auto"/>
              </w:rPr>
            </w:pPr>
            <w:r>
              <w:rPr>
                <w:rFonts w:ascii="Arial" w:cs="Arial" w:eastAsia="Arial" w:hAnsi="Arial"/>
                <w:sz w:val="18"/>
                <w:szCs w:val="18"/>
                <w:color w:val="auto"/>
              </w:rPr>
              <w:t>Insuring Agreement H - STOP PAYMENT</w:t>
            </w:r>
          </w:p>
        </w:tc>
        <w:tc>
          <w:tcPr>
            <w:tcW w:w="1700" w:type="dxa"/>
            <w:vAlign w:val="bottom"/>
          </w:tcPr>
          <w:p>
            <w:pPr>
              <w:ind w:left="1420"/>
              <w:spacing w:after="0"/>
              <w:rPr>
                <w:sz w:val="20"/>
                <w:szCs w:val="20"/>
                <w:color w:val="auto"/>
              </w:rPr>
            </w:pPr>
            <w:r>
              <w:rPr>
                <w:rFonts w:ascii="Arial" w:cs="Arial" w:eastAsia="Arial" w:hAnsi="Arial"/>
                <w:sz w:val="21"/>
                <w:szCs w:val="21"/>
                <w:color w:val="auto"/>
              </w:rPr>
              <w:t>$</w:t>
            </w:r>
          </w:p>
        </w:tc>
        <w:tc>
          <w:tcPr>
            <w:tcW w:w="1340" w:type="dxa"/>
            <w:vAlign w:val="bottom"/>
          </w:tcPr>
          <w:p>
            <w:pPr>
              <w:jc w:val="right"/>
              <w:ind w:right="256"/>
              <w:spacing w:after="0"/>
              <w:rPr>
                <w:sz w:val="20"/>
                <w:szCs w:val="20"/>
                <w:color w:val="auto"/>
              </w:rPr>
            </w:pPr>
            <w:r>
              <w:rPr>
                <w:rFonts w:ascii="Arial" w:cs="Arial" w:eastAsia="Arial" w:hAnsi="Arial"/>
                <w:sz w:val="21"/>
                <w:szCs w:val="21"/>
                <w:color w:val="auto"/>
              </w:rPr>
              <w:t>50,000</w:t>
            </w:r>
          </w:p>
        </w:tc>
        <w:tc>
          <w:tcPr>
            <w:tcW w:w="440" w:type="dxa"/>
            <w:vAlign w:val="bottom"/>
          </w:tcPr>
          <w:p>
            <w:pPr>
              <w:ind w:left="340"/>
              <w:spacing w:after="0"/>
              <w:rPr>
                <w:sz w:val="20"/>
                <w:szCs w:val="20"/>
                <w:color w:val="auto"/>
              </w:rPr>
            </w:pPr>
            <w:r>
              <w:rPr>
                <w:rFonts w:ascii="Arial" w:cs="Arial" w:eastAsia="Arial" w:hAnsi="Arial"/>
                <w:sz w:val="20"/>
                <w:szCs w:val="20"/>
                <w:color w:val="auto"/>
                <w:w w:val="71"/>
              </w:rPr>
              <w:t>$</w:t>
            </w:r>
          </w:p>
        </w:tc>
        <w:tc>
          <w:tcPr>
            <w:tcW w:w="800" w:type="dxa"/>
            <w:vAlign w:val="bottom"/>
          </w:tcPr>
          <w:p>
            <w:pPr>
              <w:jc w:val="right"/>
              <w:spacing w:after="0"/>
              <w:rPr>
                <w:sz w:val="20"/>
                <w:szCs w:val="20"/>
                <w:color w:val="auto"/>
              </w:rPr>
            </w:pPr>
            <w:r>
              <w:rPr>
                <w:rFonts w:ascii="Arial" w:cs="Arial" w:eastAsia="Arial" w:hAnsi="Arial"/>
                <w:sz w:val="21"/>
                <w:szCs w:val="21"/>
                <w:color w:val="auto"/>
              </w:rPr>
              <w:t>5,000</w:t>
            </w:r>
          </w:p>
        </w:tc>
      </w:tr>
      <w:tr>
        <w:trPr>
          <w:trHeight w:val="24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I - UNCOLLECTIBLE ITEMS OF DEPOSIT</w:t>
            </w:r>
          </w:p>
        </w:tc>
        <w:tc>
          <w:tcPr>
            <w:tcW w:w="1700" w:type="dxa"/>
            <w:vAlign w:val="bottom"/>
            <w:shd w:val="clear" w:color="auto" w:fill="CCEEFF"/>
          </w:tcPr>
          <w:p>
            <w:pPr>
              <w:ind w:left="1420"/>
              <w:spacing w:after="0"/>
              <w:rPr>
                <w:sz w:val="20"/>
                <w:szCs w:val="20"/>
                <w:color w:val="auto"/>
              </w:rPr>
            </w:pPr>
            <w:r>
              <w:rPr>
                <w:rFonts w:ascii="Arial" w:cs="Arial" w:eastAsia="Arial" w:hAnsi="Arial"/>
                <w:sz w:val="21"/>
                <w:szCs w:val="21"/>
                <w:color w:val="auto"/>
              </w:rPr>
              <w:t>$</w:t>
            </w:r>
          </w:p>
        </w:tc>
        <w:tc>
          <w:tcPr>
            <w:tcW w:w="1340" w:type="dxa"/>
            <w:vAlign w:val="bottom"/>
            <w:shd w:val="clear" w:color="auto" w:fill="CCEEFF"/>
          </w:tcPr>
          <w:p>
            <w:pPr>
              <w:jc w:val="right"/>
              <w:ind w:right="256"/>
              <w:spacing w:after="0"/>
              <w:rPr>
                <w:sz w:val="20"/>
                <w:szCs w:val="20"/>
                <w:color w:val="auto"/>
              </w:rPr>
            </w:pPr>
            <w:r>
              <w:rPr>
                <w:rFonts w:ascii="Arial" w:cs="Arial" w:eastAsia="Arial" w:hAnsi="Arial"/>
                <w:sz w:val="21"/>
                <w:szCs w:val="21"/>
                <w:color w:val="auto"/>
              </w:rPr>
              <w:t>50,000</w:t>
            </w:r>
          </w:p>
        </w:tc>
        <w:tc>
          <w:tcPr>
            <w:tcW w:w="440" w:type="dxa"/>
            <w:vAlign w:val="bottom"/>
            <w:shd w:val="clear" w:color="auto" w:fill="CCEEFF"/>
          </w:tcPr>
          <w:p>
            <w:pPr>
              <w:ind w:left="340"/>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1"/>
                <w:szCs w:val="21"/>
                <w:color w:val="auto"/>
              </w:rPr>
              <w:t>5,000</w:t>
            </w:r>
          </w:p>
        </w:tc>
      </w:tr>
      <w:tr>
        <w:trPr>
          <w:trHeight w:val="351"/>
        </w:trPr>
        <w:tc>
          <w:tcPr>
            <w:tcW w:w="6220" w:type="dxa"/>
            <w:vAlign w:val="bottom"/>
          </w:tcPr>
          <w:p>
            <w:pPr>
              <w:ind w:left="120"/>
              <w:spacing w:after="0"/>
              <w:rPr>
                <w:sz w:val="20"/>
                <w:szCs w:val="20"/>
                <w:color w:val="auto"/>
              </w:rPr>
            </w:pPr>
            <w:r>
              <w:rPr>
                <w:rFonts w:ascii="Arial" w:cs="Arial" w:eastAsia="Arial" w:hAnsi="Arial"/>
                <w:sz w:val="22"/>
                <w:szCs w:val="22"/>
                <w:color w:val="auto"/>
              </w:rPr>
              <w:t>OPTIONAL COVERAGES ADDED BY RIDER:</w:t>
            </w: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3"/>
        </w:trPr>
        <w:tc>
          <w:tcPr>
            <w:tcW w:w="6220" w:type="dxa"/>
            <w:vAlign w:val="bottom"/>
            <w:shd w:val="clear" w:color="auto" w:fill="CCEEFF"/>
          </w:tcPr>
          <w:p>
            <w:pPr>
              <w:ind w:left="120"/>
              <w:spacing w:after="0"/>
              <w:rPr>
                <w:sz w:val="20"/>
                <w:szCs w:val="20"/>
                <w:color w:val="auto"/>
              </w:rPr>
            </w:pPr>
            <w:r>
              <w:rPr>
                <w:rFonts w:ascii="Arial" w:cs="Arial" w:eastAsia="Arial" w:hAnsi="Arial"/>
                <w:sz w:val="21"/>
                <w:szCs w:val="21"/>
                <w:color w:val="auto"/>
              </w:rPr>
              <w:t>Insuring Agreement J - Unauthorized Signatures</w:t>
            </w:r>
          </w:p>
        </w:tc>
        <w:tc>
          <w:tcPr>
            <w:tcW w:w="1700" w:type="dxa"/>
            <w:vAlign w:val="bottom"/>
            <w:shd w:val="clear" w:color="auto" w:fill="CCEEFF"/>
          </w:tcPr>
          <w:p>
            <w:pPr>
              <w:ind w:left="1420"/>
              <w:spacing w:after="0"/>
              <w:rPr>
                <w:sz w:val="20"/>
                <w:szCs w:val="20"/>
                <w:color w:val="auto"/>
              </w:rPr>
            </w:pPr>
            <w:r>
              <w:rPr>
                <w:rFonts w:ascii="Arial" w:cs="Arial" w:eastAsia="Arial" w:hAnsi="Arial"/>
                <w:sz w:val="21"/>
                <w:szCs w:val="21"/>
                <w:color w:val="auto"/>
              </w:rPr>
              <w:t>$</w:t>
            </w:r>
          </w:p>
        </w:tc>
        <w:tc>
          <w:tcPr>
            <w:tcW w:w="1340" w:type="dxa"/>
            <w:vAlign w:val="bottom"/>
            <w:shd w:val="clear" w:color="auto" w:fill="CCEEFF"/>
          </w:tcPr>
          <w:p>
            <w:pPr>
              <w:jc w:val="right"/>
              <w:ind w:right="256"/>
              <w:spacing w:after="0"/>
              <w:rPr>
                <w:sz w:val="20"/>
                <w:szCs w:val="20"/>
                <w:color w:val="auto"/>
              </w:rPr>
            </w:pPr>
            <w:r>
              <w:rPr>
                <w:rFonts w:ascii="Arial" w:cs="Arial" w:eastAsia="Arial" w:hAnsi="Arial"/>
                <w:sz w:val="21"/>
                <w:szCs w:val="21"/>
                <w:color w:val="auto"/>
              </w:rPr>
              <w:t>50,000</w:t>
            </w:r>
          </w:p>
        </w:tc>
        <w:tc>
          <w:tcPr>
            <w:tcW w:w="440" w:type="dxa"/>
            <w:vAlign w:val="bottom"/>
            <w:shd w:val="clear" w:color="auto" w:fill="CCEEFF"/>
          </w:tcPr>
          <w:p>
            <w:pPr>
              <w:ind w:left="340"/>
              <w:spacing w:after="0"/>
              <w:rPr>
                <w:sz w:val="20"/>
                <w:szCs w:val="20"/>
                <w:color w:val="auto"/>
              </w:rPr>
            </w:pPr>
            <w:r>
              <w:rPr>
                <w:rFonts w:ascii="Arial" w:cs="Arial" w:eastAsia="Arial" w:hAnsi="Arial"/>
                <w:sz w:val="20"/>
                <w:szCs w:val="2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1"/>
                <w:szCs w:val="21"/>
                <w:color w:val="auto"/>
              </w:rPr>
              <w:t>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“Not Covered” is inserted above opposite any specified Insuring Agreement or Coverage, such Insuring Agreement or Coverage and any other reference thereto in this bond shall be deemed to be deleted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7" w:lineRule="exact"/>
        <w:rPr>
          <w:sz w:val="20"/>
          <w:szCs w:val="20"/>
          <w:color w:val="auto"/>
        </w:rPr>
      </w:pPr>
    </w:p>
    <w:p>
      <w:pPr>
        <w:jc w:val="both"/>
        <w:ind w:left="920" w:right="240" w:hanging="904"/>
        <w:spacing w:after="0" w:line="297" w:lineRule="auto"/>
        <w:tabs>
          <w:tab w:leader="none" w:pos="90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Offices or Premises Covered - Offices acquired or established subsequent to the effective date of this bond are covered according to the terms of General Agreement A. All the Insured’s offices or premises in existence at the time this bond becomes effective are covered under this bond except the offices or premises located as follows: N/A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ICB001 Rev. 7/04</w:t>
      </w:r>
    </w:p>
    <w:p>
      <w:pPr>
        <w:spacing w:after="0" w:line="23"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2</w:t>
      </w:r>
    </w:p>
    <w:p>
      <w:pPr>
        <w:sectPr>
          <w:pgSz w:w="11900" w:h="16838" w:orient="portrait"/>
          <w:cols w:equalWidth="0" w:num="1">
            <w:col w:w="11420"/>
          </w:cols>
          <w:pgMar w:left="240" w:top="274" w:right="239" w:bottom="1440" w:gutter="0" w:footer="0" w:header="0"/>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w:t>
      </w:r>
      <w:r>
        <w:rPr>
          <w:sz w:val="20"/>
          <w:szCs w:val="20"/>
          <w:color w:val="auto"/>
        </w:rPr>
        <w:tab/>
      </w:r>
      <w:r>
        <w:rPr>
          <w:rFonts w:ascii="Arial" w:cs="Arial" w:eastAsia="Arial" w:hAnsi="Arial"/>
          <w:sz w:val="19"/>
          <w:szCs w:val="19"/>
          <w:color w:val="auto"/>
        </w:rPr>
        <w:t>The liability of the Underwriter is subject to the terms of the following endorsements or riders attached hereto:</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Endorsements or Riders No. 1 through</w:t>
      </w:r>
    </w:p>
    <w:p>
      <w:pPr>
        <w:spacing w:after="0" w:line="88" w:lineRule="exact"/>
        <w:rPr>
          <w:sz w:val="20"/>
          <w:szCs w:val="20"/>
          <w:color w:val="auto"/>
        </w:rPr>
      </w:pPr>
    </w:p>
    <w:p>
      <w:pPr>
        <w:ind w:left="580"/>
        <w:spacing w:after="0"/>
        <w:rPr>
          <w:sz w:val="20"/>
          <w:szCs w:val="20"/>
          <w:color w:val="auto"/>
        </w:rPr>
      </w:pPr>
      <w:r>
        <w:rPr>
          <w:rFonts w:ascii="Arial" w:cs="Arial" w:eastAsia="Arial" w:hAnsi="Arial"/>
          <w:sz w:val="21"/>
          <w:szCs w:val="21"/>
          <w:color w:val="auto"/>
        </w:rPr>
        <w:t>LTR19041, ICB010, ICB012, ICB016, ICB026, ICB030,</w:t>
      </w:r>
    </w:p>
    <w:p>
      <w:pPr>
        <w:spacing w:after="0" w:line="20" w:lineRule="exact"/>
        <w:rPr>
          <w:sz w:val="20"/>
          <w:szCs w:val="20"/>
          <w:color w:val="auto"/>
        </w:rPr>
      </w:pPr>
    </w:p>
    <w:p>
      <w:pPr>
        <w:ind w:left="580"/>
        <w:spacing w:after="0"/>
        <w:rPr>
          <w:sz w:val="20"/>
          <w:szCs w:val="20"/>
          <w:color w:val="auto"/>
        </w:rPr>
      </w:pPr>
      <w:r>
        <w:rPr>
          <w:rFonts w:ascii="Arial" w:cs="Arial" w:eastAsia="Arial" w:hAnsi="Arial"/>
          <w:sz w:val="21"/>
          <w:szCs w:val="21"/>
          <w:color w:val="auto"/>
        </w:rPr>
        <w:t>ICB057, MEL4734, MEL7428, MEL9188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1618615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920" w:hanging="904"/>
        <w:spacing w:after="0"/>
        <w:tabs>
          <w:tab w:leader="none" w:pos="900" w:val="left"/>
        </w:tabs>
        <w:rPr>
          <w:sz w:val="20"/>
          <w:szCs w:val="20"/>
          <w:color w:val="auto"/>
        </w:rPr>
      </w:pPr>
      <w:r>
        <w:rPr>
          <w:rFonts w:ascii="Arial" w:cs="Arial" w:eastAsia="Arial" w:hAnsi="Arial"/>
          <w:sz w:val="22"/>
          <w:szCs w:val="22"/>
          <w:color w:val="auto"/>
        </w:rPr>
        <w:t>Item 6.</w:t>
        <w:tab/>
        <w:t>The Insured by the acceptance of this bond gives notice to the Underwriter terminating or canceling prior bonds or policy(ies) No.(s) ZBN-41M30652-15-N2 such termination or cancellation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the Company has caused this bond to be signed by its President and Secretary and countersigned by a duly authorized representative of the Company.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60" w:type="dxa"/>
            <w:vAlign w:val="bottom"/>
          </w:tcPr>
          <w:p>
            <w:pPr>
              <w:spacing w:after="0"/>
              <w:rPr>
                <w:sz w:val="20"/>
                <w:szCs w:val="20"/>
                <w:color w:val="auto"/>
              </w:rPr>
            </w:pPr>
            <w:r>
              <w:rPr>
                <w:rFonts w:ascii="Arial" w:cs="Arial" w:eastAsia="Arial" w:hAnsi="Arial"/>
                <w:sz w:val="14"/>
                <w:szCs w:val="14"/>
                <w:b w:val="1"/>
                <w:bCs w:val="1"/>
                <w:color w:val="auto"/>
              </w:rPr>
              <w:t>Countersigned:</w:t>
            </w:r>
          </w:p>
        </w:tc>
        <w:tc>
          <w:tcPr>
            <w:tcW w:w="1260" w:type="dxa"/>
            <w:vAlign w:val="bottom"/>
          </w:tcPr>
          <w:p>
            <w:pPr>
              <w:spacing w:after="0"/>
              <w:rPr>
                <w:sz w:val="20"/>
                <w:szCs w:val="20"/>
                <w:color w:val="auto"/>
              </w:rPr>
            </w:pPr>
          </w:p>
        </w:tc>
        <w:tc>
          <w:tcPr>
            <w:tcW w:w="4660" w:type="dxa"/>
            <w:vAlign w:val="bottom"/>
          </w:tcPr>
          <w:p>
            <w:pPr>
              <w:ind w:left="120"/>
              <w:spacing w:after="0"/>
              <w:rPr>
                <w:sz w:val="20"/>
                <w:szCs w:val="20"/>
                <w:color w:val="auto"/>
              </w:rPr>
            </w:pPr>
            <w:r>
              <w:rPr>
                <w:rFonts w:ascii="Arial" w:cs="Arial" w:eastAsia="Arial" w:hAnsi="Arial"/>
                <w:sz w:val="18"/>
                <w:szCs w:val="18"/>
                <w:b w:val="1"/>
                <w:bCs w:val="1"/>
                <w:color w:val="auto"/>
                <w:w w:val="98"/>
              </w:rPr>
              <w:t>ST. PAUL FIRE AND MARINE INSURANCE COMPANY</w:t>
            </w:r>
          </w:p>
        </w:tc>
      </w:tr>
      <w:tr>
        <w:trPr>
          <w:trHeight w:val="216"/>
        </w:trPr>
        <w:tc>
          <w:tcPr>
            <w:tcW w:w="36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660" w:type="dxa"/>
            <w:vAlign w:val="bottom"/>
          </w:tcPr>
          <w:p>
            <w:pPr>
              <w:spacing w:after="0"/>
              <w:rPr>
                <w:sz w:val="18"/>
                <w:szCs w:val="18"/>
                <w:color w:val="auto"/>
              </w:rPr>
            </w:pPr>
          </w:p>
        </w:tc>
      </w:tr>
      <w:tr>
        <w:trPr>
          <w:trHeight w:val="279"/>
        </w:trPr>
        <w:tc>
          <w:tcPr>
            <w:tcW w:w="3660" w:type="dxa"/>
            <w:vAlign w:val="bottom"/>
          </w:tcPr>
          <w:p>
            <w:pPr>
              <w:spacing w:after="0"/>
              <w:rPr>
                <w:sz w:val="20"/>
                <w:szCs w:val="20"/>
                <w:color w:val="auto"/>
              </w:rPr>
            </w:pPr>
            <w:r>
              <w:rPr>
                <w:rFonts w:ascii="Arial" w:cs="Arial" w:eastAsia="Arial" w:hAnsi="Arial"/>
                <w:sz w:val="14"/>
                <w:szCs w:val="14"/>
                <w:color w:val="auto"/>
              </w:rPr>
              <w:t>Authorized Representative</w:t>
            </w:r>
          </w:p>
        </w:tc>
        <w:tc>
          <w:tcPr>
            <w:tcW w:w="5920" w:type="dxa"/>
            <w:vAlign w:val="bottom"/>
            <w:gridSpan w:val="2"/>
          </w:tcPr>
          <w:p>
            <w:pPr>
              <w:ind w:left="260"/>
              <w:spacing w:after="0"/>
              <w:rPr>
                <w:sz w:val="20"/>
                <w:szCs w:val="20"/>
                <w:color w:val="auto"/>
              </w:rPr>
            </w:pPr>
            <w:r>
              <w:rPr>
                <w:rFonts w:ascii="Arial" w:cs="Arial" w:eastAsia="Arial" w:hAnsi="Arial"/>
                <w:sz w:val="14"/>
                <w:szCs w:val="14"/>
                <w:color w:val="auto"/>
              </w:rPr>
              <w:t>Countersigned At</w:t>
            </w:r>
          </w:p>
        </w:tc>
      </w:tr>
      <w:tr>
        <w:trPr>
          <w:trHeight w:val="269"/>
        </w:trPr>
        <w:tc>
          <w:tcPr>
            <w:tcW w:w="3660" w:type="dxa"/>
            <w:vAlign w:val="bottom"/>
            <w:tcBorders>
              <w:bottom w:val="single" w:sz="8" w:color="auto"/>
            </w:tcBorders>
          </w:tcPr>
          <w:p>
            <w:pPr>
              <w:spacing w:after="0"/>
              <w:rPr>
                <w:sz w:val="23"/>
                <w:szCs w:val="23"/>
                <w:color w:val="auto"/>
              </w:rPr>
            </w:pPr>
          </w:p>
        </w:tc>
        <w:tc>
          <w:tcPr>
            <w:tcW w:w="126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176"/>
        </w:trPr>
        <w:tc>
          <w:tcPr>
            <w:tcW w:w="3660" w:type="dxa"/>
            <w:vAlign w:val="bottom"/>
          </w:tcPr>
          <w:p>
            <w:pPr>
              <w:spacing w:after="0"/>
              <w:rPr>
                <w:sz w:val="20"/>
                <w:szCs w:val="20"/>
                <w:color w:val="auto"/>
              </w:rPr>
            </w:pPr>
            <w:r>
              <w:rPr>
                <w:rFonts w:ascii="Arial" w:cs="Arial" w:eastAsia="Arial" w:hAnsi="Arial"/>
                <w:sz w:val="14"/>
                <w:szCs w:val="14"/>
                <w:color w:val="auto"/>
              </w:rPr>
              <w:t>Countersignature Date</w:t>
            </w:r>
          </w:p>
        </w:tc>
        <w:tc>
          <w:tcPr>
            <w:tcW w:w="1260" w:type="dxa"/>
            <w:vAlign w:val="bottom"/>
          </w:tcPr>
          <w:p>
            <w:pPr>
              <w:spacing w:after="0"/>
              <w:rPr>
                <w:sz w:val="15"/>
                <w:szCs w:val="15"/>
                <w:color w:val="auto"/>
              </w:rPr>
            </w:pPr>
          </w:p>
        </w:tc>
        <w:tc>
          <w:tcPr>
            <w:tcW w:w="4660" w:type="dxa"/>
            <w:vAlign w:val="bottom"/>
          </w:tcPr>
          <w:p>
            <w:pPr>
              <w:spacing w:after="0"/>
              <w:rPr>
                <w:sz w:val="15"/>
                <w:szCs w:val="15"/>
                <w:color w:val="auto"/>
              </w:rPr>
            </w:pPr>
          </w:p>
        </w:tc>
      </w:tr>
      <w:tr>
        <w:trPr>
          <w:trHeight w:val="344"/>
        </w:trPr>
        <w:tc>
          <w:tcPr>
            <w:tcW w:w="3660" w:type="dxa"/>
            <w:vAlign w:val="bottom"/>
          </w:tcPr>
          <w:p>
            <w:pPr>
              <w:spacing w:after="0"/>
              <w:rPr>
                <w:sz w:val="20"/>
                <w:szCs w:val="20"/>
                <w:color w:val="auto"/>
              </w:rPr>
            </w:pPr>
            <w:r>
              <w:rPr>
                <w:rFonts w:ascii="Arial" w:cs="Arial" w:eastAsia="Arial" w:hAnsi="Arial"/>
                <w:sz w:val="18"/>
                <w:szCs w:val="18"/>
                <w:color w:val="auto"/>
              </w:rPr>
              <w:t>ICB001 Rev. 7/04</w:t>
            </w:r>
          </w:p>
        </w:tc>
        <w:tc>
          <w:tcPr>
            <w:tcW w:w="126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ind w:left="220" w:hanging="212"/>
        <w:spacing w:after="0"/>
        <w:tabs>
          <w:tab w:leader="none" w:pos="220" w:val="left"/>
        </w:tabs>
        <w:numPr>
          <w:ilvl w:val="0"/>
          <w:numId w:val="4"/>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2 of 2</w:t>
      </w:r>
    </w:p>
    <w:p>
      <w:pPr>
        <w:sectPr>
          <w:pgSz w:w="11900" w:h="16838" w:orient="portrait"/>
          <w:cols w:equalWidth="0" w:num="1">
            <w:col w:w="10820"/>
          </w:cols>
          <w:pgMar w:left="240" w:top="267" w:right="8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COMPANY BLANKET BOND</w:t>
      </w:r>
    </w:p>
    <w:p>
      <w:pPr>
        <w:spacing w:after="0" w:line="200" w:lineRule="exact"/>
        <w:rPr>
          <w:sz w:val="20"/>
          <w:szCs w:val="20"/>
          <w:color w:val="auto"/>
        </w:rPr>
      </w:pP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 in consideration of an agreed premium, and subject to the De clarations made a part hereof, the General Agreements, Conditions and Limitations and other terms of this bond, agrees with the Insured, in accordance with the Insuring Agreements hereof to which an amount of insurance is applicable as set forth in Item 3 of the Declarations and with respect to loss sustained by the Insured at any time but discovered during the Bond Period, to indemnify and hold harmless the Insured for: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INSURING AGREEMENTS</w:t>
      </w:r>
    </w:p>
    <w:p>
      <w:pPr>
        <w:sectPr>
          <w:pgSz w:w="11900" w:h="16838" w:orient="portrait"/>
          <w:cols w:equalWidth="0" w:num="1">
            <w:col w:w="11420"/>
          </w:cols>
          <w:pgMar w:left="240" w:top="261" w:right="239" w:bottom="1440" w:gutter="0" w:footer="0" w:header="0"/>
        </w:sectPr>
      </w:pPr>
    </w:p>
    <w:p>
      <w:pPr>
        <w:spacing w:after="0" w:line="300"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FIDELITY</w:t>
      </w:r>
    </w:p>
    <w:p>
      <w:pPr>
        <w:spacing w:after="0" w:line="117" w:lineRule="exact"/>
        <w:rPr>
          <w:rFonts w:ascii="Arial" w:cs="Arial" w:eastAsia="Arial" w:hAnsi="Arial"/>
          <w:sz w:val="18"/>
          <w:szCs w:val="18"/>
          <w:color w:val="auto"/>
        </w:rPr>
      </w:pPr>
    </w:p>
    <w:p>
      <w:pPr>
        <w:jc w:val="both"/>
        <w:ind w:left="360"/>
        <w:spacing w:after="0" w:line="272" w:lineRule="auto"/>
        <w:rPr>
          <w:rFonts w:ascii="Arial" w:cs="Arial" w:eastAsia="Arial" w:hAnsi="Arial"/>
          <w:sz w:val="18"/>
          <w:szCs w:val="18"/>
          <w:color w:val="auto"/>
        </w:rPr>
      </w:pPr>
      <w:r>
        <w:rPr>
          <w:rFonts w:ascii="Arial" w:cs="Arial" w:eastAsia="Arial" w:hAnsi="Arial"/>
          <w:sz w:val="17"/>
          <w:szCs w:val="17"/>
          <w:color w:val="auto"/>
        </w:rPr>
        <w:t>Loss resulting from any dishonest or fraudulent act(s), including Larceny or Embezzlement, committed by an Employee, committed anywhere and whether committed alone or in collusion with others, including loss of Property resulting from such acts of an Employee, which Property is held by the Insured for any purpose or in any capacity and whether so held gratuitously or not and whether or not the Insured is liable therefor.</w:t>
      </w:r>
    </w:p>
    <w:p>
      <w:pPr>
        <w:spacing w:after="0" w:line="69" w:lineRule="exact"/>
        <w:rPr>
          <w:rFonts w:ascii="Arial" w:cs="Arial" w:eastAsia="Arial" w:hAnsi="Arial"/>
          <w:sz w:val="18"/>
          <w:szCs w:val="18"/>
          <w:color w:val="auto"/>
        </w:rPr>
      </w:pPr>
    </w:p>
    <w:p>
      <w:pPr>
        <w:jc w:val="both"/>
        <w:ind w:left="360"/>
        <w:spacing w:after="0" w:line="264" w:lineRule="auto"/>
        <w:rPr>
          <w:rFonts w:ascii="Arial" w:cs="Arial" w:eastAsia="Arial" w:hAnsi="Arial"/>
          <w:sz w:val="18"/>
          <w:szCs w:val="18"/>
          <w:color w:val="auto"/>
        </w:rPr>
      </w:pPr>
      <w:r>
        <w:rPr>
          <w:rFonts w:ascii="Arial" w:cs="Arial" w:eastAsia="Arial" w:hAnsi="Arial"/>
          <w:sz w:val="18"/>
          <w:szCs w:val="18"/>
          <w:color w:val="auto"/>
        </w:rPr>
        <w:t>Dishonest or fraudulent act(s) as used in this Insuring Agreement shall mean only dishonest or fraudulent act(s) committed by such Employee with the manifest intent:</w:t>
      </w:r>
    </w:p>
    <w:p>
      <w:pPr>
        <w:spacing w:after="0" w:line="86" w:lineRule="exact"/>
        <w:rPr>
          <w:rFonts w:ascii="Arial" w:cs="Arial" w:eastAsia="Arial" w:hAnsi="Arial"/>
          <w:sz w:val="18"/>
          <w:szCs w:val="18"/>
          <w:color w:val="auto"/>
        </w:rPr>
      </w:pPr>
    </w:p>
    <w:p>
      <w:pPr>
        <w:ind w:left="740" w:hanging="367"/>
        <w:spacing w:after="0"/>
        <w:tabs>
          <w:tab w:leader="none" w:pos="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cause the Insured to sustain such loss; and</w:t>
      </w:r>
    </w:p>
    <w:p>
      <w:pPr>
        <w:spacing w:after="0" w:line="130" w:lineRule="exact"/>
        <w:rPr>
          <w:rFonts w:ascii="Arial" w:cs="Arial" w:eastAsia="Arial" w:hAnsi="Arial"/>
          <w:sz w:val="18"/>
          <w:szCs w:val="18"/>
          <w:color w:val="auto"/>
        </w:rPr>
      </w:pPr>
    </w:p>
    <w:p>
      <w:pPr>
        <w:jc w:val="both"/>
        <w:ind w:left="740" w:hanging="367"/>
        <w:spacing w:after="0" w:line="297" w:lineRule="auto"/>
        <w:tabs>
          <w:tab w:leader="none" w:pos="7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 obtain financial benefit for the Employee, or for any other Person or organization intended by the Employee to receive such benefit, other than salaries, commissions, fees, bonuses, promotions, awards, profit sharing, pensions or other employee benefits earned in the normal course of employment.</w:t>
      </w:r>
    </w:p>
    <w:p>
      <w:pPr>
        <w:spacing w:after="0" w:line="63" w:lineRule="exact"/>
        <w:rPr>
          <w:rFonts w:ascii="Arial" w:cs="Arial" w:eastAsia="Arial" w:hAnsi="Arial"/>
          <w:sz w:val="16"/>
          <w:szCs w:val="16"/>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AUDIT EXPENSE</w:t>
      </w:r>
    </w:p>
    <w:p>
      <w:pPr>
        <w:spacing w:after="0" w:line="117" w:lineRule="exact"/>
        <w:rPr>
          <w:rFonts w:ascii="Arial" w:cs="Arial" w:eastAsia="Arial" w:hAnsi="Arial"/>
          <w:sz w:val="18"/>
          <w:szCs w:val="18"/>
          <w:color w:val="auto"/>
        </w:rPr>
      </w:pPr>
    </w:p>
    <w:p>
      <w:pPr>
        <w:jc w:val="both"/>
        <w:ind w:left="360"/>
        <w:spacing w:after="0" w:line="286" w:lineRule="auto"/>
        <w:rPr>
          <w:rFonts w:ascii="Arial" w:cs="Arial" w:eastAsia="Arial" w:hAnsi="Arial"/>
          <w:sz w:val="18"/>
          <w:szCs w:val="18"/>
          <w:color w:val="auto"/>
        </w:rPr>
      </w:pPr>
      <w:r>
        <w:rPr>
          <w:rFonts w:ascii="Arial" w:cs="Arial" w:eastAsia="Arial" w:hAnsi="Arial"/>
          <w:sz w:val="16"/>
          <w:szCs w:val="16"/>
          <w:color w:val="auto"/>
        </w:rPr>
        <w:t>Expense incurred by the Insured for that part of the costs of audits or examinations required by any governmental regulatory authority to be conducted either by such authority or by an independent accountant by reason of the discovery of loss sustained by the Insured through any dishonest or fraudulent act(s), including Larceny or Embezzlement, of any of the Employees. The total liability of the Underwriter for such expense by reason of such acts of any Employee or in which such Employee is concerned or implicated or with respect to any one audit or examination is limited to the amount stated opposite Audit Expense in Item 3 of the Declarations; it being understood, however, that such expense shall be deemed to be a loss sustained by the Insured through any dishonest or fraudulent act(s), including Larceny or Embezzlement, of one or more of the Employees,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ICB005 Ed. 7-04</w:t>
      </w:r>
    </w:p>
    <w:p>
      <w:pPr>
        <w:spacing w:after="0" w:line="23"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both"/>
        <w:ind w:left="660" w:right="120"/>
        <w:spacing w:after="0" w:line="264" w:lineRule="auto"/>
        <w:rPr>
          <w:sz w:val="20"/>
          <w:szCs w:val="20"/>
          <w:color w:val="auto"/>
        </w:rPr>
      </w:pPr>
      <w:r>
        <w:rPr>
          <w:rFonts w:ascii="Arial" w:cs="Arial" w:eastAsia="Arial" w:hAnsi="Arial"/>
          <w:sz w:val="18"/>
          <w:szCs w:val="18"/>
          <w:color w:val="auto"/>
        </w:rPr>
        <w:t>and the liability under this paragraph shall be in addition to the Limit of Liability stated in Insuring Agreement (A) in Item 3 of the Declarations.</w:t>
      </w:r>
    </w:p>
    <w:p>
      <w:pPr>
        <w:spacing w:after="0" w:line="87" w:lineRule="exact"/>
        <w:rPr>
          <w:sz w:val="20"/>
          <w:szCs w:val="20"/>
          <w:color w:val="auto"/>
        </w:rPr>
      </w:pPr>
    </w:p>
    <w:p>
      <w:pPr>
        <w:ind w:left="680" w:hanging="3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PREMISES</w:t>
      </w:r>
    </w:p>
    <w:p>
      <w:pPr>
        <w:spacing w:after="0" w:line="117" w:lineRule="exact"/>
        <w:rPr>
          <w:rFonts w:ascii="Arial" w:cs="Arial" w:eastAsia="Arial" w:hAnsi="Arial"/>
          <w:sz w:val="18"/>
          <w:szCs w:val="18"/>
          <w:color w:val="auto"/>
        </w:rPr>
      </w:pPr>
    </w:p>
    <w:p>
      <w:pPr>
        <w:jc w:val="both"/>
        <w:ind w:left="660" w:right="120"/>
        <w:spacing w:after="0" w:line="287" w:lineRule="auto"/>
        <w:rPr>
          <w:rFonts w:ascii="Arial" w:cs="Arial" w:eastAsia="Arial" w:hAnsi="Arial"/>
          <w:sz w:val="18"/>
          <w:szCs w:val="18"/>
          <w:color w:val="auto"/>
        </w:rPr>
      </w:pPr>
      <w:r>
        <w:rPr>
          <w:rFonts w:ascii="Arial" w:cs="Arial" w:eastAsia="Arial" w:hAnsi="Arial"/>
          <w:sz w:val="16"/>
          <w:szCs w:val="16"/>
          <w:color w:val="auto"/>
        </w:rPr>
        <w:t>Loss of Property (occurring with or without negligence or violence) through robbery, burglary, Larceny, theft, holdup, or other fraudulent means, misplacement, mysterious unexplainable disappearance, damage thereto or destruction thereof, abstraction or removal from the possession, custody or control of the Insured, and loss of subscription, conversion, redemption or deposit privileges through the misplacement or loss of Property, while the Property is (or is supposed or believed by the Insured to be) lodged or deposited within any offices or premises located anywhere, except in an office listed in Item 4 of the Declarations or amendment thereof or in the mail or with a carrier for hire, other than an armored motor vehicle company, for the purpose of transportation.</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Office and Equipment</w:t>
      </w:r>
    </w:p>
    <w:p>
      <w:pPr>
        <w:spacing w:after="0" w:line="131" w:lineRule="exact"/>
        <w:rPr>
          <w:sz w:val="20"/>
          <w:szCs w:val="20"/>
          <w:color w:val="auto"/>
        </w:rPr>
      </w:pPr>
    </w:p>
    <w:p>
      <w:pPr>
        <w:jc w:val="both"/>
        <w:ind w:left="1040" w:right="120" w:hanging="368"/>
        <w:spacing w:after="0" w:line="25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or damage to furnishings, fixtures, stationery, supplies or equipment, within any of the Insured’s offices covered under this bond caused by Larceny or theft in, or by burglary, robbery or hold-up of, such office, or attempt thereat, or by vandalism or malicious mischief; or</w:t>
      </w:r>
    </w:p>
    <w:p>
      <w:pPr>
        <w:spacing w:after="0" w:line="93" w:lineRule="exact"/>
        <w:rPr>
          <w:rFonts w:ascii="Arial" w:cs="Arial" w:eastAsia="Arial" w:hAnsi="Arial"/>
          <w:sz w:val="18"/>
          <w:szCs w:val="18"/>
          <w:color w:val="auto"/>
        </w:rPr>
      </w:pPr>
    </w:p>
    <w:p>
      <w:pPr>
        <w:jc w:val="both"/>
        <w:ind w:left="1040" w:right="120" w:hanging="368"/>
        <w:spacing w:after="0" w:line="291"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loss through damage to any such office by Larceny or theft in, or by burglary, robbery or hold-up of, such office, or attempt thereat, or to the interior of any such office by vandalism or malicious mischief provided, in any event, that the Insured is the owner of such offices, furnishings, fixtures, stationery, supplies or equipment or is legally liable for such loss or damage always excepting, however, all loss or damage through fire.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1 of 12</w:t>
      </w:r>
    </w:p>
    <w:p>
      <w:pPr>
        <w:sectPr>
          <w:pgSz w:w="11900" w:h="16838" w:orient="portrait"/>
          <w:cols w:equalWidth="0" w:num="2">
            <w:col w:w="5480" w:space="40"/>
            <w:col w:w="5900"/>
          </w:cols>
          <w:pgMar w:left="240" w:top="261" w:right="239" w:bottom="1440" w:gutter="0" w:footer="0" w:header="0"/>
          <w:type w:val="continuous"/>
        </w:sectPr>
      </w:pPr>
    </w:p>
    <w:bookmarkStart w:id="5" w:name="page6"/>
    <w:bookmarkEnd w:id="5"/>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TRANSIT</w:t>
      </w:r>
    </w:p>
    <w:p>
      <w:pPr>
        <w:spacing w:after="0" w:line="117" w:lineRule="exact"/>
        <w:rPr>
          <w:rFonts w:ascii="Arial" w:cs="Arial" w:eastAsia="Arial" w:hAnsi="Arial"/>
          <w:sz w:val="18"/>
          <w:szCs w:val="18"/>
          <w:color w:val="auto"/>
        </w:rPr>
      </w:pPr>
    </w:p>
    <w:p>
      <w:pPr>
        <w:jc w:val="both"/>
        <w:ind w:left="360"/>
        <w:spacing w:after="0" w:line="269" w:lineRule="auto"/>
        <w:rPr>
          <w:rFonts w:ascii="Arial" w:cs="Arial" w:eastAsia="Arial" w:hAnsi="Arial"/>
          <w:sz w:val="18"/>
          <w:szCs w:val="18"/>
          <w:color w:val="auto"/>
        </w:rPr>
      </w:pPr>
      <w:r>
        <w:rPr>
          <w:rFonts w:ascii="Arial" w:cs="Arial" w:eastAsia="Arial" w:hAnsi="Arial"/>
          <w:sz w:val="17"/>
          <w:szCs w:val="17"/>
          <w:color w:val="auto"/>
        </w:rPr>
        <w:t>Loss of Property (occurring with or without negligence or violence) through robbery, Larceny, theft, hold-up, misplacement, mysterious unexplainable disappearance, being lost or otherwise made away with, damage thereto or destruction thereof, and loss of subscription, conversion, redemption or deposit privileges through the misplacement or loss of Property, while the Property is in transit anywhere in the custody of any person or persons acting as messenger, except while in the mail or with a carrier for hire, other than an armored motor vehicle company, for the purpose of transportation, such transit to begin immediately upon receipt of such Property by the transporting person or persons, and to end immediately upon delivery thereof at destination.</w:t>
      </w:r>
    </w:p>
    <w:p>
      <w:pPr>
        <w:spacing w:after="0" w:line="85"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FORGERY 0R ALTERATION</w:t>
      </w:r>
    </w:p>
    <w:p>
      <w:pPr>
        <w:spacing w:after="0" w:line="11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Loss through Forgery or alteration of or on:</w:t>
      </w:r>
    </w:p>
    <w:p>
      <w:pPr>
        <w:spacing w:after="0" w:line="130" w:lineRule="exact"/>
        <w:rPr>
          <w:rFonts w:ascii="Arial" w:cs="Arial" w:eastAsia="Arial" w:hAnsi="Arial"/>
          <w:sz w:val="18"/>
          <w:szCs w:val="18"/>
          <w:color w:val="auto"/>
        </w:rPr>
      </w:pPr>
    </w:p>
    <w:p>
      <w:pPr>
        <w:jc w:val="both"/>
        <w:ind w:left="740" w:hanging="367"/>
        <w:spacing w:after="0" w:line="302" w:lineRule="auto"/>
        <w:tabs>
          <w:tab w:leader="none" w:pos="740"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bills of exchange, checks, drafts, acceptances, certificates of deposit, promissory notes, or other written promises, orders or directions to pay sums certain in money, due bills, money orders, warrants, orders upon public treasuries, letters of credit; or</w:t>
      </w:r>
    </w:p>
    <w:p>
      <w:pPr>
        <w:spacing w:after="0" w:line="59" w:lineRule="exact"/>
        <w:rPr>
          <w:rFonts w:ascii="Arial" w:cs="Arial" w:eastAsia="Arial" w:hAnsi="Arial"/>
          <w:sz w:val="16"/>
          <w:szCs w:val="16"/>
          <w:color w:val="auto"/>
        </w:rPr>
      </w:pPr>
    </w:p>
    <w:p>
      <w:pPr>
        <w:jc w:val="both"/>
        <w:ind w:left="740" w:hanging="367"/>
        <w:spacing w:after="0" w:line="257" w:lineRule="auto"/>
        <w:tabs>
          <w:tab w:leader="none" w:pos="740" w:val="left"/>
        </w:tabs>
        <w:numPr>
          <w:ilvl w:val="1"/>
          <w:numId w:val="9"/>
        </w:numPr>
        <w:rPr>
          <w:rFonts w:ascii="Arial" w:cs="Arial" w:eastAsia="Arial" w:hAnsi="Arial"/>
          <w:sz w:val="18"/>
          <w:szCs w:val="18"/>
          <w:color w:val="auto"/>
        </w:rPr>
      </w:pPr>
      <w:r>
        <w:rPr>
          <w:rFonts w:ascii="Arial" w:cs="Arial" w:eastAsia="Arial" w:hAnsi="Arial"/>
          <w:sz w:val="18"/>
          <w:szCs w:val="18"/>
          <w:color w:val="auto"/>
        </w:rPr>
        <w:t>other written instructions, advices or applications directed to the Insured, authorizing or acknowledging the transfer, payment, delivery or receipt of funds or Property, which instructions, advices or applications purport to have been signed or endorsed by any:</w:t>
      </w:r>
    </w:p>
    <w:p>
      <w:pPr>
        <w:spacing w:after="0" w:line="93" w:lineRule="exact"/>
        <w:rPr>
          <w:rFonts w:ascii="Arial" w:cs="Arial" w:eastAsia="Arial" w:hAnsi="Arial"/>
          <w:sz w:val="18"/>
          <w:szCs w:val="18"/>
          <w:color w:val="auto"/>
        </w:rPr>
      </w:pPr>
    </w:p>
    <w:p>
      <w:pPr>
        <w:ind w:left="1100" w:hanging="363"/>
        <w:spacing w:after="0"/>
        <w:tabs>
          <w:tab w:leader="none" w:pos="1100" w:val="left"/>
        </w:tabs>
        <w:numPr>
          <w:ilvl w:val="2"/>
          <w:numId w:val="9"/>
        </w:numPr>
        <w:rPr>
          <w:rFonts w:ascii="Arial" w:cs="Arial" w:eastAsia="Arial" w:hAnsi="Arial"/>
          <w:sz w:val="18"/>
          <w:szCs w:val="18"/>
          <w:color w:val="auto"/>
        </w:rPr>
      </w:pPr>
      <w:r>
        <w:rPr>
          <w:rFonts w:ascii="Arial" w:cs="Arial" w:eastAsia="Arial" w:hAnsi="Arial"/>
          <w:sz w:val="18"/>
          <w:szCs w:val="18"/>
          <w:color w:val="auto"/>
        </w:rPr>
        <w:t>customer of the Insured, or</w:t>
      </w:r>
    </w:p>
    <w:p>
      <w:pPr>
        <w:spacing w:after="0" w:line="23" w:lineRule="exact"/>
        <w:rPr>
          <w:rFonts w:ascii="Arial" w:cs="Arial" w:eastAsia="Arial" w:hAnsi="Arial"/>
          <w:sz w:val="18"/>
          <w:szCs w:val="18"/>
          <w:color w:val="auto"/>
        </w:rPr>
      </w:pPr>
    </w:p>
    <w:p>
      <w:pPr>
        <w:ind w:left="1100" w:right="20" w:hanging="363"/>
        <w:spacing w:after="0" w:line="265" w:lineRule="auto"/>
        <w:tabs>
          <w:tab w:leader="none" w:pos="1100" w:val="left"/>
        </w:tabs>
        <w:numPr>
          <w:ilvl w:val="2"/>
          <w:numId w:val="9"/>
        </w:numPr>
        <w:rPr>
          <w:rFonts w:ascii="Arial" w:cs="Arial" w:eastAsia="Arial" w:hAnsi="Arial"/>
          <w:sz w:val="17"/>
          <w:szCs w:val="17"/>
          <w:color w:val="auto"/>
        </w:rPr>
      </w:pPr>
      <w:r>
        <w:rPr>
          <w:rFonts w:ascii="Arial" w:cs="Arial" w:eastAsia="Arial" w:hAnsi="Arial"/>
          <w:sz w:val="17"/>
          <w:szCs w:val="17"/>
          <w:color w:val="auto"/>
        </w:rPr>
        <w:t>shareholder or subscriber to shares, whether certificated or uncertificated, of any Investment Company, or</w:t>
      </w:r>
    </w:p>
    <w:p>
      <w:pPr>
        <w:ind w:left="1100" w:hanging="363"/>
        <w:spacing w:after="0"/>
        <w:tabs>
          <w:tab w:leader="none" w:pos="1100" w:val="left"/>
        </w:tabs>
        <w:numPr>
          <w:ilvl w:val="2"/>
          <w:numId w:val="9"/>
        </w:numPr>
        <w:rPr>
          <w:rFonts w:ascii="Arial" w:cs="Arial" w:eastAsia="Arial" w:hAnsi="Arial"/>
          <w:sz w:val="18"/>
          <w:szCs w:val="18"/>
          <w:color w:val="auto"/>
        </w:rPr>
      </w:pPr>
      <w:r>
        <w:rPr>
          <w:rFonts w:ascii="Arial" w:cs="Arial" w:eastAsia="Arial" w:hAnsi="Arial"/>
          <w:sz w:val="18"/>
          <w:szCs w:val="18"/>
          <w:color w:val="auto"/>
        </w:rPr>
        <w:t>financial or banking institution or stockbroker,</w:t>
      </w:r>
    </w:p>
    <w:p>
      <w:pPr>
        <w:spacing w:after="0" w:line="103" w:lineRule="exact"/>
        <w:rPr>
          <w:sz w:val="20"/>
          <w:szCs w:val="20"/>
          <w:color w:val="auto"/>
        </w:rPr>
      </w:pPr>
    </w:p>
    <w:p>
      <w:pPr>
        <w:jc w:val="both"/>
        <w:ind w:left="720"/>
        <w:spacing w:after="0" w:line="257" w:lineRule="auto"/>
        <w:rPr>
          <w:sz w:val="20"/>
          <w:szCs w:val="20"/>
          <w:color w:val="auto"/>
        </w:rPr>
      </w:pPr>
      <w:r>
        <w:rPr>
          <w:rFonts w:ascii="Arial" w:cs="Arial" w:eastAsia="Arial" w:hAnsi="Arial"/>
          <w:sz w:val="18"/>
          <w:szCs w:val="18"/>
          <w:color w:val="auto"/>
        </w:rPr>
        <w:t>but which instructions, advices or applications either bear the forged signature or endorsement or have been altered without the knowledge and consent of such customer, shareholder or subscriber to shares, or financial or banking institution or stockbroker; or</w:t>
      </w:r>
    </w:p>
    <w:p>
      <w:pPr>
        <w:spacing w:after="0" w:line="94" w:lineRule="exact"/>
        <w:rPr>
          <w:sz w:val="20"/>
          <w:szCs w:val="20"/>
          <w:color w:val="auto"/>
        </w:rPr>
      </w:pPr>
    </w:p>
    <w:p>
      <w:pPr>
        <w:jc w:val="both"/>
        <w:ind w:left="740" w:hanging="367"/>
        <w:spacing w:after="0" w:line="279"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withdrawal orders or receipts for the withdrawal of funds or Property, or receipts or certificates of deposit for Property and bearing the name of the Insured as issuer, or of another Investment Company for which the Insured acts as agent,</w:t>
      </w:r>
    </w:p>
    <w:p>
      <w:pPr>
        <w:spacing w:after="0" w:line="20" w:lineRule="exact"/>
        <w:rPr>
          <w:sz w:val="20"/>
          <w:szCs w:val="20"/>
          <w:color w:val="auto"/>
        </w:rPr>
      </w:pPr>
      <w:r>
        <w:rPr>
          <w:sz w:val="20"/>
          <w:szCs w:val="20"/>
          <w:color w:val="auto"/>
        </w:rPr>
        <w:br w:type="column"/>
      </w:r>
    </w:p>
    <w:p>
      <w:pPr>
        <w:ind w:left="352"/>
        <w:spacing w:after="0"/>
        <w:rPr>
          <w:sz w:val="20"/>
          <w:szCs w:val="20"/>
          <w:color w:val="auto"/>
        </w:rPr>
      </w:pPr>
      <w:r>
        <w:rPr>
          <w:rFonts w:ascii="Arial" w:cs="Arial" w:eastAsia="Arial" w:hAnsi="Arial"/>
          <w:sz w:val="17"/>
          <w:szCs w:val="17"/>
          <w:color w:val="auto"/>
        </w:rPr>
        <w:t>excluding, however, any loss covered under Insuring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-243205</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 w:lineRule="exact"/>
        <w:rPr>
          <w:sz w:val="20"/>
          <w:szCs w:val="20"/>
          <w:color w:val="auto"/>
        </w:rPr>
      </w:pPr>
    </w:p>
    <w:p>
      <w:pPr>
        <w:ind w:left="352" w:firstLine="8"/>
        <w:spacing w:after="0" w:line="261" w:lineRule="auto"/>
        <w:tabs>
          <w:tab w:leader="none" w:pos="6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hereof whether or not coverage for Insuring Agreement (F) is provided for in the Declarations of this bond.</w:t>
      </w:r>
    </w:p>
    <w:p>
      <w:pPr>
        <w:spacing w:after="0" w:line="76" w:lineRule="exact"/>
        <w:rPr>
          <w:sz w:val="20"/>
          <w:szCs w:val="20"/>
          <w:color w:val="auto"/>
        </w:rPr>
      </w:pPr>
    </w:p>
    <w:p>
      <w:pPr>
        <w:jc w:val="both"/>
        <w:ind w:left="352"/>
        <w:spacing w:after="0" w:line="272" w:lineRule="auto"/>
        <w:rPr>
          <w:sz w:val="20"/>
          <w:szCs w:val="20"/>
          <w:color w:val="auto"/>
        </w:rPr>
      </w:pPr>
      <w:r>
        <w:rPr>
          <w:rFonts w:ascii="Arial" w:cs="Arial" w:eastAsia="Arial" w:hAnsi="Arial"/>
          <w:sz w:val="17"/>
          <w:szCs w:val="17"/>
          <w:color w:val="auto"/>
        </w:rPr>
        <w:t>Any check or draft (a) made payable to a fictitious payee and endorsed in the name of such fictitious payee or (b) procured in a transaction with the maker or drawer thereof or with one acting as an agent of such maker or drawer or anyone impersonating another and made or drawn payable to the one so impersonated and endorsed by anyone other than the one impersonated, shall be deemed to be forged as to such endorsement.</w:t>
      </w:r>
    </w:p>
    <w:p>
      <w:pPr>
        <w:spacing w:after="0" w:line="70" w:lineRule="exact"/>
        <w:rPr>
          <w:sz w:val="20"/>
          <w:szCs w:val="20"/>
          <w:color w:val="auto"/>
        </w:rPr>
      </w:pPr>
    </w:p>
    <w:p>
      <w:pPr>
        <w:jc w:val="both"/>
        <w:ind w:left="352"/>
        <w:spacing w:after="0" w:line="277" w:lineRule="auto"/>
        <w:rPr>
          <w:sz w:val="20"/>
          <w:szCs w:val="20"/>
          <w:color w:val="auto"/>
        </w:rPr>
      </w:pPr>
      <w:r>
        <w:rPr>
          <w:rFonts w:ascii="Arial" w:cs="Arial" w:eastAsia="Arial" w:hAnsi="Arial"/>
          <w:sz w:val="18"/>
          <w:szCs w:val="18"/>
          <w:color w:val="auto"/>
        </w:rPr>
        <w:t>Mechanically reproduced facsimile signatures are treated the same as handwritten signatures.</w:t>
      </w:r>
    </w:p>
    <w:p>
      <w:pPr>
        <w:spacing w:after="0" w:line="76" w:lineRule="exact"/>
        <w:rPr>
          <w:sz w:val="20"/>
          <w:szCs w:val="20"/>
          <w:color w:val="auto"/>
        </w:rPr>
      </w:pPr>
    </w:p>
    <w:p>
      <w:pPr>
        <w:ind w:left="372" w:hanging="372"/>
        <w:spacing w:after="0"/>
        <w:tabs>
          <w:tab w:leader="none" w:pos="3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17" w:lineRule="exact"/>
        <w:rPr>
          <w:rFonts w:ascii="Arial" w:cs="Arial" w:eastAsia="Arial" w:hAnsi="Arial"/>
          <w:sz w:val="18"/>
          <w:szCs w:val="18"/>
          <w:color w:val="auto"/>
        </w:rPr>
      </w:pPr>
    </w:p>
    <w:p>
      <w:pPr>
        <w:jc w:val="both"/>
        <w:ind w:left="352"/>
        <w:spacing w:after="0" w:line="273" w:lineRule="auto"/>
        <w:rPr>
          <w:rFonts w:ascii="Arial" w:cs="Arial" w:eastAsia="Arial" w:hAnsi="Arial"/>
          <w:sz w:val="18"/>
          <w:szCs w:val="18"/>
          <w:color w:val="auto"/>
        </w:rPr>
      </w:pPr>
      <w:r>
        <w:rPr>
          <w:rFonts w:ascii="Arial" w:cs="Arial" w:eastAsia="Arial" w:hAnsi="Arial"/>
          <w:sz w:val="17"/>
          <w:szCs w:val="17"/>
          <w:color w:val="auto"/>
        </w:rPr>
        <w:t>Loss sustained by the Insured, including loss sustained by reason of a violation of the constitution by-laws, rules or regulations of any Self Regulatory Organization of which the Insured is a member or which would have been imposed upon the Insured by the constitution, by-laws, rules or regulations of any Self Regulatory Organization if the Insured had been a member thereof,</w:t>
      </w:r>
    </w:p>
    <w:p>
      <w:pPr>
        <w:spacing w:after="0" w:line="83" w:lineRule="exact"/>
        <w:rPr>
          <w:rFonts w:ascii="Arial" w:cs="Arial" w:eastAsia="Arial" w:hAnsi="Arial"/>
          <w:sz w:val="18"/>
          <w:szCs w:val="18"/>
          <w:color w:val="auto"/>
        </w:rPr>
      </w:pPr>
    </w:p>
    <w:p>
      <w:pPr>
        <w:jc w:val="both"/>
        <w:ind w:left="732" w:hanging="368"/>
        <w:spacing w:after="0" w:line="290" w:lineRule="auto"/>
        <w:tabs>
          <w:tab w:leader="none" w:pos="732"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through the Insured’s having, in good faith and in the course of business, whether for its own account or for the account of others, in any representative, fiduciary, agency or any other capacity, either gratuitously or otherwise, purchased or otherwise acquired, accepted or received, or sold or delivered, or given any value, extended any credit or assumed any liability, on the faith of, or otherwise acted upon, any securities, documents or other written instruments which prove to have been:</w:t>
      </w:r>
    </w:p>
    <w:p>
      <w:pPr>
        <w:spacing w:after="0" w:line="71" w:lineRule="exact"/>
        <w:rPr>
          <w:rFonts w:ascii="Arial" w:cs="Arial" w:eastAsia="Arial" w:hAnsi="Arial"/>
          <w:sz w:val="16"/>
          <w:szCs w:val="16"/>
          <w:color w:val="auto"/>
        </w:rPr>
      </w:pPr>
    </w:p>
    <w:p>
      <w:pPr>
        <w:ind w:left="1092" w:hanging="363"/>
        <w:spacing w:after="0"/>
        <w:tabs>
          <w:tab w:leader="none" w:pos="1092" w:val="left"/>
        </w:tabs>
        <w:numPr>
          <w:ilvl w:val="2"/>
          <w:numId w:val="12"/>
        </w:numPr>
        <w:rPr>
          <w:rFonts w:ascii="Arial" w:cs="Arial" w:eastAsia="Arial" w:hAnsi="Arial"/>
          <w:sz w:val="18"/>
          <w:szCs w:val="18"/>
          <w:color w:val="auto"/>
        </w:rPr>
      </w:pPr>
      <w:r>
        <w:rPr>
          <w:rFonts w:ascii="Arial" w:cs="Arial" w:eastAsia="Arial" w:hAnsi="Arial"/>
          <w:sz w:val="18"/>
          <w:szCs w:val="18"/>
          <w:color w:val="auto"/>
        </w:rPr>
        <w:t>counterfeited, or</w:t>
      </w:r>
    </w:p>
    <w:p>
      <w:pPr>
        <w:spacing w:after="0" w:line="23" w:lineRule="exact"/>
        <w:rPr>
          <w:rFonts w:ascii="Arial" w:cs="Arial" w:eastAsia="Arial" w:hAnsi="Arial"/>
          <w:sz w:val="18"/>
          <w:szCs w:val="18"/>
          <w:color w:val="auto"/>
        </w:rPr>
      </w:pPr>
    </w:p>
    <w:p>
      <w:pPr>
        <w:jc w:val="both"/>
        <w:ind w:left="1092" w:hanging="363"/>
        <w:spacing w:after="0" w:line="265" w:lineRule="auto"/>
        <w:tabs>
          <w:tab w:leader="none" w:pos="1092" w:val="left"/>
        </w:tabs>
        <w:numPr>
          <w:ilvl w:val="2"/>
          <w:numId w:val="12"/>
        </w:numPr>
        <w:rPr>
          <w:rFonts w:ascii="Arial" w:cs="Arial" w:eastAsia="Arial" w:hAnsi="Arial"/>
          <w:sz w:val="17"/>
          <w:szCs w:val="17"/>
          <w:color w:val="auto"/>
        </w:rPr>
      </w:pPr>
      <w:r>
        <w:rPr>
          <w:rFonts w:ascii="Arial" w:cs="Arial" w:eastAsia="Arial" w:hAnsi="Arial"/>
          <w:sz w:val="17"/>
          <w:szCs w:val="17"/>
          <w:color w:val="auto"/>
        </w:rPr>
        <w:t>forged as to the signature of any maker, drawer, issuer, endorser, assignor, lessee, transfer agent or registrar, acceptor, surety or guarantor or as to the signature of any person signing in any other capacity, or</w:t>
      </w:r>
    </w:p>
    <w:p>
      <w:pPr>
        <w:ind w:left="1092" w:hanging="363"/>
        <w:spacing w:after="0"/>
        <w:tabs>
          <w:tab w:leader="none" w:pos="1092" w:val="left"/>
        </w:tabs>
        <w:numPr>
          <w:ilvl w:val="2"/>
          <w:numId w:val="12"/>
        </w:numPr>
        <w:rPr>
          <w:rFonts w:ascii="Arial" w:cs="Arial" w:eastAsia="Arial" w:hAnsi="Arial"/>
          <w:sz w:val="18"/>
          <w:szCs w:val="18"/>
          <w:color w:val="auto"/>
        </w:rPr>
      </w:pPr>
      <w:r>
        <w:rPr>
          <w:rFonts w:ascii="Arial" w:cs="Arial" w:eastAsia="Arial" w:hAnsi="Arial"/>
          <w:sz w:val="18"/>
          <w:szCs w:val="18"/>
          <w:color w:val="auto"/>
        </w:rPr>
        <w:t>raised or otherwise altered, or lost, or stolen, or</w:t>
      </w:r>
    </w:p>
    <w:p>
      <w:pPr>
        <w:spacing w:after="0" w:line="9" w:lineRule="exact"/>
        <w:rPr>
          <w:rFonts w:ascii="Arial" w:cs="Arial" w:eastAsia="Arial" w:hAnsi="Arial"/>
          <w:sz w:val="18"/>
          <w:szCs w:val="18"/>
          <w:color w:val="auto"/>
        </w:rPr>
      </w:pPr>
    </w:p>
    <w:p>
      <w:pPr>
        <w:jc w:val="both"/>
        <w:ind w:left="732" w:hanging="368"/>
        <w:spacing w:after="0" w:line="253" w:lineRule="auto"/>
        <w:tabs>
          <w:tab w:leader="none" w:pos="732"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through the Insured’s having, in good faith and in the course of business, guaranteed in writing or witnessed any signatures whether for valuable consideration or not and whether or not such guaranteeing or witnessing is ultra vires the Insured, upon any transfers,</w:t>
      </w:r>
    </w:p>
    <w:p>
      <w:pPr>
        <w:spacing w:after="0" w:line="246" w:lineRule="exact"/>
        <w:rPr>
          <w:sz w:val="20"/>
          <w:szCs w:val="20"/>
          <w:color w:val="auto"/>
        </w:rPr>
      </w:pPr>
    </w:p>
    <w:p>
      <w:pPr>
        <w:sectPr>
          <w:pgSz w:w="11900" w:h="16838" w:orient="portrait"/>
          <w:cols w:equalWidth="0" w:num="2">
            <w:col w:w="5480" w:space="348"/>
            <w:col w:w="5472"/>
          </w:cols>
          <w:pgMar w:left="240" w:top="328" w:right="359" w:bottom="1440" w:gutter="0" w:footer="0" w:header="0"/>
        </w:sectPr>
      </w:pPr>
    </w:p>
    <w:p>
      <w:pPr>
        <w:spacing w:after="0" w:line="52"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ICB005 Ed. 7-04</w:t>
      </w:r>
      <w:r>
        <w:rPr>
          <w:sz w:val="20"/>
          <w:szCs w:val="20"/>
          <w:color w:val="auto"/>
        </w:rPr>
        <w:tab/>
      </w:r>
      <w:r>
        <w:rPr>
          <w:rFonts w:ascii="Arial" w:cs="Arial" w:eastAsia="Arial" w:hAnsi="Arial"/>
          <w:sz w:val="16"/>
          <w:szCs w:val="16"/>
          <w:color w:val="auto"/>
        </w:rPr>
        <w:t>Page 2 of 12</w:t>
      </w:r>
    </w:p>
    <w:p>
      <w:pPr>
        <w:spacing w:after="0" w:line="23"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6" w:name="page7"/>
    <w:bookmarkEnd w:id="6"/>
    <w:p>
      <w:pPr>
        <w:jc w:val="both"/>
        <w:ind w:left="740"/>
        <w:spacing w:after="0" w:line="255" w:lineRule="auto"/>
        <w:rPr>
          <w:sz w:val="20"/>
          <w:szCs w:val="20"/>
          <w:color w:val="auto"/>
        </w:rPr>
      </w:pPr>
      <w:r>
        <w:rPr>
          <w:rFonts w:ascii="Arial" w:cs="Arial" w:eastAsia="Arial" w:hAnsi="Arial"/>
          <w:sz w:val="18"/>
          <w:szCs w:val="18"/>
          <w:color w:val="auto"/>
        </w:rPr>
        <w:t>assignments, bills of sale, powers of attorney, guarantees, endorsements or other obligations upon or in connection with any securities, documents or other written instruments and which pass or purport to pass title to such securities, documents or other written instruments; excluding losses caused by Forgery or alteration of, on or in those instruments covered under Insuring Agreement (E) hereof.</w:t>
      </w:r>
    </w:p>
    <w:p>
      <w:pPr>
        <w:spacing w:after="0" w:line="81" w:lineRule="exact"/>
        <w:rPr>
          <w:sz w:val="20"/>
          <w:szCs w:val="20"/>
          <w:color w:val="auto"/>
        </w:rPr>
      </w:pPr>
    </w:p>
    <w:p>
      <w:pPr>
        <w:jc w:val="both"/>
        <w:ind w:left="360"/>
        <w:spacing w:after="0" w:line="255" w:lineRule="auto"/>
        <w:rPr>
          <w:sz w:val="20"/>
          <w:szCs w:val="20"/>
          <w:color w:val="auto"/>
        </w:rPr>
      </w:pPr>
      <w:r>
        <w:rPr>
          <w:rFonts w:ascii="Arial" w:cs="Arial" w:eastAsia="Arial" w:hAnsi="Arial"/>
          <w:sz w:val="18"/>
          <w:szCs w:val="18"/>
          <w:color w:val="auto"/>
        </w:rPr>
        <w:t>Securities, documents or other written instruments shall be deemed to mean original (including original counterparts) negotiable or non-negotiable agreements which in and of themselves represent an equitable interest, ownership, or debt, including an assignment thereof, which instruments are, in the ordinary course of business, transferable by delivery of such agreements with any necessary endorsement or assignment.</w:t>
      </w:r>
    </w:p>
    <w:p>
      <w:pPr>
        <w:spacing w:after="0" w:line="81" w:lineRule="exact"/>
        <w:rPr>
          <w:sz w:val="20"/>
          <w:szCs w:val="20"/>
          <w:color w:val="auto"/>
        </w:rPr>
      </w:pPr>
    </w:p>
    <w:p>
      <w:pPr>
        <w:jc w:val="both"/>
        <w:ind w:left="360"/>
        <w:spacing w:after="0" w:line="312" w:lineRule="auto"/>
        <w:rPr>
          <w:sz w:val="20"/>
          <w:szCs w:val="20"/>
          <w:color w:val="auto"/>
        </w:rPr>
      </w:pPr>
      <w:r>
        <w:rPr>
          <w:rFonts w:ascii="Arial" w:cs="Arial" w:eastAsia="Arial" w:hAnsi="Arial"/>
          <w:sz w:val="16"/>
          <w:szCs w:val="16"/>
          <w:color w:val="auto"/>
        </w:rPr>
        <w:t>The word “counterfeited” as used in this Insuring Agreement shall be deemed to mean any security, document or other written instrument which is intended to deceive and to be taken for an original.</w:t>
      </w:r>
    </w:p>
    <w:p>
      <w:pPr>
        <w:spacing w:after="0" w:line="39" w:lineRule="exact"/>
        <w:rPr>
          <w:sz w:val="20"/>
          <w:szCs w:val="20"/>
          <w:color w:val="auto"/>
        </w:rPr>
      </w:pPr>
    </w:p>
    <w:p>
      <w:pPr>
        <w:jc w:val="both"/>
        <w:ind w:left="360"/>
        <w:spacing w:after="0" w:line="277" w:lineRule="auto"/>
        <w:rPr>
          <w:sz w:val="20"/>
          <w:szCs w:val="20"/>
          <w:color w:val="auto"/>
        </w:rPr>
      </w:pPr>
      <w:r>
        <w:rPr>
          <w:rFonts w:ascii="Arial" w:cs="Arial" w:eastAsia="Arial" w:hAnsi="Arial"/>
          <w:sz w:val="18"/>
          <w:szCs w:val="18"/>
          <w:color w:val="auto"/>
        </w:rPr>
        <w:t>Mechanically reproduced facsimile signatures are treated the same as handwritten signatures.</w:t>
      </w:r>
    </w:p>
    <w:p>
      <w:pPr>
        <w:spacing w:after="0" w:line="76"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COUNTERFEIT CURRENCY</w:t>
      </w:r>
    </w:p>
    <w:p>
      <w:pPr>
        <w:spacing w:after="0" w:line="117" w:lineRule="exact"/>
        <w:rPr>
          <w:rFonts w:ascii="Arial" w:cs="Arial" w:eastAsia="Arial" w:hAnsi="Arial"/>
          <w:sz w:val="18"/>
          <w:szCs w:val="18"/>
          <w:color w:val="auto"/>
        </w:rPr>
      </w:pPr>
    </w:p>
    <w:p>
      <w:pPr>
        <w:jc w:val="both"/>
        <w:ind w:left="360"/>
        <w:spacing w:after="0" w:line="297" w:lineRule="auto"/>
        <w:rPr>
          <w:rFonts w:ascii="Arial" w:cs="Arial" w:eastAsia="Arial" w:hAnsi="Arial"/>
          <w:sz w:val="18"/>
          <w:szCs w:val="18"/>
          <w:color w:val="auto"/>
        </w:rPr>
      </w:pPr>
      <w:r>
        <w:rPr>
          <w:rFonts w:ascii="Arial" w:cs="Arial" w:eastAsia="Arial" w:hAnsi="Arial"/>
          <w:sz w:val="16"/>
          <w:szCs w:val="16"/>
          <w:color w:val="auto"/>
        </w:rPr>
        <w:t>Loss through the receipt by the Insured, in good faith, of any counterfeited money orders or altered paper currencies or coin of the United States of America or Canada issued or purporting to have been issued by the United States of America or Canada or issued pursuant to a United States of America or Canada statute for use as currency.</w:t>
      </w:r>
    </w:p>
    <w:p>
      <w:pPr>
        <w:spacing w:after="0" w:line="63" w:lineRule="exact"/>
        <w:rPr>
          <w:rFonts w:ascii="Arial" w:cs="Arial" w:eastAsia="Arial" w:hAnsi="Arial"/>
          <w:sz w:val="18"/>
          <w:szCs w:val="18"/>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STOP PAYMENT</w:t>
      </w:r>
    </w:p>
    <w:p>
      <w:pPr>
        <w:spacing w:after="0" w:line="117" w:lineRule="exact"/>
        <w:rPr>
          <w:rFonts w:ascii="Arial" w:cs="Arial" w:eastAsia="Arial" w:hAnsi="Arial"/>
          <w:sz w:val="18"/>
          <w:szCs w:val="18"/>
          <w:color w:val="auto"/>
        </w:rPr>
      </w:pPr>
    </w:p>
    <w:p>
      <w:pPr>
        <w:jc w:val="both"/>
        <w:ind w:left="360"/>
        <w:spacing w:after="0" w:line="264" w:lineRule="auto"/>
        <w:rPr>
          <w:rFonts w:ascii="Arial" w:cs="Arial" w:eastAsia="Arial" w:hAnsi="Arial"/>
          <w:sz w:val="18"/>
          <w:szCs w:val="18"/>
          <w:color w:val="auto"/>
        </w:rPr>
      </w:pPr>
      <w:r>
        <w:rPr>
          <w:rFonts w:ascii="Arial" w:cs="Arial" w:eastAsia="Arial" w:hAnsi="Arial"/>
          <w:sz w:val="18"/>
          <w:szCs w:val="18"/>
          <w:color w:val="auto"/>
        </w:rPr>
        <w:t>Loss against any and all sums which the Insured shall become obligated to pay by reason of the liability imposed upon the Insured by law for damages:</w:t>
      </w:r>
    </w:p>
    <w:p>
      <w:pPr>
        <w:spacing w:after="0" w:line="20" w:lineRule="exact"/>
        <w:rPr>
          <w:sz w:val="20"/>
          <w:szCs w:val="20"/>
          <w:color w:val="auto"/>
        </w:rPr>
      </w:pPr>
      <w:r>
        <w:rPr>
          <w:sz w:val="20"/>
          <w:szCs w:val="20"/>
          <w:color w:val="auto"/>
        </w:rPr>
        <w:br w:type="column"/>
      </w:r>
    </w:p>
    <w:p>
      <w:pPr>
        <w:jc w:val="both"/>
        <w:ind w:left="712"/>
        <w:spacing w:after="0" w:line="272" w:lineRule="auto"/>
        <w:rPr>
          <w:sz w:val="20"/>
          <w:szCs w:val="20"/>
          <w:color w:val="auto"/>
        </w:rPr>
      </w:pPr>
      <w:r>
        <w:rPr>
          <w:rFonts w:ascii="Arial" w:cs="Arial" w:eastAsia="Arial" w:hAnsi="Arial"/>
          <w:sz w:val="17"/>
          <w:szCs w:val="17"/>
          <w:color w:val="auto"/>
        </w:rPr>
        <w:t>For having either complied with or failed to comply with any written notice of any customer, shareholder or subscriber of the Insured or any Authorized Representative of such customer, shareholder or subscriber to stop payment of any check or draft made or drawn by such customer, shareholder or subscriber or any Authorized Representative of such customer, shareholder or subscriber,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-1103630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0" w:lineRule="exact"/>
        <w:rPr>
          <w:sz w:val="20"/>
          <w:szCs w:val="20"/>
          <w:color w:val="auto"/>
        </w:rPr>
      </w:pPr>
    </w:p>
    <w:p>
      <w:pPr>
        <w:jc w:val="both"/>
        <w:ind w:left="712"/>
        <w:spacing w:after="0" w:line="259" w:lineRule="auto"/>
        <w:rPr>
          <w:sz w:val="20"/>
          <w:szCs w:val="20"/>
          <w:color w:val="auto"/>
        </w:rPr>
      </w:pPr>
      <w:r>
        <w:rPr>
          <w:rFonts w:ascii="Arial" w:cs="Arial" w:eastAsia="Arial" w:hAnsi="Arial"/>
          <w:sz w:val="18"/>
          <w:szCs w:val="18"/>
          <w:color w:val="auto"/>
        </w:rPr>
        <w:t>For having refused to pay any check or draft made or drawn by any customer, shareholder or subscriber of the Insured or any Authorized Representative of such customer, shareholder or subscriber.</w:t>
      </w:r>
    </w:p>
    <w:p>
      <w:pPr>
        <w:spacing w:after="0" w:line="92" w:lineRule="exact"/>
        <w:rPr>
          <w:sz w:val="20"/>
          <w:szCs w:val="20"/>
          <w:color w:val="auto"/>
        </w:rPr>
      </w:pPr>
    </w:p>
    <w:p>
      <w:pPr>
        <w:ind w:left="372" w:hanging="372"/>
        <w:spacing w:after="0"/>
        <w:tabs>
          <w:tab w:leader="none" w:pos="3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UNCOLLECTIBLE ITEMS OF DEPOSIT</w:t>
      </w:r>
    </w:p>
    <w:p>
      <w:pPr>
        <w:spacing w:after="0" w:line="117" w:lineRule="exact"/>
        <w:rPr>
          <w:rFonts w:ascii="Arial" w:cs="Arial" w:eastAsia="Arial" w:hAnsi="Arial"/>
          <w:sz w:val="18"/>
          <w:szCs w:val="18"/>
          <w:color w:val="auto"/>
        </w:rPr>
      </w:pPr>
    </w:p>
    <w:p>
      <w:pPr>
        <w:jc w:val="both"/>
        <w:ind w:left="352"/>
        <w:spacing w:after="0" w:line="253" w:lineRule="auto"/>
        <w:rPr>
          <w:rFonts w:ascii="Arial" w:cs="Arial" w:eastAsia="Arial" w:hAnsi="Arial"/>
          <w:sz w:val="18"/>
          <w:szCs w:val="18"/>
          <w:color w:val="auto"/>
        </w:rPr>
      </w:pPr>
      <w:r>
        <w:rPr>
          <w:rFonts w:ascii="Arial" w:cs="Arial" w:eastAsia="Arial" w:hAnsi="Arial"/>
          <w:sz w:val="18"/>
          <w:szCs w:val="18"/>
          <w:color w:val="auto"/>
        </w:rPr>
        <w:t>Loss resulting from payments of dividends or fund shares, or withdrawals permitted from any customer’s, shareholder’s, or subscriber’s account based upon Uncollectible Items of Deposit of a customer, shareholder or subscriber credited by the Insured or the Insured’s agent to such customer’s, shareholder’s or subscriber’s Mutual Fund Account; or loss resulting from an Item of Deposit processed through an Automated Clearing House which is reversed by the customer, shareholder or subscriber and deemed uncollectible by the Insured.</w:t>
      </w:r>
    </w:p>
    <w:p>
      <w:pPr>
        <w:spacing w:after="0" w:line="89" w:lineRule="exact"/>
        <w:rPr>
          <w:rFonts w:ascii="Arial" w:cs="Arial" w:eastAsia="Arial" w:hAnsi="Arial"/>
          <w:sz w:val="18"/>
          <w:szCs w:val="18"/>
          <w:color w:val="auto"/>
        </w:rPr>
      </w:pPr>
    </w:p>
    <w:p>
      <w:pPr>
        <w:ind w:left="352"/>
        <w:spacing w:after="0" w:line="277" w:lineRule="auto"/>
        <w:rPr>
          <w:rFonts w:ascii="Arial" w:cs="Arial" w:eastAsia="Arial" w:hAnsi="Arial"/>
          <w:sz w:val="18"/>
          <w:szCs w:val="18"/>
          <w:color w:val="auto"/>
        </w:rPr>
      </w:pPr>
      <w:r>
        <w:rPr>
          <w:rFonts w:ascii="Arial" w:cs="Arial" w:eastAsia="Arial" w:hAnsi="Arial"/>
          <w:sz w:val="18"/>
          <w:szCs w:val="18"/>
          <w:color w:val="auto"/>
        </w:rPr>
        <w:t>Loss includes dividends and interest accrued not to exceed 15% of the Uncollectible Items which are deposited.</w:t>
      </w:r>
    </w:p>
    <w:p>
      <w:pPr>
        <w:spacing w:after="0" w:line="62" w:lineRule="exact"/>
        <w:rPr>
          <w:rFonts w:ascii="Arial" w:cs="Arial" w:eastAsia="Arial" w:hAnsi="Arial"/>
          <w:sz w:val="18"/>
          <w:szCs w:val="18"/>
          <w:color w:val="auto"/>
        </w:rPr>
      </w:pPr>
    </w:p>
    <w:p>
      <w:pPr>
        <w:jc w:val="both"/>
        <w:ind w:left="352"/>
        <w:spacing w:after="0" w:line="272" w:lineRule="auto"/>
        <w:rPr>
          <w:rFonts w:ascii="Arial" w:cs="Arial" w:eastAsia="Arial" w:hAnsi="Arial"/>
          <w:sz w:val="18"/>
          <w:szCs w:val="18"/>
          <w:color w:val="auto"/>
        </w:rPr>
      </w:pPr>
      <w:r>
        <w:rPr>
          <w:rFonts w:ascii="Arial" w:cs="Arial" w:eastAsia="Arial" w:hAnsi="Arial"/>
          <w:sz w:val="17"/>
          <w:szCs w:val="17"/>
          <w:color w:val="auto"/>
        </w:rPr>
        <w:t>This Insuring Agreement applies to all Mutual Funds with “exchange privileges” if all Fund(s) in the exchange program are insured by the Underwriter for Uncollectible Items of Deposit. Regardless of the number of transactions between Fund(s), the minimum number of days of deposit within the Fund(s) before withdrawal as declared in the Fund(s) prospectus shall begin from the date a deposit was first credited to any Insured Fund(s).</w:t>
      </w:r>
    </w:p>
    <w:p>
      <w:pPr>
        <w:spacing w:after="0" w:line="210" w:lineRule="exact"/>
        <w:rPr>
          <w:sz w:val="20"/>
          <w:szCs w:val="20"/>
          <w:color w:val="auto"/>
        </w:rPr>
      </w:pPr>
    </w:p>
    <w:p>
      <w:pPr>
        <w:sectPr>
          <w:pgSz w:w="11900" w:h="16838" w:orient="portrait"/>
          <w:cols w:equalWidth="0" w:num="2">
            <w:col w:w="5480" w:space="348"/>
            <w:col w:w="5472"/>
          </w:cols>
          <w:pgMar w:left="240" w:top="328" w:right="359" w:bottom="1440" w:gutter="0" w:footer="0" w:header="0"/>
        </w:sectPr>
      </w:pPr>
    </w:p>
    <w:p>
      <w:pPr>
        <w:spacing w:after="0" w:line="15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AGREEMENTS</w:t>
      </w:r>
    </w:p>
    <w:p>
      <w:pPr>
        <w:sectPr>
          <w:pgSz w:w="11900" w:h="16838" w:orient="portrait"/>
          <w:cols w:equalWidth="0" w:num="1">
            <w:col w:w="11300"/>
          </w:cols>
          <w:pgMar w:left="240" w:top="328" w:right="359" w:bottom="1440" w:gutter="0" w:footer="0" w:header="0"/>
          <w:type w:val="continuous"/>
        </w:sectPr>
      </w:pPr>
    </w:p>
    <w:p>
      <w:pPr>
        <w:spacing w:after="0" w:line="310" w:lineRule="exact"/>
        <w:rPr>
          <w:sz w:val="20"/>
          <w:szCs w:val="20"/>
          <w:color w:val="auto"/>
        </w:rPr>
      </w:pPr>
    </w:p>
    <w:p>
      <w:pPr>
        <w:ind w:left="380" w:hanging="372"/>
        <w:spacing w:after="0" w:line="277"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OFFICES OR EMPLOYEES - CONSOLIDATION OR MERGER - NOTICE</w:t>
      </w:r>
    </w:p>
    <w:p>
      <w:pPr>
        <w:spacing w:after="0" w:line="75" w:lineRule="exact"/>
        <w:rPr>
          <w:rFonts w:ascii="Arial" w:cs="Arial" w:eastAsia="Arial" w:hAnsi="Arial"/>
          <w:sz w:val="18"/>
          <w:szCs w:val="18"/>
          <w:color w:val="auto"/>
        </w:rPr>
      </w:pPr>
    </w:p>
    <w:p>
      <w:pPr>
        <w:jc w:val="both"/>
        <w:ind w:left="740" w:hanging="367"/>
        <w:spacing w:after="0" w:line="276" w:lineRule="auto"/>
        <w:tabs>
          <w:tab w:leader="none" w:pos="7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If the Insured shall, while this bond is in force, establish any additional office or offices, such offices shall be automatically covered hereunder from the dates of their establishment, respectively. No notice to the Underwriter of an increase during any premium period in the number of offices or</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jc w:val="both"/>
        <w:ind w:left="368"/>
        <w:spacing w:after="0" w:line="264" w:lineRule="auto"/>
        <w:rPr>
          <w:sz w:val="20"/>
          <w:szCs w:val="20"/>
          <w:color w:val="auto"/>
        </w:rPr>
      </w:pPr>
      <w:r>
        <w:rPr>
          <w:rFonts w:ascii="Arial" w:cs="Arial" w:eastAsia="Arial" w:hAnsi="Arial"/>
          <w:sz w:val="18"/>
          <w:szCs w:val="18"/>
          <w:color w:val="auto"/>
        </w:rPr>
        <w:t>in the number of Employees at any of the offices covered hereunder need be given and no additional premium need be paid for the remainder of such premium period.</w:t>
      </w:r>
    </w:p>
    <w:p>
      <w:pPr>
        <w:spacing w:after="0" w:line="87" w:lineRule="exact"/>
        <w:rPr>
          <w:sz w:val="20"/>
          <w:szCs w:val="20"/>
          <w:color w:val="auto"/>
        </w:rPr>
      </w:pPr>
    </w:p>
    <w:p>
      <w:pPr>
        <w:jc w:val="both"/>
        <w:ind w:left="368" w:hanging="368"/>
        <w:spacing w:after="0" w:line="259" w:lineRule="auto"/>
        <w:tabs>
          <w:tab w:leader="none" w:pos="3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 Investment Company, named as Insured herein, shall, while this bond is in force, merge or consolidate with, or purchase the assets of another institution, coverage for such acquisition shall apply automatically</w:t>
      </w:r>
    </w:p>
    <w:p>
      <w:pPr>
        <w:spacing w:after="0" w:line="214" w:lineRule="exact"/>
        <w:rPr>
          <w:sz w:val="20"/>
          <w:szCs w:val="20"/>
          <w:color w:val="auto"/>
        </w:rPr>
      </w:pPr>
    </w:p>
    <w:p>
      <w:pPr>
        <w:sectPr>
          <w:pgSz w:w="11900" w:h="16838" w:orient="portrait"/>
          <w:cols w:equalWidth="0" w:num="2">
            <w:col w:w="5480" w:space="712"/>
            <w:col w:w="5108"/>
          </w:cols>
          <w:pgMar w:left="240" w:top="328" w:right="35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3 of 12</w:t>
            </w:r>
          </w:p>
        </w:tc>
      </w:tr>
    </w:tbl>
    <w:p>
      <w:pPr>
        <w:ind w:left="220" w:hanging="212"/>
        <w:spacing w:after="0"/>
        <w:tabs>
          <w:tab w:leader="none" w:pos="220" w:val="left"/>
        </w:tabs>
        <w:numPr>
          <w:ilvl w:val="0"/>
          <w:numId w:val="18"/>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7" w:name="page8"/>
    <w:bookmarkEnd w:id="7"/>
    <w:p>
      <w:pPr>
        <w:jc w:val="both"/>
        <w:ind w:left="740"/>
        <w:spacing w:after="0" w:line="259" w:lineRule="auto"/>
        <w:rPr>
          <w:sz w:val="20"/>
          <w:szCs w:val="20"/>
          <w:color w:val="auto"/>
        </w:rPr>
      </w:pPr>
      <w:r>
        <w:rPr>
          <w:rFonts w:ascii="Arial" w:cs="Arial" w:eastAsia="Arial" w:hAnsi="Arial"/>
          <w:sz w:val="18"/>
          <w:szCs w:val="18"/>
          <w:color w:val="auto"/>
        </w:rPr>
        <w:t>from the date of acquisition. The Insured shall notify the Underwriter of such acquisition within 60 days of said date, and an additional premium shall be computed only if such acquisition involves additional offices or employees.</w:t>
      </w:r>
    </w:p>
    <w:p>
      <w:pPr>
        <w:spacing w:after="0" w:line="92"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WARRANTY</w:t>
      </w:r>
    </w:p>
    <w:p>
      <w:pPr>
        <w:spacing w:after="0" w:line="117" w:lineRule="exact"/>
        <w:rPr>
          <w:rFonts w:ascii="Arial" w:cs="Arial" w:eastAsia="Arial" w:hAnsi="Arial"/>
          <w:sz w:val="18"/>
          <w:szCs w:val="18"/>
          <w:color w:val="auto"/>
        </w:rPr>
      </w:pPr>
    </w:p>
    <w:p>
      <w:pPr>
        <w:jc w:val="both"/>
        <w:ind w:left="360"/>
        <w:spacing w:after="0" w:line="259" w:lineRule="auto"/>
        <w:rPr>
          <w:rFonts w:ascii="Arial" w:cs="Arial" w:eastAsia="Arial" w:hAnsi="Arial"/>
          <w:sz w:val="18"/>
          <w:szCs w:val="18"/>
          <w:color w:val="auto"/>
        </w:rPr>
      </w:pPr>
      <w:r>
        <w:rPr>
          <w:rFonts w:ascii="Arial" w:cs="Arial" w:eastAsia="Arial" w:hAnsi="Arial"/>
          <w:sz w:val="18"/>
          <w:szCs w:val="18"/>
          <w:color w:val="auto"/>
        </w:rPr>
        <w:t>No statement made by or on behalf of the Insured, whether contained in the application or otherwise, shall be deemed to be a warranty of anything except that it is true to the best of the knowledge and belief of the person making the statement.</w:t>
      </w:r>
    </w:p>
    <w:p>
      <w:pPr>
        <w:spacing w:after="0" w:line="92" w:lineRule="exact"/>
        <w:rPr>
          <w:rFonts w:ascii="Arial" w:cs="Arial" w:eastAsia="Arial" w:hAnsi="Arial"/>
          <w:sz w:val="18"/>
          <w:szCs w:val="18"/>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COURT COSTS AND ATTORNEYS’ FEES</w:t>
      </w:r>
    </w:p>
    <w:p>
      <w:pPr>
        <w:spacing w:after="0" w:line="117" w:lineRule="exact"/>
        <w:rPr>
          <w:rFonts w:ascii="Arial" w:cs="Arial" w:eastAsia="Arial" w:hAnsi="Arial"/>
          <w:sz w:val="18"/>
          <w:szCs w:val="18"/>
          <w:color w:val="auto"/>
        </w:rPr>
      </w:pPr>
    </w:p>
    <w:p>
      <w:pPr>
        <w:ind w:left="360"/>
        <w:spacing w:after="0" w:line="277" w:lineRule="auto"/>
        <w:rPr>
          <w:rFonts w:ascii="Arial" w:cs="Arial" w:eastAsia="Arial" w:hAnsi="Arial"/>
          <w:sz w:val="18"/>
          <w:szCs w:val="18"/>
          <w:color w:val="auto"/>
        </w:rPr>
      </w:pPr>
      <w:r>
        <w:rPr>
          <w:rFonts w:ascii="Arial" w:cs="Arial" w:eastAsia="Arial" w:hAnsi="Arial"/>
          <w:sz w:val="18"/>
          <w:szCs w:val="18"/>
          <w:color w:val="auto"/>
        </w:rPr>
        <w:t>(Applicable to all Insuring Agreements or Coverages now or hereafter forming part of this bond)</w:t>
      </w:r>
    </w:p>
    <w:p>
      <w:pPr>
        <w:spacing w:after="0" w:line="62" w:lineRule="exact"/>
        <w:rPr>
          <w:rFonts w:ascii="Arial" w:cs="Arial" w:eastAsia="Arial" w:hAnsi="Arial"/>
          <w:sz w:val="18"/>
          <w:szCs w:val="18"/>
          <w:color w:val="auto"/>
        </w:rPr>
      </w:pPr>
    </w:p>
    <w:p>
      <w:pPr>
        <w:jc w:val="both"/>
        <w:ind w:left="360"/>
        <w:spacing w:after="0" w:line="270" w:lineRule="auto"/>
        <w:rPr>
          <w:rFonts w:ascii="Arial" w:cs="Arial" w:eastAsia="Arial" w:hAnsi="Arial"/>
          <w:sz w:val="18"/>
          <w:szCs w:val="18"/>
          <w:color w:val="auto"/>
        </w:rPr>
      </w:pPr>
      <w:r>
        <w:rPr>
          <w:rFonts w:ascii="Arial" w:cs="Arial" w:eastAsia="Arial" w:hAnsi="Arial"/>
          <w:sz w:val="17"/>
          <w:szCs w:val="17"/>
          <w:color w:val="auto"/>
        </w:rPr>
        <w:t>The Underwriter will indemnify the Insured against court costs and reasonable attorneys’ fees incurred and paid by the Insured in defense, whether or not successful, whether or not fully litigated on the merits and whether or not settled, of any suit or legal proceeding brought against the Insured to enforce the Insured’s liability or alleged liability on account of any loss, claim or damage which, if established against the Insured, would constitute a loss sustained by the Insured covered under the terms of this bond provided, however, that with respect to Insuring Agreement (A) this indemnity shall apply only in the event that:</w:t>
      </w:r>
    </w:p>
    <w:p>
      <w:pPr>
        <w:spacing w:after="0" w:line="83" w:lineRule="exact"/>
        <w:rPr>
          <w:rFonts w:ascii="Arial" w:cs="Arial" w:eastAsia="Arial" w:hAnsi="Arial"/>
          <w:sz w:val="18"/>
          <w:szCs w:val="18"/>
          <w:color w:val="auto"/>
        </w:rPr>
      </w:pPr>
    </w:p>
    <w:p>
      <w:pPr>
        <w:ind w:left="740" w:right="20" w:hanging="367"/>
        <w:spacing w:after="0" w:line="277"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Employee admits to being guilty of any dishonest or fraudulent act(s), including Larceny or Embezzlement; or</w:t>
      </w:r>
    </w:p>
    <w:p>
      <w:pPr>
        <w:spacing w:after="0" w:line="75" w:lineRule="exact"/>
        <w:rPr>
          <w:rFonts w:ascii="Arial" w:cs="Arial" w:eastAsia="Arial" w:hAnsi="Arial"/>
          <w:sz w:val="18"/>
          <w:szCs w:val="18"/>
          <w:color w:val="auto"/>
        </w:rPr>
      </w:pPr>
    </w:p>
    <w:p>
      <w:pPr>
        <w:ind w:left="740" w:right="20" w:hanging="367"/>
        <w:spacing w:after="0" w:line="277"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Employee is adjudicated to be guilty of any dishonest or fraudulent act(s), including Larceny or Embezzlement;</w:t>
      </w:r>
    </w:p>
    <w:p>
      <w:pPr>
        <w:spacing w:after="0" w:line="75" w:lineRule="exact"/>
        <w:rPr>
          <w:rFonts w:ascii="Arial" w:cs="Arial" w:eastAsia="Arial" w:hAnsi="Arial"/>
          <w:sz w:val="18"/>
          <w:szCs w:val="18"/>
          <w:color w:val="auto"/>
        </w:rPr>
      </w:pPr>
    </w:p>
    <w:p>
      <w:pPr>
        <w:ind w:left="740" w:hanging="367"/>
        <w:spacing w:after="0" w:line="277" w:lineRule="auto"/>
        <w:tabs>
          <w:tab w:leader="none" w:pos="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the absence of (1) or (2) above an arbitration panel agrees, after a review of an</w:t>
      </w:r>
    </w:p>
    <w:p>
      <w:pPr>
        <w:spacing w:after="0" w:line="20" w:lineRule="exact"/>
        <w:rPr>
          <w:sz w:val="20"/>
          <w:szCs w:val="20"/>
          <w:color w:val="auto"/>
        </w:rPr>
      </w:pPr>
      <w:r>
        <w:rPr>
          <w:sz w:val="20"/>
          <w:szCs w:val="20"/>
          <w:color w:val="auto"/>
        </w:rPr>
        <w:br w:type="column"/>
      </w:r>
    </w:p>
    <w:p>
      <w:pPr>
        <w:ind w:left="732"/>
        <w:spacing w:after="0" w:line="308" w:lineRule="auto"/>
        <w:rPr>
          <w:sz w:val="20"/>
          <w:szCs w:val="20"/>
          <w:color w:val="auto"/>
        </w:rPr>
      </w:pPr>
      <w:r>
        <w:rPr>
          <w:rFonts w:ascii="Arial" w:cs="Arial" w:eastAsia="Arial" w:hAnsi="Arial"/>
          <w:sz w:val="17"/>
          <w:szCs w:val="17"/>
          <w:color w:val="auto"/>
        </w:rPr>
        <w:t>agreed statement of facts, that an Employee would be found guilty of dishonesty if such Employee were prosecuted.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-437515</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 w:lineRule="exact"/>
        <w:rPr>
          <w:sz w:val="20"/>
          <w:szCs w:val="20"/>
          <w:color w:val="auto"/>
        </w:rPr>
      </w:pPr>
    </w:p>
    <w:p>
      <w:pPr>
        <w:jc w:val="both"/>
        <w:ind w:left="352"/>
        <w:spacing w:after="0" w:line="270" w:lineRule="auto"/>
        <w:rPr>
          <w:sz w:val="20"/>
          <w:szCs w:val="20"/>
          <w:color w:val="auto"/>
        </w:rPr>
      </w:pPr>
      <w:r>
        <w:rPr>
          <w:rFonts w:ascii="Arial" w:cs="Arial" w:eastAsia="Arial" w:hAnsi="Arial"/>
          <w:sz w:val="17"/>
          <w:szCs w:val="17"/>
          <w:color w:val="auto"/>
        </w:rPr>
        <w:t>The Insured shall promptly give notice to the Underwriter of any such suit or legal proceedings and at the request of the Underwriter shall furnish it with copies of all pleadings and other papers therein. At the Underwriter’s election the Insured shall permit the Underwriter to conduct the defense of such suit or legal proceeding, in the Insured’s name, through attorneys of the Underwriter’s selection. In such event, the Insured shall give all reasonable information and assistance which the Un derwriter shall deem necessary to the proper defense of such suit or legal proceeding.</w:t>
      </w:r>
    </w:p>
    <w:p>
      <w:pPr>
        <w:spacing w:after="0" w:line="74" w:lineRule="exact"/>
        <w:rPr>
          <w:sz w:val="20"/>
          <w:szCs w:val="20"/>
          <w:color w:val="auto"/>
        </w:rPr>
      </w:pPr>
    </w:p>
    <w:p>
      <w:pPr>
        <w:jc w:val="both"/>
        <w:ind w:left="352"/>
        <w:spacing w:after="0" w:line="270" w:lineRule="auto"/>
        <w:rPr>
          <w:sz w:val="20"/>
          <w:szCs w:val="20"/>
          <w:color w:val="auto"/>
        </w:rPr>
      </w:pPr>
      <w:r>
        <w:rPr>
          <w:rFonts w:ascii="Arial" w:cs="Arial" w:eastAsia="Arial" w:hAnsi="Arial"/>
          <w:sz w:val="17"/>
          <w:szCs w:val="17"/>
          <w:color w:val="auto"/>
        </w:rPr>
        <w:t>If the amount of the Insured’s liability or alleged liability is greater than the amount recoverable under this bond, or if a Deductible Amount is applicable, or both, the liability of the Underwriter under this General Agreement is limited to the proportion of court costs and attorneys’ fees incurred and paid by the Insured or by the Underwriter that the amount recoverable under this bond bears to the total of such amount plus the amount which is not so recoverable. Such indemnity shall be in addition to the Limit of Liability for the applicable Insuring Agreement or Coverage.</w:t>
      </w:r>
    </w:p>
    <w:p>
      <w:pPr>
        <w:spacing w:after="0" w:line="87" w:lineRule="exact"/>
        <w:rPr>
          <w:sz w:val="20"/>
          <w:szCs w:val="20"/>
          <w:color w:val="auto"/>
        </w:rPr>
      </w:pPr>
    </w:p>
    <w:p>
      <w:pPr>
        <w:ind w:left="372" w:hanging="372"/>
        <w:spacing w:after="0"/>
        <w:tabs>
          <w:tab w:leader="none" w:pos="3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FORMER EMPLOYEE</w:t>
      </w:r>
    </w:p>
    <w:p>
      <w:pPr>
        <w:spacing w:after="0" w:line="117" w:lineRule="exact"/>
        <w:rPr>
          <w:rFonts w:ascii="Arial" w:cs="Arial" w:eastAsia="Arial" w:hAnsi="Arial"/>
          <w:sz w:val="18"/>
          <w:szCs w:val="18"/>
          <w:color w:val="auto"/>
        </w:rPr>
      </w:pPr>
    </w:p>
    <w:p>
      <w:pPr>
        <w:jc w:val="both"/>
        <w:ind w:left="352"/>
        <w:spacing w:after="0" w:line="272" w:lineRule="auto"/>
        <w:rPr>
          <w:rFonts w:ascii="Arial" w:cs="Arial" w:eastAsia="Arial" w:hAnsi="Arial"/>
          <w:sz w:val="18"/>
          <w:szCs w:val="18"/>
          <w:color w:val="auto"/>
        </w:rPr>
      </w:pPr>
      <w:r>
        <w:rPr>
          <w:rFonts w:ascii="Arial" w:cs="Arial" w:eastAsia="Arial" w:hAnsi="Arial"/>
          <w:sz w:val="17"/>
          <w:szCs w:val="17"/>
          <w:color w:val="auto"/>
        </w:rPr>
        <w:t>Acts of an Employee, as defined in this bond, are covered under Insuring Agreement (A) only while the Employee is in the Insured’s employ. Should loss involving a former Employee of the Insured be discovered subsequent to the termination of employment, coverage would still apply under Insuring Agreement (A) if the direct proximate cause of the loss occurred while the former Employee performed duties within the scope of his/her employment.</w:t>
      </w:r>
    </w:p>
    <w:p>
      <w:pPr>
        <w:spacing w:after="0" w:line="693" w:lineRule="exact"/>
        <w:rPr>
          <w:sz w:val="20"/>
          <w:szCs w:val="20"/>
          <w:color w:val="auto"/>
        </w:rPr>
      </w:pPr>
    </w:p>
    <w:p>
      <w:pPr>
        <w:sectPr>
          <w:pgSz w:w="11900" w:h="16838" w:orient="portrait"/>
          <w:cols w:equalWidth="0" w:num="2">
            <w:col w:w="5480" w:space="348"/>
            <w:col w:w="5472"/>
          </w:cols>
          <w:pgMar w:left="240" w:top="328" w:right="359" w:bottom="1440" w:gutter="0" w:footer="0" w:header="0"/>
        </w:sectPr>
      </w:pPr>
    </w:p>
    <w:p>
      <w:pPr>
        <w:spacing w:after="0" w:line="11" w:lineRule="exact"/>
        <w:rPr>
          <w:sz w:val="20"/>
          <w:szCs w:val="20"/>
          <w:color w:val="auto"/>
        </w:rPr>
      </w:pPr>
    </w:p>
    <w:p>
      <w:pPr>
        <w:jc w:val="center"/>
        <w:ind w:left="2600" w:right="2480"/>
        <w:spacing w:after="0" w:line="243" w:lineRule="auto"/>
        <w:rPr>
          <w:sz w:val="20"/>
          <w:szCs w:val="20"/>
          <w:color w:val="auto"/>
        </w:rPr>
      </w:pPr>
      <w:r>
        <w:rPr>
          <w:rFonts w:ascii="Arial" w:cs="Arial" w:eastAsia="Arial" w:hAnsi="Arial"/>
          <w:sz w:val="22"/>
          <w:szCs w:val="22"/>
          <w:b w:val="1"/>
          <w:bCs w:val="1"/>
          <w:color w:val="auto"/>
        </w:rPr>
        <w:t>THE FOREGOING INSURING AGREEMENTS AND GENERAL AGREEMENTS ARE SUBJECT TO THE FOLLOWING CONDITIONS AND LIMITATIONS:</w:t>
      </w:r>
    </w:p>
    <w:p>
      <w:pPr>
        <w:sectPr>
          <w:pgSz w:w="11900" w:h="16838" w:orient="portrait"/>
          <w:cols w:equalWidth="0" w:num="1">
            <w:col w:w="11300"/>
          </w:cols>
          <w:pgMar w:left="240" w:top="328" w:right="359" w:bottom="1440" w:gutter="0" w:footer="0" w:header="0"/>
          <w:type w:val="continuous"/>
        </w:sectPr>
      </w:pPr>
    </w:p>
    <w:p>
      <w:pPr>
        <w:spacing w:after="0" w:line="27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DEFINITIONS</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terms, as used in this bond have the respective meanings stated in this Section:</w:t>
      </w:r>
    </w:p>
    <w:p>
      <w:pPr>
        <w:spacing w:after="0" w:line="76"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 means:</w:t>
      </w:r>
    </w:p>
    <w:p>
      <w:pPr>
        <w:spacing w:after="0" w:line="130" w:lineRule="exact"/>
        <w:rPr>
          <w:rFonts w:ascii="Arial" w:cs="Arial" w:eastAsia="Arial" w:hAnsi="Arial"/>
          <w:sz w:val="18"/>
          <w:szCs w:val="18"/>
          <w:color w:val="auto"/>
        </w:rPr>
      </w:pPr>
    </w:p>
    <w:p>
      <w:pPr>
        <w:ind w:left="740" w:hanging="367"/>
        <w:spacing w:after="0"/>
        <w:tabs>
          <w:tab w:leader="none" w:pos="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of the Insured’s officers, partners, or employees, and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4 of 12</w:t>
            </w:r>
          </w:p>
        </w:tc>
      </w:tr>
    </w:tbl>
    <w:p>
      <w:pPr>
        <w:ind w:left="220" w:hanging="212"/>
        <w:spacing w:after="0"/>
        <w:tabs>
          <w:tab w:leader="none" w:pos="220" w:val="left"/>
        </w:tabs>
        <w:numPr>
          <w:ilvl w:val="0"/>
          <w:numId w:val="22"/>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both"/>
        <w:ind w:left="368" w:hanging="368"/>
        <w:spacing w:after="0" w:line="259" w:lineRule="auto"/>
        <w:tabs>
          <w:tab w:leader="none" w:pos="3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the officers or employees of any predecessor of the Insured whose principal assets are acquired by the Insured by consolidation or merger with, or purchase of assets or capital stock of, such predecessor, and</w:t>
      </w:r>
    </w:p>
    <w:p>
      <w:pPr>
        <w:sectPr>
          <w:pgSz w:w="11900" w:h="16838" w:orient="portrait"/>
          <w:cols w:equalWidth="0" w:num="2">
            <w:col w:w="6040" w:space="152"/>
            <w:col w:w="5108"/>
          </w:cols>
          <w:pgMar w:left="240" w:top="328" w:right="359" w:bottom="1440" w:gutter="0" w:footer="0" w:header="0"/>
          <w:type w:val="continuous"/>
        </w:sectPr>
      </w:pPr>
    </w:p>
    <w:bookmarkStart w:id="8" w:name="page9"/>
    <w:bookmarkEnd w:id="8"/>
    <w:p>
      <w:pPr>
        <w:jc w:val="both"/>
        <w:ind w:left="740" w:hanging="367"/>
        <w:spacing w:after="0" w:line="259"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attorneys retained by the Insured to perform legal services for the Insured and the employees of such attorneys while such attorneys or employees of such attorneys are performing such services for the Insured, and</w:t>
      </w:r>
    </w:p>
    <w:p>
      <w:pPr>
        <w:spacing w:after="0" w:line="92" w:lineRule="exact"/>
        <w:rPr>
          <w:rFonts w:ascii="Arial" w:cs="Arial" w:eastAsia="Arial" w:hAnsi="Arial"/>
          <w:sz w:val="18"/>
          <w:szCs w:val="18"/>
          <w:color w:val="auto"/>
        </w:rPr>
      </w:pPr>
    </w:p>
    <w:p>
      <w:pPr>
        <w:ind w:left="740" w:right="20" w:hanging="367"/>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guest students pursuing their studies or duties in any of the Insured’s offices, and</w:t>
      </w:r>
    </w:p>
    <w:p>
      <w:pPr>
        <w:spacing w:after="0" w:line="75" w:lineRule="exact"/>
        <w:rPr>
          <w:rFonts w:ascii="Arial" w:cs="Arial" w:eastAsia="Arial" w:hAnsi="Arial"/>
          <w:sz w:val="18"/>
          <w:szCs w:val="18"/>
          <w:color w:val="auto"/>
        </w:rPr>
      </w:pPr>
    </w:p>
    <w:p>
      <w:pPr>
        <w:jc w:val="both"/>
        <w:ind w:left="740" w:hanging="367"/>
        <w:spacing w:after="0" w:line="290" w:lineRule="auto"/>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directors or trustees of the Insured, the investment advisor, underwriter (distributor), transfer agent, or shareholder accounting record keeper, or administrator authorized by written agreement to keep financial and/or other required records, but only while performing acts coming within the scope of the usual duties of an officer or employee or while acting as a member of any committee duly elected or appointed to examine or audit or have custody of or access to the Property of the Insured, and</w:t>
      </w:r>
    </w:p>
    <w:p>
      <w:pPr>
        <w:spacing w:after="0" w:line="71" w:lineRule="exact"/>
        <w:rPr>
          <w:rFonts w:ascii="Arial" w:cs="Arial" w:eastAsia="Arial" w:hAnsi="Arial"/>
          <w:sz w:val="16"/>
          <w:szCs w:val="16"/>
          <w:color w:val="auto"/>
        </w:rPr>
      </w:pPr>
    </w:p>
    <w:p>
      <w:pPr>
        <w:jc w:val="both"/>
        <w:ind w:left="740" w:hanging="367"/>
        <w:spacing w:after="0" w:line="259"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individual or individuals assigned to perform the usual duties of an employee within the premises of the Insured, by contract, or by any agency furnishing temporary personnel on a contingent or part-time basis, and</w:t>
      </w:r>
    </w:p>
    <w:p>
      <w:pPr>
        <w:spacing w:after="0" w:line="92" w:lineRule="exact"/>
        <w:rPr>
          <w:rFonts w:ascii="Arial" w:cs="Arial" w:eastAsia="Arial" w:hAnsi="Arial"/>
          <w:sz w:val="18"/>
          <w:szCs w:val="18"/>
          <w:color w:val="auto"/>
        </w:rPr>
      </w:pPr>
    </w:p>
    <w:p>
      <w:pPr>
        <w:jc w:val="both"/>
        <w:ind w:left="740" w:hanging="367"/>
        <w:spacing w:after="0" w:line="255"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natural person, partnership or corporation authorized by written agreement with the Insured to perform services as electronic data processor of checks or other accounting records of the Insured, but excluding any such processor who acts as transfer agent or in any other agency capacity in issuing checks, drafts or securities for the Insured, unless included under sub-section (9) hereof, and</w:t>
      </w:r>
    </w:p>
    <w:p>
      <w:pPr>
        <w:spacing w:after="0" w:line="94" w:lineRule="exact"/>
        <w:rPr>
          <w:rFonts w:ascii="Arial" w:cs="Arial" w:eastAsia="Arial" w:hAnsi="Arial"/>
          <w:sz w:val="18"/>
          <w:szCs w:val="18"/>
          <w:color w:val="auto"/>
        </w:rPr>
      </w:pPr>
    </w:p>
    <w:p>
      <w:pPr>
        <w:ind w:left="740" w:hanging="367"/>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those persons so designated in Section 15, Central Handling of Securities, and</w:t>
      </w:r>
    </w:p>
    <w:p>
      <w:pPr>
        <w:spacing w:after="0" w:line="75" w:lineRule="exact"/>
        <w:rPr>
          <w:rFonts w:ascii="Arial" w:cs="Arial" w:eastAsia="Arial" w:hAnsi="Arial"/>
          <w:sz w:val="18"/>
          <w:szCs w:val="18"/>
          <w:color w:val="auto"/>
        </w:rPr>
      </w:pPr>
    </w:p>
    <w:p>
      <w:pPr>
        <w:ind w:left="740" w:hanging="367"/>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130" w:lineRule="exact"/>
        <w:rPr>
          <w:rFonts w:ascii="Arial" w:cs="Arial" w:eastAsia="Arial" w:hAnsi="Arial"/>
          <w:sz w:val="18"/>
          <w:szCs w:val="18"/>
          <w:color w:val="auto"/>
        </w:rPr>
      </w:pPr>
    </w:p>
    <w:p>
      <w:pPr>
        <w:ind w:left="1100" w:hanging="363"/>
        <w:spacing w:after="0"/>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investment advisor,</w:t>
      </w:r>
    </w:p>
    <w:p>
      <w:pPr>
        <w:spacing w:after="0" w:line="130" w:lineRule="exact"/>
        <w:rPr>
          <w:rFonts w:ascii="Arial" w:cs="Arial" w:eastAsia="Arial" w:hAnsi="Arial"/>
          <w:sz w:val="18"/>
          <w:szCs w:val="18"/>
          <w:color w:val="auto"/>
        </w:rPr>
      </w:pPr>
    </w:p>
    <w:p>
      <w:pPr>
        <w:ind w:left="1100" w:hanging="363"/>
        <w:spacing w:after="0"/>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130" w:lineRule="exact"/>
        <w:rPr>
          <w:rFonts w:ascii="Arial" w:cs="Arial" w:eastAsia="Arial" w:hAnsi="Arial"/>
          <w:sz w:val="18"/>
          <w:szCs w:val="18"/>
          <w:color w:val="auto"/>
        </w:rPr>
      </w:pPr>
    </w:p>
    <w:p>
      <w:pPr>
        <w:ind w:left="1100" w:hanging="363"/>
        <w:spacing w:after="0"/>
        <w:tabs>
          <w:tab w:leader="none" w:pos="11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 transfer agent or shareholder accounting record-keeper, or</w:t>
      </w:r>
    </w:p>
    <w:p>
      <w:pPr>
        <w:spacing w:after="0" w:line="153" w:lineRule="exact"/>
        <w:rPr>
          <w:rFonts w:ascii="Arial" w:cs="Arial" w:eastAsia="Arial" w:hAnsi="Arial"/>
          <w:sz w:val="16"/>
          <w:szCs w:val="16"/>
          <w:color w:val="auto"/>
        </w:rPr>
      </w:pPr>
    </w:p>
    <w:p>
      <w:pPr>
        <w:ind w:left="1100" w:right="20" w:hanging="363"/>
        <w:spacing w:after="0" w:line="277" w:lineRule="auto"/>
        <w:tabs>
          <w:tab w:leader="none" w:pos="11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and/or other required records,</w:t>
      </w:r>
    </w:p>
    <w:p>
      <w:pPr>
        <w:spacing w:after="0" w:line="62" w:lineRule="exact"/>
        <w:rPr>
          <w:sz w:val="20"/>
          <w:szCs w:val="20"/>
          <w:color w:val="auto"/>
        </w:rPr>
      </w:pPr>
    </w:p>
    <w:p>
      <w:pPr>
        <w:jc w:val="both"/>
        <w:ind w:left="360"/>
        <w:spacing w:after="0" w:line="297" w:lineRule="auto"/>
        <w:rPr>
          <w:sz w:val="20"/>
          <w:szCs w:val="20"/>
          <w:color w:val="auto"/>
        </w:rPr>
      </w:pPr>
      <w:r>
        <w:rPr>
          <w:rFonts w:ascii="Arial" w:cs="Arial" w:eastAsia="Arial" w:hAnsi="Arial"/>
          <w:sz w:val="16"/>
          <w:szCs w:val="16"/>
          <w:color w:val="auto"/>
        </w:rPr>
        <w:t>for an Investment Company named as Insured while performing acts coming within the scope of the usual duties of an officer or Employee of any investment Company named as Insured herein, or while acting as a member of any committee duly elected or appointed to examine or audit or have custody of or access to the Property of any</w:t>
      </w:r>
    </w:p>
    <w:p>
      <w:pPr>
        <w:spacing w:after="0" w:line="20" w:lineRule="exact"/>
        <w:rPr>
          <w:sz w:val="20"/>
          <w:szCs w:val="20"/>
          <w:color w:val="auto"/>
        </w:rPr>
      </w:pPr>
      <w:r>
        <w:rPr>
          <w:sz w:val="20"/>
          <w:szCs w:val="20"/>
          <w:color w:val="auto"/>
        </w:rPr>
        <w:br w:type="column"/>
      </w:r>
    </w:p>
    <w:p>
      <w:pPr>
        <w:jc w:val="both"/>
        <w:ind w:left="352"/>
        <w:spacing w:after="0" w:line="291" w:lineRule="auto"/>
        <w:rPr>
          <w:sz w:val="20"/>
          <w:szCs w:val="20"/>
          <w:color w:val="auto"/>
        </w:rPr>
      </w:pPr>
      <w:r>
        <w:rPr>
          <w:rFonts w:ascii="Arial" w:cs="Arial" w:eastAsia="Arial" w:hAnsi="Arial"/>
          <w:sz w:val="16"/>
          <w:szCs w:val="16"/>
          <w:color w:val="auto"/>
        </w:rPr>
        <w:t>such Investment Company, provided that only Employees or partners of a transfer agent, shareholder accounting record-keeper or administrator which is an affiliated person, as defined in the Investment Company Act of 1940, of an Investment Company named as Insured or is an affiliated person of the advisor, underwriter or administrator of such Investment Company, and which is not a bank, shall be included within the definition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-1110615</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9" w:lineRule="exact"/>
        <w:rPr>
          <w:sz w:val="20"/>
          <w:szCs w:val="20"/>
          <w:color w:val="auto"/>
        </w:rPr>
      </w:pPr>
    </w:p>
    <w:p>
      <w:pPr>
        <w:jc w:val="both"/>
        <w:ind w:left="352"/>
        <w:spacing w:after="0" w:line="257" w:lineRule="auto"/>
        <w:rPr>
          <w:sz w:val="20"/>
          <w:szCs w:val="20"/>
          <w:color w:val="auto"/>
        </w:rPr>
      </w:pPr>
      <w:r>
        <w:rPr>
          <w:rFonts w:ascii="Arial" w:cs="Arial" w:eastAsia="Arial" w:hAnsi="Arial"/>
          <w:sz w:val="18"/>
          <w:szCs w:val="18"/>
          <w:color w:val="auto"/>
        </w:rPr>
        <w:t>Each employer of temporary personnel or processors as set forth in sub-sections (6) and (7) of Section 1(a) and their partners, officers and employees shall collectively be deemed to be one person for all the purposes of this bond, excepting, however, the last paragraph of Section 13.</w:t>
      </w:r>
    </w:p>
    <w:p>
      <w:pPr>
        <w:spacing w:after="0" w:line="80" w:lineRule="exact"/>
        <w:rPr>
          <w:sz w:val="20"/>
          <w:szCs w:val="20"/>
          <w:color w:val="auto"/>
        </w:rPr>
      </w:pPr>
    </w:p>
    <w:p>
      <w:pPr>
        <w:jc w:val="both"/>
        <w:ind w:left="352"/>
        <w:spacing w:after="0" w:line="277" w:lineRule="auto"/>
        <w:rPr>
          <w:sz w:val="20"/>
          <w:szCs w:val="20"/>
          <w:color w:val="auto"/>
        </w:rPr>
      </w:pPr>
      <w:r>
        <w:rPr>
          <w:rFonts w:ascii="Arial" w:cs="Arial" w:eastAsia="Arial" w:hAnsi="Arial"/>
          <w:sz w:val="18"/>
          <w:szCs w:val="18"/>
          <w:color w:val="auto"/>
        </w:rPr>
        <w:t>Brokers, or other agents under contract or representatives of the same general character shall not be considered Employees.</w:t>
      </w:r>
    </w:p>
    <w:p>
      <w:pPr>
        <w:spacing w:after="0" w:line="76" w:lineRule="exact"/>
        <w:rPr>
          <w:sz w:val="20"/>
          <w:szCs w:val="20"/>
          <w:color w:val="auto"/>
        </w:rPr>
      </w:pPr>
    </w:p>
    <w:p>
      <w:pPr>
        <w:jc w:val="both"/>
        <w:ind w:left="372" w:hanging="372"/>
        <w:spacing w:after="0" w:line="284" w:lineRule="auto"/>
        <w:tabs>
          <w:tab w:leader="none" w:pos="372"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“Property” means money (i.e. currency, coin, bank notes, Federal Reserve notes), postage and revenue stamps, U.S. Savings Stamps, bullion, precious metals of all kinds and in any form and articles made therefrom, jewelry, watches, necklaces, bracelets, gems, precious and semi-precious stones, bonds, securities, evidences of debts, debentures, scrip, certificates, interim receipts, warrants, rights, puts, calls, straddles, spreads, transfers, coupons, drafts, bills of exchange, acceptances, notes, checks, withdrawal orders, money orders, warehouse receipts, bills of lading, conditional sales contracts, abstracts of title, insurance policies, deeds, mortgages under real estate and/or chattels and upon interests therein, and assignments of such policies, mortgages and instruments, and other valuable papers, including books of account and other records used by the Insured in the conduct of its business, and all other instruments similar to or in the nature of the foregoing including Electronic Representations of such instruments enumerated above (but excluding all data processing records) in which the Insured has an interest or in which the Insured acquired or should have acquired an interest by reason of a predecessor’s declared financial condition at the time of the Insured’s consolidation or merger with, or purchase of the principal assets of, such predecessor or which are held by the Insured for any purpose or in any capacity and whether so held gratuitously or not and whether or not the Insured is liable therefor.</w:t>
      </w:r>
    </w:p>
    <w:p>
      <w:pPr>
        <w:spacing w:after="0" w:line="83" w:lineRule="exact"/>
        <w:rPr>
          <w:rFonts w:ascii="Arial" w:cs="Arial" w:eastAsia="Arial" w:hAnsi="Arial"/>
          <w:sz w:val="16"/>
          <w:szCs w:val="16"/>
          <w:color w:val="auto"/>
        </w:rPr>
      </w:pPr>
    </w:p>
    <w:p>
      <w:pPr>
        <w:jc w:val="both"/>
        <w:ind w:left="372" w:hanging="372"/>
        <w:spacing w:after="0" w:line="264" w:lineRule="auto"/>
        <w:tabs>
          <w:tab w:leader="none" w:pos="3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“Forgery” means the signing of the name of another with intent to deceive; it does not include the signing of one’s own name with or without authority, in any capacity, for any purpose.</w:t>
      </w:r>
    </w:p>
    <w:p>
      <w:pPr>
        <w:spacing w:after="0" w:line="655" w:lineRule="exact"/>
        <w:rPr>
          <w:sz w:val="20"/>
          <w:szCs w:val="20"/>
          <w:color w:val="auto"/>
        </w:rPr>
      </w:pPr>
    </w:p>
    <w:p>
      <w:pPr>
        <w:sectPr>
          <w:pgSz w:w="11900" w:h="16838" w:orient="portrait"/>
          <w:cols w:equalWidth="0" w:num="2">
            <w:col w:w="5480" w:space="348"/>
            <w:col w:w="5472"/>
          </w:cols>
          <w:pgMar w:left="240" w:top="328" w:right="359" w:bottom="1440" w:gutter="0" w:footer="0" w:header="0"/>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5 of 12</w:t>
            </w:r>
          </w:p>
        </w:tc>
      </w:tr>
    </w:tbl>
    <w:p>
      <w:pPr>
        <w:ind w:left="220" w:hanging="212"/>
        <w:spacing w:after="0"/>
        <w:tabs>
          <w:tab w:leader="none" w:pos="220" w:val="left"/>
        </w:tabs>
        <w:numPr>
          <w:ilvl w:val="0"/>
          <w:numId w:val="26"/>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9" w:name="page10"/>
    <w:bookmarkEnd w:id="9"/>
    <w:p>
      <w:pPr>
        <w:jc w:val="both"/>
        <w:ind w:left="380" w:hanging="372"/>
        <w:spacing w:after="0" w:line="26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“Larceny and Embezzlement” as it applies to any named Insured means those acts as set forth in Section 37 of the Investment Company Act of 1940.</w:t>
      </w:r>
    </w:p>
    <w:p>
      <w:pPr>
        <w:spacing w:after="0" w:line="86" w:lineRule="exact"/>
        <w:rPr>
          <w:rFonts w:ascii="Arial" w:cs="Arial" w:eastAsia="Arial" w:hAnsi="Arial"/>
          <w:sz w:val="18"/>
          <w:szCs w:val="18"/>
          <w:color w:val="auto"/>
        </w:rPr>
      </w:pPr>
    </w:p>
    <w:p>
      <w:pPr>
        <w:jc w:val="both"/>
        <w:ind w:left="380" w:hanging="372"/>
        <w:spacing w:after="0" w:line="26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“Items of Deposit” means any one or more checks and drafts. Items of Deposit shall not be deemed uncollectible until the Insured’s collection procedures have failed.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SECTION 2. EXCLUSIONS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BOND, DOES NOT COVER:</w:t>
      </w:r>
    </w:p>
    <w:p>
      <w:pPr>
        <w:spacing w:after="0" w:line="131" w:lineRule="exact"/>
        <w:rPr>
          <w:sz w:val="20"/>
          <w:szCs w:val="20"/>
          <w:color w:val="auto"/>
        </w:rPr>
      </w:pPr>
    </w:p>
    <w:p>
      <w:pPr>
        <w:jc w:val="both"/>
        <w:ind w:left="740" w:hanging="367"/>
        <w:spacing w:after="0" w:line="264"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effected directly or indirectly by means of forgery or alteration of, on or in any instrument, except when covered by Insuring Agreement (A), (E), (F) or (G).</w:t>
      </w:r>
    </w:p>
    <w:p>
      <w:pPr>
        <w:spacing w:after="0" w:line="86" w:lineRule="exact"/>
        <w:rPr>
          <w:rFonts w:ascii="Arial" w:cs="Arial" w:eastAsia="Arial" w:hAnsi="Arial"/>
          <w:sz w:val="18"/>
          <w:szCs w:val="18"/>
          <w:color w:val="auto"/>
        </w:rPr>
      </w:pPr>
    </w:p>
    <w:p>
      <w:pPr>
        <w:jc w:val="both"/>
        <w:ind w:left="740" w:hanging="367"/>
        <w:spacing w:after="0" w:line="271"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loss due to riot or civil commotion outside the United States of America and Canada; or loss due to military, naval or usurped power, war or insurrection unless such loss occurs in transit in the circumstances recited in Insuring Agreement (D), and unless, when such transit was initiated, there was no knowledge of such riot, civil commotion, military, naval or usurped power, war or insurrection on the part of any person acting for the Insured in initiating such transit.</w:t>
      </w:r>
    </w:p>
    <w:p>
      <w:pPr>
        <w:spacing w:after="0" w:line="84" w:lineRule="exact"/>
        <w:rPr>
          <w:rFonts w:ascii="Arial" w:cs="Arial" w:eastAsia="Arial" w:hAnsi="Arial"/>
          <w:sz w:val="17"/>
          <w:szCs w:val="17"/>
          <w:color w:val="auto"/>
        </w:rPr>
      </w:pPr>
    </w:p>
    <w:p>
      <w:pPr>
        <w:jc w:val="both"/>
        <w:ind w:left="740" w:hanging="367"/>
        <w:spacing w:after="0" w:line="279"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loss, in time of peace or war, directly or indirectly caused by or resulting from the effects of nuclear fission or fusion or radioactivity; provided, however, that this paragraph shall not apply to loss resulting from industrial uses of nuclear energy.</w:t>
      </w:r>
    </w:p>
    <w:p>
      <w:pPr>
        <w:spacing w:after="0" w:line="76" w:lineRule="exact"/>
        <w:rPr>
          <w:rFonts w:ascii="Arial" w:cs="Arial" w:eastAsia="Arial" w:hAnsi="Arial"/>
          <w:sz w:val="17"/>
          <w:szCs w:val="17"/>
          <w:color w:val="auto"/>
        </w:rPr>
      </w:pPr>
    </w:p>
    <w:p>
      <w:pPr>
        <w:jc w:val="both"/>
        <w:ind w:left="740" w:hanging="367"/>
        <w:spacing w:after="0" w:line="291" w:lineRule="auto"/>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loss resulting from any wrongful act or acts of any person who is a member of the Board of Directors of the Insured or a member of any equivalent body by whatsoever name known unless such person is also an Employee or an elected official, partial owner or partner of the Insured in some other capacity, nor, in any event, loss resulting from the act or acts of any person while acting in the capacity of a member of such Board or equivalent body.</w:t>
      </w:r>
    </w:p>
    <w:p>
      <w:pPr>
        <w:spacing w:after="0" w:line="72" w:lineRule="exact"/>
        <w:rPr>
          <w:rFonts w:ascii="Arial" w:cs="Arial" w:eastAsia="Arial" w:hAnsi="Arial"/>
          <w:sz w:val="16"/>
          <w:szCs w:val="16"/>
          <w:color w:val="auto"/>
        </w:rPr>
      </w:pPr>
    </w:p>
    <w:p>
      <w:pPr>
        <w:jc w:val="both"/>
        <w:ind w:left="740" w:hanging="367"/>
        <w:spacing w:after="0" w:line="257"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resulting from the complete or partial non-payment of, or default upon, any loan or transaction in the nature of, or amounting to, a loan made by or obtained from the Insured or any of its partners, directors or Employees, whether authorized or unauthorized and whether procured in good</w:t>
      </w:r>
    </w:p>
    <w:p>
      <w:pPr>
        <w:spacing w:after="0" w:line="20" w:lineRule="exact"/>
        <w:rPr>
          <w:sz w:val="20"/>
          <w:szCs w:val="20"/>
          <w:color w:val="auto"/>
        </w:rPr>
      </w:pPr>
      <w:r>
        <w:rPr>
          <w:sz w:val="20"/>
          <w:szCs w:val="20"/>
          <w:color w:val="auto"/>
        </w:rPr>
        <w:br w:type="column"/>
      </w:r>
    </w:p>
    <w:p>
      <w:pPr>
        <w:ind w:left="348"/>
        <w:spacing w:after="0" w:line="308" w:lineRule="auto"/>
        <w:rPr>
          <w:sz w:val="20"/>
          <w:szCs w:val="20"/>
          <w:color w:val="auto"/>
        </w:rPr>
      </w:pPr>
      <w:r>
        <w:rPr>
          <w:rFonts w:ascii="Arial" w:cs="Arial" w:eastAsia="Arial" w:hAnsi="Arial"/>
          <w:sz w:val="17"/>
          <w:szCs w:val="17"/>
          <w:color w:val="auto"/>
        </w:rPr>
        <w:t>faith or through trick, artifice fraud or false pretenses, unless such loss is covered under Insuring Agreement (A), (E) or (F).</w:t>
      </w:r>
    </w:p>
    <w:p>
      <w:pPr>
        <w:spacing w:after="0" w:line="52" w:lineRule="exact"/>
        <w:rPr>
          <w:sz w:val="20"/>
          <w:szCs w:val="20"/>
          <w:color w:val="auto"/>
        </w:rPr>
      </w:pPr>
    </w:p>
    <w:p>
      <w:pPr>
        <w:ind w:left="368" w:hanging="368"/>
        <w:spacing w:after="0" w:line="277" w:lineRule="auto"/>
        <w:tabs>
          <w:tab w:leader="none" w:pos="368"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resulting from any violation by the Insured or by any Employee:</w:t>
      </w:r>
    </w:p>
    <w:p>
      <w:pPr>
        <w:spacing w:after="0" w:line="75" w:lineRule="exact"/>
        <w:rPr>
          <w:rFonts w:ascii="Arial" w:cs="Arial" w:eastAsia="Arial" w:hAnsi="Arial"/>
          <w:sz w:val="18"/>
          <w:szCs w:val="18"/>
          <w:color w:val="auto"/>
        </w:rPr>
      </w:pPr>
    </w:p>
    <w:p>
      <w:pPr>
        <w:jc w:val="both"/>
        <w:ind w:left="728" w:hanging="363"/>
        <w:spacing w:after="0" w:line="259" w:lineRule="auto"/>
        <w:tabs>
          <w:tab w:leader="none" w:pos="728" w:val="left"/>
        </w:tabs>
        <w:numPr>
          <w:ilvl w:val="1"/>
          <w:numId w:val="29"/>
        </w:numPr>
        <w:rPr>
          <w:rFonts w:ascii="Arial" w:cs="Arial" w:eastAsia="Arial" w:hAnsi="Arial"/>
          <w:sz w:val="18"/>
          <w:szCs w:val="18"/>
          <w:color w:val="auto"/>
        </w:rPr>
      </w:pPr>
      <w:r>
        <w:rPr>
          <w:rFonts w:ascii="Arial" w:cs="Arial" w:eastAsia="Arial" w:hAnsi="Arial"/>
          <w:sz w:val="18"/>
          <w:szCs w:val="18"/>
          <w:color w:val="auto"/>
        </w:rPr>
        <w:t>of law regulating (a) the issuance, purchase or sale of securities, (b) securities transactions upon Security Exchanges or over the counter market, (c) Investment Companies, or (d) Investment Advisors, or</w:t>
      </w:r>
    </w:p>
    <w:p>
      <w:pPr>
        <w:spacing w:after="0" w:line="92" w:lineRule="exact"/>
        <w:rPr>
          <w:rFonts w:ascii="Arial" w:cs="Arial" w:eastAsia="Arial" w:hAnsi="Arial"/>
          <w:sz w:val="18"/>
          <w:szCs w:val="18"/>
          <w:color w:val="auto"/>
        </w:rPr>
      </w:pPr>
    </w:p>
    <w:p>
      <w:pPr>
        <w:ind w:left="728" w:hanging="363"/>
        <w:spacing w:after="0"/>
        <w:tabs>
          <w:tab w:leader="none" w:pos="728" w:val="left"/>
        </w:tabs>
        <w:numPr>
          <w:ilvl w:val="1"/>
          <w:numId w:val="29"/>
        </w:numPr>
        <w:rPr>
          <w:rFonts w:ascii="Arial" w:cs="Arial" w:eastAsia="Arial" w:hAnsi="Arial"/>
          <w:sz w:val="17"/>
          <w:szCs w:val="17"/>
          <w:color w:val="auto"/>
        </w:rPr>
      </w:pPr>
      <w:r>
        <w:rPr>
          <w:rFonts w:ascii="Arial" w:cs="Arial" w:eastAsia="Arial" w:hAnsi="Arial"/>
          <w:sz w:val="17"/>
          <w:szCs w:val="17"/>
          <w:color w:val="auto"/>
        </w:rPr>
        <w:t>of any rule or regulation made pursuant to any such law.</w:t>
      </w:r>
    </w:p>
    <w:p>
      <w:pPr>
        <w:spacing w:after="0" w:line="129" w:lineRule="exact"/>
        <w:rPr>
          <w:sz w:val="20"/>
          <w:szCs w:val="20"/>
          <w:color w:val="auto"/>
        </w:rPr>
      </w:pPr>
    </w:p>
    <w:p>
      <w:pPr>
        <w:ind w:left="348"/>
        <w:spacing w:after="0" w:line="342" w:lineRule="auto"/>
        <w:rPr>
          <w:sz w:val="20"/>
          <w:szCs w:val="20"/>
          <w:color w:val="auto"/>
        </w:rPr>
      </w:pPr>
      <w:r>
        <w:rPr>
          <w:rFonts w:ascii="Arial" w:cs="Arial" w:eastAsia="Arial" w:hAnsi="Arial"/>
          <w:sz w:val="16"/>
          <w:szCs w:val="16"/>
          <w:color w:val="auto"/>
        </w:rPr>
        <w:t>unless such loss, in the absence of such laws, rules or regulations, would be covered under Insuring Agreements (A) or (E).</w:t>
      </w:r>
    </w:p>
    <w:p>
      <w:pPr>
        <w:spacing w:after="0" w:line="29" w:lineRule="exact"/>
        <w:rPr>
          <w:sz w:val="20"/>
          <w:szCs w:val="20"/>
          <w:color w:val="auto"/>
        </w:rPr>
      </w:pPr>
    </w:p>
    <w:p>
      <w:pPr>
        <w:jc w:val="both"/>
        <w:ind w:left="368" w:hanging="368"/>
        <w:spacing w:after="0" w:line="274" w:lineRule="auto"/>
        <w:tabs>
          <w:tab w:leader="none" w:pos="368"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loss of Property or loss of privileges through the misplacement or loss of Property as set forth in Insuring Agreement (C) or</w:t>
      </w:r>
    </w:p>
    <w:p>
      <w:pPr>
        <w:jc w:val="both"/>
        <w:ind w:left="368" w:hanging="3"/>
        <w:spacing w:after="0" w:line="265" w:lineRule="auto"/>
        <w:tabs>
          <w:tab w:leader="none" w:pos="687" w:val="left"/>
        </w:tabs>
        <w:numPr>
          <w:ilvl w:val="1"/>
          <w:numId w:val="30"/>
        </w:numPr>
        <w:rPr>
          <w:rFonts w:ascii="Arial" w:cs="Arial" w:eastAsia="Arial" w:hAnsi="Arial"/>
          <w:sz w:val="17"/>
          <w:szCs w:val="17"/>
          <w:color w:val="auto"/>
        </w:rPr>
      </w:pPr>
      <w:r>
        <w:rPr>
          <w:rFonts w:ascii="Arial" w:cs="Arial" w:eastAsia="Arial" w:hAnsi="Arial"/>
          <w:sz w:val="17"/>
          <w:szCs w:val="17"/>
          <w:color w:val="auto"/>
        </w:rPr>
        <w:t>while the Property is in the custody of any armored motor vehicle company, unless such loss shall be in excess of the amount recovered or received by the Insured under (a) the Insured’s contract with said armored motor vehicle company,</w:t>
      </w:r>
    </w:p>
    <w:p>
      <w:pPr>
        <w:jc w:val="both"/>
        <w:ind w:left="368"/>
        <w:spacing w:after="0" w:line="292" w:lineRule="auto"/>
        <w:rPr>
          <w:rFonts w:ascii="Arial" w:cs="Arial" w:eastAsia="Arial" w:hAnsi="Arial"/>
          <w:sz w:val="17"/>
          <w:szCs w:val="17"/>
          <w:color w:val="auto"/>
        </w:rPr>
      </w:pPr>
      <w:r>
        <w:rPr>
          <w:rFonts w:ascii="Arial" w:cs="Arial" w:eastAsia="Arial" w:hAnsi="Arial"/>
          <w:sz w:val="16"/>
          <w:szCs w:val="16"/>
          <w:color w:val="auto"/>
        </w:rPr>
        <w:t>(b) insurance carried by said armored motor vehicle company for the benefit of users of its service, and (c) all other insurance and indemnity in force in whatsoever form carried by or for the benefit of users of said armored motor vehicle company’s service, and then this bond shall cover only such excess.</w:t>
      </w:r>
    </w:p>
    <w:p>
      <w:pPr>
        <w:spacing w:after="0" w:line="68" w:lineRule="exact"/>
        <w:rPr>
          <w:rFonts w:ascii="Arial" w:cs="Arial" w:eastAsia="Arial" w:hAnsi="Arial"/>
          <w:sz w:val="17"/>
          <w:szCs w:val="17"/>
          <w:color w:val="auto"/>
        </w:rPr>
      </w:pPr>
    </w:p>
    <w:p>
      <w:pPr>
        <w:jc w:val="both"/>
        <w:ind w:left="368" w:hanging="368"/>
        <w:spacing w:after="0" w:line="288" w:lineRule="auto"/>
        <w:tabs>
          <w:tab w:leader="none" w:pos="368"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potential income, including but not limited to interest and dividends, not realized by the Insured because of a loss covered under this bond, except as included under Insuring Agreement</w:t>
      </w:r>
    </w:p>
    <w:p>
      <w:pPr>
        <w:spacing w:after="0"/>
        <w:tabs>
          <w:tab w:leader="none" w:pos="0" w:val="left"/>
        </w:tabs>
        <w:numPr>
          <w:ilvl w:val="1"/>
          <w:numId w:val="31"/>
        </w:numPr>
        <w:rPr>
          <w:rFonts w:ascii="Arial" w:cs="Arial" w:eastAsia="Arial" w:hAnsi="Arial"/>
          <w:sz w:val="18"/>
          <w:szCs w:val="18"/>
          <w:color w:val="auto"/>
        </w:rPr>
      </w:pPr>
    </w:p>
    <w:p>
      <w:pPr>
        <w:spacing w:after="0" w:line="116" w:lineRule="exact"/>
        <w:rPr>
          <w:rFonts w:ascii="Arial" w:cs="Arial" w:eastAsia="Arial" w:hAnsi="Arial"/>
          <w:sz w:val="18"/>
          <w:szCs w:val="18"/>
          <w:color w:val="auto"/>
        </w:rPr>
      </w:pPr>
    </w:p>
    <w:p>
      <w:pPr>
        <w:jc w:val="both"/>
        <w:ind w:left="368" w:right="20" w:hanging="368"/>
        <w:spacing w:after="0" w:line="264" w:lineRule="auto"/>
        <w:tabs>
          <w:tab w:leader="none" w:pos="3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damages of any type for which the Insured is legally liable, except direct compensatory damages arising from a loss covered under this bond.</w:t>
      </w:r>
    </w:p>
    <w:p>
      <w:pPr>
        <w:spacing w:after="0" w:line="86" w:lineRule="exact"/>
        <w:rPr>
          <w:rFonts w:ascii="Arial" w:cs="Arial" w:eastAsia="Arial" w:hAnsi="Arial"/>
          <w:sz w:val="18"/>
          <w:szCs w:val="18"/>
          <w:color w:val="auto"/>
        </w:rPr>
      </w:pPr>
    </w:p>
    <w:p>
      <w:pPr>
        <w:ind w:left="368" w:right="20" w:hanging="368"/>
        <w:spacing w:after="0" w:line="277" w:lineRule="auto"/>
        <w:tabs>
          <w:tab w:leader="none" w:pos="368"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through the surrender of Property away from an office of the Insured as a result of a threat:</w:t>
      </w:r>
    </w:p>
    <w:p>
      <w:pPr>
        <w:spacing w:after="0" w:line="76" w:lineRule="exact"/>
        <w:rPr>
          <w:sz w:val="20"/>
          <w:szCs w:val="20"/>
          <w:color w:val="auto"/>
        </w:rPr>
      </w:pPr>
    </w:p>
    <w:p>
      <w:pPr>
        <w:jc w:val="both"/>
        <w:ind w:left="728" w:right="20" w:hanging="363"/>
        <w:spacing w:after="0" w:line="302" w:lineRule="auto"/>
        <w:tabs>
          <w:tab w:leader="none" w:pos="72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200" w:lineRule="exact"/>
        <w:rPr>
          <w:sz w:val="20"/>
          <w:szCs w:val="20"/>
          <w:color w:val="auto"/>
        </w:rPr>
      </w:pPr>
    </w:p>
    <w:p>
      <w:pPr>
        <w:sectPr>
          <w:pgSz w:w="11900" w:h="16838" w:orient="portrait"/>
          <w:cols w:equalWidth="0" w:num="2">
            <w:col w:w="5480" w:space="712"/>
            <w:col w:w="5108"/>
          </w:cols>
          <w:pgMar w:left="240" w:top="328" w:right="359" w:bottom="1440" w:gutter="0" w:footer="0" w:header="0"/>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6 of 12</w:t>
            </w:r>
          </w:p>
        </w:tc>
      </w:tr>
    </w:tbl>
    <w:p>
      <w:pPr>
        <w:ind w:left="220" w:hanging="212"/>
        <w:spacing w:after="0"/>
        <w:tabs>
          <w:tab w:leader="none" w:pos="220" w:val="left"/>
        </w:tabs>
        <w:numPr>
          <w:ilvl w:val="0"/>
          <w:numId w:val="34"/>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10" w:name="page11"/>
    <w:bookmarkEnd w:id="10"/>
    <w:p>
      <w:pPr>
        <w:ind w:left="1100" w:right="20" w:hanging="363"/>
        <w:spacing w:after="0" w:line="308" w:lineRule="auto"/>
        <w:tabs>
          <w:tab w:leader="none" w:pos="11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to do damage to the premises or Property of the Insured, except when covered under Insuring Agreement (A).</w:t>
      </w:r>
    </w:p>
    <w:p>
      <w:pPr>
        <w:spacing w:after="0" w:line="51" w:lineRule="exact"/>
        <w:rPr>
          <w:rFonts w:ascii="Arial" w:cs="Arial" w:eastAsia="Arial" w:hAnsi="Arial"/>
          <w:sz w:val="17"/>
          <w:szCs w:val="17"/>
          <w:color w:val="auto"/>
        </w:rPr>
      </w:pPr>
    </w:p>
    <w:p>
      <w:pPr>
        <w:jc w:val="both"/>
        <w:ind w:left="740" w:hanging="367"/>
        <w:spacing w:after="0" w:line="259"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costs, fees and other expenses incurred by the Insured in establishing the existence of or amount of loss covered under this bond unless such indemnity is provided for under Insuring Agreement (B).</w:t>
      </w:r>
    </w:p>
    <w:p>
      <w:pPr>
        <w:spacing w:after="0" w:line="92" w:lineRule="exact"/>
        <w:rPr>
          <w:rFonts w:ascii="Arial" w:cs="Arial" w:eastAsia="Arial" w:hAnsi="Arial"/>
          <w:sz w:val="18"/>
          <w:szCs w:val="18"/>
          <w:color w:val="auto"/>
        </w:rPr>
      </w:pPr>
    </w:p>
    <w:p>
      <w:pPr>
        <w:jc w:val="both"/>
        <w:ind w:left="740" w:hanging="367"/>
        <w:spacing w:after="0" w:line="290" w:lineRule="auto"/>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loss resulting from payments made or withdrawals from the account of a customer of the Insured, shareholder or subscriber to shares involving funds erroneously credited to such account, unless such payments are made to or withdrawn by such depositors or representative of such person, who is within the premises of the drawee bank of the Insured or within the office of the Insured at the time of such payment or withdrawal or unless such payment is covered under Insuring Agreement (A).</w:t>
      </w:r>
    </w:p>
    <w:p>
      <w:pPr>
        <w:spacing w:after="0" w:line="71" w:lineRule="exact"/>
        <w:rPr>
          <w:rFonts w:ascii="Arial" w:cs="Arial" w:eastAsia="Arial" w:hAnsi="Arial"/>
          <w:sz w:val="16"/>
          <w:szCs w:val="16"/>
          <w:color w:val="auto"/>
        </w:rPr>
      </w:pPr>
    </w:p>
    <w:p>
      <w:pPr>
        <w:jc w:val="both"/>
        <w:ind w:left="740" w:hanging="367"/>
        <w:spacing w:after="0" w:line="302" w:lineRule="auto"/>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loss resulting from Uncollectible Items of Deposit which are drawn from a financial institution outside the fifty states of the United States of America, District of Columbia, and territories and possessions of the United States of America, and Canada.</w:t>
      </w:r>
    </w:p>
    <w:p>
      <w:pPr>
        <w:spacing w:after="0" w:line="4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ASSIGNMENT OF RIGHTS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bond does not afford coverage in favor of any Employers of temporary personnel or of processors as set forth in sub-sections (6) and (7) of Section 1(a) of this bond, as aforesaid, and upon payment to the Insured by the Underwriter on account of any loss through dishonest or fraudulent act(s) including Larceny or Embezzlement committed by any of the partners, officers or employees of such Employers, whether acting alone or in collusion with others, an assignment of such of the Insured’s rights and causes of action as it may have against such Employers by reason of such acts so committed shall, to the extent of such payment, be given by the Insured to the Underwriter, and the Insured shall execute all papers necessary to secure to the Underwriter the rights herein provided for.</w:t>
      </w:r>
    </w:p>
    <w:p>
      <w:pPr>
        <w:spacing w:after="0" w:line="6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LOSS - NOTICE - PROOF - LEGAL PROCEEDINGS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bond is for the use and benefit only of the Insured named in the Declarations and the Underwriter shall not be liable hereunder for loss sustained by anyone other than the Insured unless the Insured, in its sole discretion and at its option, shall include such loss in the Insured’s proof of loss. At the earliest practicable moment after discovery of any loss hereunder the Insured shall give the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ICB005 Ed. 7-04</w:t>
      </w:r>
    </w:p>
    <w:p>
      <w:pPr>
        <w:spacing w:after="0" w:line="23"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pacing w:after="0" w:line="20" w:lineRule="exact"/>
        <w:rPr>
          <w:sz w:val="20"/>
          <w:szCs w:val="20"/>
          <w:color w:val="auto"/>
        </w:rPr>
      </w:pPr>
      <w:r>
        <w:rPr>
          <w:sz w:val="20"/>
          <w:szCs w:val="20"/>
          <w:color w:val="auto"/>
        </w:rPr>
        <w:br w:type="column"/>
      </w:r>
    </w:p>
    <w:p>
      <w:pPr>
        <w:jc w:val="both"/>
        <w:ind w:left="300"/>
        <w:spacing w:after="0" w:line="284" w:lineRule="auto"/>
        <w:rPr>
          <w:sz w:val="20"/>
          <w:szCs w:val="20"/>
          <w:color w:val="auto"/>
        </w:rPr>
      </w:pPr>
      <w:r>
        <w:rPr>
          <w:rFonts w:ascii="Arial" w:cs="Arial" w:eastAsia="Arial" w:hAnsi="Arial"/>
          <w:sz w:val="16"/>
          <w:szCs w:val="16"/>
          <w:color w:val="auto"/>
        </w:rPr>
        <w:t>Underwriter written notice thereof and shall also within six months after such discovery furnish to the Underwriter affirmative proof of loss with full particulars. If claim is made under this bond for loss of securities or shares, the Underwriter shall not be liable unless each of such securities or shares is identified in such proof of loss by a certificate or bond number or, where such securities or shares are uncertificated, by such identification means as agreed to by the Underwriter. The Underwriter shall have thirty days after notice and proof of loss within which to investigate the claim, but where the loss is clear and undisputed, settlement shall be made within forty-eight hours; and this shall apply notwithstanding the loss is made up wholly or in part of securities of which duplicates may be obtained. Legal proceedings for recovery of any loss hereunder shall not be brought prior to the expiration of sixty days after such proof of loss is filed with the Underwriter nor after the expiration of twenty-four months from the discovery of such loss, except that any action or proceedings to recover hereunder on account of any judgment against the Insur ed in any suit mentioned in General Agreement C or to recover attorneys’ fees paid in any such suit, shall be begun within twenty- four months from the date upon which the judgment in such suit shall become final. If any limitation embodied in this bond is prohibited by any law controlling the construction hereof, such limitation shall be deemed to be amended so as to be equal to the minimum period of limitation permitted by such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-3160395</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Discovery occurs when the Insured:</w:t>
      </w:r>
    </w:p>
    <w:p>
      <w:pPr>
        <w:spacing w:after="0" w:line="131" w:lineRule="exact"/>
        <w:rPr>
          <w:sz w:val="20"/>
          <w:szCs w:val="20"/>
          <w:color w:val="auto"/>
        </w:rPr>
      </w:pPr>
    </w:p>
    <w:p>
      <w:pPr>
        <w:ind w:left="1040" w:hanging="368"/>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becomes aware of facts, or</w:t>
      </w:r>
    </w:p>
    <w:p>
      <w:pPr>
        <w:spacing w:after="0" w:line="130" w:lineRule="exact"/>
        <w:rPr>
          <w:rFonts w:ascii="Arial" w:cs="Arial" w:eastAsia="Arial" w:hAnsi="Arial"/>
          <w:sz w:val="18"/>
          <w:szCs w:val="18"/>
          <w:color w:val="auto"/>
        </w:rPr>
      </w:pPr>
    </w:p>
    <w:p>
      <w:pPr>
        <w:jc w:val="both"/>
        <w:ind w:left="1040" w:hanging="368"/>
        <w:spacing w:after="0" w:line="342" w:lineRule="auto"/>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receives written notice of an actual or potential claim by a third party which alleges that the Insured is liable under circumstances,</w:t>
      </w:r>
    </w:p>
    <w:p>
      <w:pPr>
        <w:spacing w:after="0" w:line="16" w:lineRule="exact"/>
        <w:rPr>
          <w:sz w:val="20"/>
          <w:szCs w:val="20"/>
          <w:color w:val="auto"/>
        </w:rPr>
      </w:pPr>
    </w:p>
    <w:p>
      <w:pPr>
        <w:jc w:val="both"/>
        <w:ind w:left="300"/>
        <w:spacing w:after="0" w:line="264" w:lineRule="auto"/>
        <w:rPr>
          <w:sz w:val="20"/>
          <w:szCs w:val="20"/>
          <w:color w:val="auto"/>
        </w:rPr>
      </w:pPr>
      <w:r>
        <w:rPr>
          <w:rFonts w:ascii="Arial" w:cs="Arial" w:eastAsia="Arial" w:hAnsi="Arial"/>
          <w:sz w:val="18"/>
          <w:szCs w:val="18"/>
          <w:color w:val="auto"/>
        </w:rPr>
        <w:t>which would cause a reasonable person to assume that a loss covered by the bond has been or will be incurred even though the exact amount or details of loss may not be then known.</w:t>
      </w:r>
    </w:p>
    <w:p>
      <w:pPr>
        <w:spacing w:after="0" w:line="73" w:lineRule="exact"/>
        <w:rPr>
          <w:sz w:val="20"/>
          <w:szCs w:val="20"/>
          <w:color w:val="auto"/>
        </w:rPr>
      </w:pPr>
    </w:p>
    <w:p>
      <w:pPr>
        <w:ind w:left="300"/>
        <w:spacing w:after="0"/>
        <w:tabs>
          <w:tab w:leader="none" w:pos="14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VALUATION OF PROPERTY</w:t>
      </w:r>
    </w:p>
    <w:p>
      <w:pPr>
        <w:spacing w:after="0" w:line="117" w:lineRule="exact"/>
        <w:rPr>
          <w:sz w:val="20"/>
          <w:szCs w:val="20"/>
          <w:color w:val="auto"/>
        </w:rPr>
      </w:pPr>
    </w:p>
    <w:p>
      <w:pPr>
        <w:jc w:val="both"/>
        <w:ind w:left="300"/>
        <w:spacing w:after="0" w:line="271" w:lineRule="auto"/>
        <w:rPr>
          <w:sz w:val="20"/>
          <w:szCs w:val="20"/>
          <w:color w:val="auto"/>
        </w:rPr>
      </w:pPr>
      <w:r>
        <w:rPr>
          <w:rFonts w:ascii="Arial" w:cs="Arial" w:eastAsia="Arial" w:hAnsi="Arial"/>
          <w:sz w:val="17"/>
          <w:szCs w:val="17"/>
          <w:color w:val="auto"/>
        </w:rPr>
        <w:t>The value of any Property, except books of accounts or other records used by the Insured in the conduct of its business, for the loss of which a claim shall be made hereunder, shall be determined by the average market value of such Property on the business day next preceding the discovery of such loss; provided, however, that the value of any Property replaced by the Insured prior to the payment of claim therefor shall be the actual market value at the time of replacement; and further provided that in case of a loss or misplacement of interim certificates, warrants,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7 of 12</w:t>
      </w:r>
    </w:p>
    <w:p>
      <w:pPr>
        <w:sectPr>
          <w:pgSz w:w="11900" w:h="16838" w:orient="portrait"/>
          <w:cols w:equalWidth="0" w:num="2">
            <w:col w:w="5480" w:space="40"/>
            <w:col w:w="5780"/>
          </w:cols>
          <w:pgMar w:left="240" w:top="328" w:right="359" w:bottom="1440" w:gutter="0" w:footer="0" w:header="0"/>
        </w:sectPr>
      </w:pPr>
    </w:p>
    <w:bookmarkStart w:id="11" w:name="page12"/>
    <w:bookmarkEnd w:id="11"/>
    <w:p>
      <w:pPr>
        <w:jc w:val="both"/>
        <w:spacing w:after="0" w:line="272" w:lineRule="auto"/>
        <w:rPr>
          <w:sz w:val="20"/>
          <w:szCs w:val="20"/>
          <w:color w:val="auto"/>
        </w:rPr>
      </w:pPr>
      <w:r>
        <w:rPr>
          <w:rFonts w:ascii="Arial" w:cs="Arial" w:eastAsia="Arial" w:hAnsi="Arial"/>
          <w:sz w:val="17"/>
          <w:szCs w:val="17"/>
          <w:color w:val="auto"/>
        </w:rPr>
        <w:t>rights, or other securities, the production of which is necessary to the exercise of subscription, conversion, redemption or deposit privileges, the value thereof shall be the market value of such privileges immediately preceding the expiration thereof if said loss or misplacement is not discovered until after their expiration. If no market price is quoted for such Property or for such privileges, the value shall be fixed by agreement between the parties or by arbitration.</w:t>
      </w:r>
    </w:p>
    <w:p>
      <w:pPr>
        <w:spacing w:after="0" w:line="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case of any loss or damage to Property consisting of books of accounts or other records used by the Insured in the conduct of its business, the Underwriter shall be liable under this bond only if such books or records are actually reproduced and then for not more than the cost of blank books, blank pages or other materials plus the cost of labor for the actual transcription or copying of data which shall have been furnished by the Insured in order to reproduce such books and other records.</w:t>
      </w:r>
    </w:p>
    <w:p>
      <w:pPr>
        <w:spacing w:after="0" w:line="5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VALUATION OF PREMISES AND FURNISHINGS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case of damage to any office of the Insured, or loss of or damage to the furnishings, fixtures, stationery, supplies, equipment, safes or vaults therein, the Underwriter shall not be liable for more than the actual cash value thereof, or for more than the actual cost of their replacement or repair. The Underwriter may, at its election, pay such actual cash value or make such replacement or repair. If the underwriter and the Insured cannot agree upon such cash value or such cost of replacement or repair, such shall be determined by arbitration.</w:t>
      </w:r>
    </w:p>
    <w:p>
      <w:pPr>
        <w:spacing w:after="0" w:line="7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color w:val="auto"/>
        </w:rPr>
        <w:t>LOST SECURITIES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Insured shall sustain a loss of securities the total value of which is in excess of the limit stated in Item 3 of the Declarations of this bond, the liability of the Underwriter shall be limited to payment for, or duplication of, securities having value equal to the limit stated in Item 3 of the Declarations of this bond.</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Underwriter shall make payment to the Insured for any loss of securities, the Insured shall thereupon assign to the Underwriter all of the Insured’s rights, title and interest in and to said securities.</w:t>
      </w:r>
    </w:p>
    <w:p>
      <w:pPr>
        <w:spacing w:after="0" w:line="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With respect to securities the value of which do not exceed the Deductible Amount (at the time of the discovery of the loss) and for which the Underwriter may at its sole discretion and option and at the request of the Insured issue a Lost Instrument Bond or Bonds to effect replacement thereof, the Insured will pay the usual premium charged therefor and will</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indemnify the Underwriter against all loss or expense that the Underwriter may sustain because of the issuance of such Lost Instrument Bond or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-552450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 respect to securities the value of which exceeds the Deductible Amount (at the time of discovery of the loss) and for which the Underwriter may issue or arrange for the issuance of a Lost Instrument Bond or Bonds to effect replacement thereof, the Insured agrees that it will pay as premium therefor a proportion of the usual premium charged therefor, said proportion being equal to the percentage that the Deductible Amount bears to the value of the securities upon discovery of the loss, and that it will indemnify the issuer of said Lost Instrument Bond or Bonds against all loss and expense that is not recoverable from the Underwriter under the terms and conditions of this Investment Company Blanket Bond subject to the Limit of Liability hereunder.</w:t>
      </w:r>
    </w:p>
    <w:p>
      <w:pPr>
        <w:spacing w:after="0" w:line="7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color w:val="auto"/>
        </w:rPr>
        <w:t>SALVAGE</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case of recovery, whether made by the Insured or by the Underwriter, on account of any loss in excess of the Limit of Liability hereunder plus the Deductible Amount applicable to such loss, from any source other than suretyship, insurance, reinsurance, security or indemnity taken by or for the benefit of the Underwriter, the net amount of such recovery, less the actual costs and expenses of making same, shall be applied to reimburse the Insured in full for the excess portion of such loss, and the remainder, if any, shall be paid first in reimbursement of the Underwriter and thereafter in reimbursement of the Insured for that part of such loss within the Deductible Amount. The Insured shall execute all necessary papers to secure to the Underwriter the rights provided for herein.</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9. NON-REDUCTION AND NON - ACCUMULATION OF LIABILITY AND TOTAL LIABILITY</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all times prior to termination hereof, this bond shall continue in force for the limit stated in the applicable sections of Item 3 of the Declarations of this bond notwithstanding any previous loss for which the Underwriter may have paid or be liable to pay hereunder; PROVIDED, however, that regardless of the number of years this bond shall continue in force and the number or premiums which shall be payable or paid, the liability of the Underwriter under this bond with respect to all loss resulting from:</w:t>
      </w:r>
    </w:p>
    <w:p>
      <w:pPr>
        <w:spacing w:after="0" w:line="83" w:lineRule="exact"/>
        <w:rPr>
          <w:sz w:val="20"/>
          <w:szCs w:val="20"/>
          <w:color w:val="auto"/>
        </w:rPr>
      </w:pPr>
    </w:p>
    <w:p>
      <w:pPr>
        <w:jc w:val="both"/>
        <w:ind w:left="740" w:hanging="368"/>
        <w:spacing w:after="0" w:line="264"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one act of burglary, robbery or holdup, or attempt thereat, in which no Partner or Employee is concerned or implicated shall be deemed to be one loss, or</w:t>
      </w:r>
    </w:p>
    <w:p>
      <w:pPr>
        <w:spacing w:after="0" w:line="86" w:lineRule="exact"/>
        <w:rPr>
          <w:rFonts w:ascii="Arial" w:cs="Arial" w:eastAsia="Arial" w:hAnsi="Arial"/>
          <w:sz w:val="18"/>
          <w:szCs w:val="18"/>
          <w:color w:val="auto"/>
        </w:rPr>
      </w:pPr>
    </w:p>
    <w:p>
      <w:pPr>
        <w:jc w:val="both"/>
        <w:ind w:left="740" w:hanging="368"/>
        <w:spacing w:after="0" w:line="286"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one unintentional or negligent act on the part of any other person resulting in damage to or destruction or misplacement of Property, shall be deemed to be one loss, or</w:t>
      </w:r>
    </w:p>
    <w:p>
      <w:pPr>
        <w:spacing w:after="0" w:line="200" w:lineRule="exact"/>
        <w:rPr>
          <w:sz w:val="20"/>
          <w:szCs w:val="20"/>
          <w:color w:val="auto"/>
        </w:rPr>
      </w:pPr>
    </w:p>
    <w:p>
      <w:pPr>
        <w:sectPr>
          <w:pgSz w:w="11900" w:h="16838" w:orient="portrait"/>
          <w:cols w:equalWidth="0" w:num="2">
            <w:col w:w="5480" w:space="340"/>
            <w:col w:w="5480"/>
          </w:cols>
          <w:pgMar w:left="240" w:top="328" w:right="359" w:bottom="1440" w:gutter="0" w:footer="0" w:header="0"/>
        </w:sectPr>
      </w:pP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8 of 12</w:t>
            </w:r>
          </w:p>
        </w:tc>
      </w:tr>
    </w:tbl>
    <w:p>
      <w:pPr>
        <w:ind w:left="220" w:hanging="212"/>
        <w:spacing w:after="0"/>
        <w:tabs>
          <w:tab w:leader="none" w:pos="220" w:val="left"/>
        </w:tabs>
        <w:numPr>
          <w:ilvl w:val="0"/>
          <w:numId w:val="40"/>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12" w:name="page13"/>
    <w:bookmarkEnd w:id="12"/>
    <w:p>
      <w:pPr>
        <w:ind w:left="740" w:right="20" w:hanging="367"/>
        <w:spacing w:after="0" w:line="277"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wrongful acts, other than those specified in (a) above, of any one person shall be deemed to be one loss, or</w:t>
      </w:r>
    </w:p>
    <w:p>
      <w:pPr>
        <w:spacing w:after="0" w:line="75" w:lineRule="exact"/>
        <w:rPr>
          <w:rFonts w:ascii="Arial" w:cs="Arial" w:eastAsia="Arial" w:hAnsi="Arial"/>
          <w:sz w:val="18"/>
          <w:szCs w:val="18"/>
          <w:color w:val="auto"/>
        </w:rPr>
      </w:pPr>
    </w:p>
    <w:p>
      <w:pPr>
        <w:jc w:val="both"/>
        <w:ind w:left="740" w:hanging="367"/>
        <w:spacing w:after="0" w:line="253"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wrongful acts, other than those specified in (a) above, of one or more persons (which dishonest act(s) or act(s) of Larceny or Embezzlement include, but are not limited to, the failure of an Employee to report such acts of others) whose dishonest act or acts intentionally or unintentionally, knowingly or unknowingly, directly or indirectly, aid or aids in any way, or permits the continuation of, the dishonest act or acts of any other person or persons shall be deemed to be one loss with the act or acts of the persons aided, or</w:t>
      </w:r>
    </w:p>
    <w:p>
      <w:pPr>
        <w:spacing w:after="0" w:line="20" w:lineRule="exact"/>
        <w:rPr>
          <w:sz w:val="20"/>
          <w:szCs w:val="20"/>
          <w:color w:val="auto"/>
        </w:rPr>
      </w:pPr>
      <w:r>
        <w:rPr>
          <w:sz w:val="20"/>
          <w:szCs w:val="20"/>
          <w:color w:val="auto"/>
        </w:rPr>
        <w:br w:type="column"/>
      </w:r>
    </w:p>
    <w:p>
      <w:pPr>
        <w:jc w:val="both"/>
        <w:spacing w:after="0" w:line="284" w:lineRule="auto"/>
        <w:rPr>
          <w:sz w:val="20"/>
          <w:szCs w:val="20"/>
          <w:color w:val="auto"/>
        </w:rPr>
      </w:pPr>
      <w:r>
        <w:rPr>
          <w:rFonts w:ascii="Arial" w:cs="Arial" w:eastAsia="Arial" w:hAnsi="Arial"/>
          <w:sz w:val="16"/>
          <w:szCs w:val="16"/>
          <w:color w:val="auto"/>
        </w:rPr>
        <w:t>The Underwriter shall not be liable under any of the Insuring Agreements of this bond on account of loss as specified, respectively, in sub-sections (a), (b), (c), (d) and (e) of Section 9, NON-REDUCTION AND NON-ACCUMULATION OF LIABILITY AND TOTAL LIABILITY, unless the amount of such loss, after deducting the net amount of all reimbursement and/or recovery obtained or made by the Insured, other than from any bond or policy of insurance issued by an insurance company and covering such loss, or by the Underwriter on account thereof prior to payment by the Underwriter of such loss, shall exceed the Deductible Amount set forth in Item 3 of the Declarations hereof (herein called Deductible Amount), and then for such excess only, but in no event for more than the applicable Limit of Liability stated in Item 3 of the Declarations.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-1778000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 w:lineRule="exact"/>
        <w:rPr>
          <w:sz w:val="20"/>
          <w:szCs w:val="20"/>
          <w:color w:val="auto"/>
        </w:rPr>
      </w:pPr>
    </w:p>
    <w:p>
      <w:pPr>
        <w:sectPr>
          <w:pgSz w:w="11900" w:h="16838" w:orient="portrait"/>
          <w:cols w:equalWidth="0" w:num="2">
            <w:col w:w="5480" w:space="340"/>
            <w:col w:w="5480"/>
          </w:cols>
          <w:pgMar w:left="240" w:top="328" w:right="359" w:bottom="1440" w:gutter="0" w:footer="0" w:header="0"/>
        </w:sectPr>
      </w:pPr>
    </w:p>
    <w:p>
      <w:pPr>
        <w:ind w:left="740" w:hanging="367"/>
        <w:spacing w:after="0"/>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one casualty or event other than those specified in (a), (b),</w:t>
      </w:r>
    </w:p>
    <w:p>
      <w:pPr>
        <w:spacing w:after="0" w:line="34" w:lineRule="exact"/>
        <w:rPr>
          <w:rFonts w:ascii="Arial" w:cs="Arial" w:eastAsia="Arial" w:hAnsi="Arial"/>
          <w:sz w:val="17"/>
          <w:szCs w:val="17"/>
          <w:color w:val="auto"/>
        </w:rPr>
      </w:pPr>
    </w:p>
    <w:p>
      <w:pPr>
        <w:ind w:left="740"/>
        <w:spacing w:after="0"/>
        <w:rPr>
          <w:rFonts w:ascii="Arial" w:cs="Arial" w:eastAsia="Arial" w:hAnsi="Arial"/>
          <w:sz w:val="17"/>
          <w:szCs w:val="17"/>
          <w:color w:val="auto"/>
        </w:rPr>
      </w:pPr>
      <w:r>
        <w:rPr>
          <w:rFonts w:ascii="Arial" w:cs="Arial" w:eastAsia="Arial" w:hAnsi="Arial"/>
          <w:sz w:val="18"/>
          <w:szCs w:val="18"/>
          <w:color w:val="auto"/>
        </w:rPr>
        <w:t>(c) or (d) preceding, shall be deemed to be one loss, and</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shall be limited to the applicable Limit of Liability stated in Item 3 of the Declarations of this bond irrespective of the total amount of such loss or losses and shall not be cumulative in amounts from year to year or from period to period.</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Sub-section (c) is not applicable to any situation to which the language of sub-section (d) applies.</w:t>
      </w:r>
    </w:p>
    <w:p>
      <w:pPr>
        <w:spacing w:after="0" w:line="6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10.</w:t>
        <w:tab/>
        <w:t>LIMIT OF LIABILITY</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 respect to any loss set forth in the PROVIDED clause of Section 9 of this bond which is recoverable or recovered in whole or in part under any other bonds or policies issued by the Underwriter to the Insured or to any predecessor in interest of the Insured and terminated or cancelled or allowed to expire and in which the period of discovery has not expired at the time any such loss thereunder is discovered, the total liability of the Underwriter under this bond and under other bonds or policies shall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7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color w:val="auto"/>
        </w:rPr>
        <w:t>OTHER INSURANCE</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the Insured shall hold, as indemnity against any loss covered hereunder, any valid and enforceable insurance or suretyship, the Underwriter shall be liable hereunder only for such amount of such loss which is in excess of the amount of such other insurance or suretyship, not exceeding, however, the Limit of Liability of this bond applicable to such loss.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Insured will bear, in addition to the Deductible Amount, premiums on Lost Instrument Bonds as set forth in Section 7.</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shall be no deductible applicable to any loss under Insuring Agreement A sustained by any Investment Company named as Insured herein.</w:t>
      </w:r>
    </w:p>
    <w:p>
      <w:pPr>
        <w:spacing w:after="0" w:line="7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color w:val="auto"/>
        </w:rPr>
        <w:t>TERMINATION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Underwriter may terminate this bond as an entirety by furnishing written notice specifying the termination date, which cannot be prior to 60 days after the receipt of such written notice by each Investment Company named as Insured and the Securities and Exchange Commission, Washington, D.C. The Insured may terminate this bond as an entirety by furnishing written notice to the Underwriter. When the Insured cancels, the Insured shall furnish written notice to the Securities and Exchange Commission, Washington, D.C., prior to 60 days before the effective date of the termination. The Underwriter shall notify all other Investment Companies named as Insured of the receipt of such termination notice and the termination cannot be effective prior to 60 days after receipt of written notice by all other Investment Companies. Premiums are earned until the termination date as set forth herein.</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Bond will terminate as to any one Insured immediately upon taking over of such Insured by a receiver or other liquidator or by State or Federal officials, or immediately upon the filing of a petition under any State or Federal statute relative to bankruptcy or reorganization of the Insured, or assignment for the benefit of creditors of the Insured, or immediately upon such Insured ceasing to exist, whether through merger into another entity, or by disposition of all of its assets.</w:t>
      </w:r>
    </w:p>
    <w:p>
      <w:pPr>
        <w:spacing w:after="0" w:line="204" w:lineRule="exact"/>
        <w:rPr>
          <w:sz w:val="20"/>
          <w:szCs w:val="20"/>
          <w:color w:val="auto"/>
        </w:rPr>
      </w:pPr>
    </w:p>
    <w:p>
      <w:pPr>
        <w:sectPr>
          <w:pgSz w:w="11900" w:h="16838" w:orient="portrait"/>
          <w:cols w:equalWidth="0" w:num="2">
            <w:col w:w="5480" w:space="340"/>
            <w:col w:w="5480"/>
          </w:cols>
          <w:pgMar w:left="240" w:top="328" w:right="359" w:bottom="1440" w:gutter="0" w:footer="0" w:header="0"/>
          <w:type w:val="continuous"/>
        </w:sectPr>
      </w:pPr>
    </w:p>
    <w:p>
      <w:pPr>
        <w:spacing w:after="0"/>
        <w:tabs>
          <w:tab w:leader="none" w:pos="12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color w:val="auto"/>
        </w:rPr>
        <w:t>DEDUCTIBLE</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ICB005 Ed. 7-04</w:t>
            </w:r>
          </w:p>
        </w:tc>
        <w:tc>
          <w:tcPr>
            <w:tcW w:w="2660" w:type="dxa"/>
            <w:vAlign w:val="bottom"/>
          </w:tcPr>
          <w:p>
            <w:pPr>
              <w:ind w:left="2140"/>
              <w:spacing w:after="0"/>
              <w:rPr>
                <w:sz w:val="20"/>
                <w:szCs w:val="20"/>
                <w:color w:val="auto"/>
              </w:rPr>
            </w:pPr>
            <w:r>
              <w:rPr>
                <w:rFonts w:ascii="Arial" w:cs="Arial" w:eastAsia="Arial" w:hAnsi="Arial"/>
                <w:sz w:val="18"/>
                <w:szCs w:val="18"/>
                <w:color w:val="auto"/>
                <w:w w:val="90"/>
              </w:rPr>
              <w:t>9 of 12</w:t>
            </w:r>
          </w:p>
        </w:tc>
      </w:tr>
    </w:tbl>
    <w:p>
      <w:pPr>
        <w:ind w:left="220" w:hanging="212"/>
        <w:spacing w:after="0"/>
        <w:tabs>
          <w:tab w:leader="none" w:pos="220" w:val="left"/>
        </w:tabs>
        <w:numPr>
          <w:ilvl w:val="0"/>
          <w:numId w:val="43"/>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13" w:name="page14"/>
    <w:bookmarkEnd w:id="13"/>
    <w:p>
      <w:pPr>
        <w:jc w:val="both"/>
        <w:spacing w:after="0" w:line="286" w:lineRule="auto"/>
        <w:rPr>
          <w:sz w:val="20"/>
          <w:szCs w:val="20"/>
          <w:color w:val="auto"/>
        </w:rPr>
      </w:pPr>
      <w:r>
        <w:rPr>
          <w:rFonts w:ascii="Arial" w:cs="Arial" w:eastAsia="Arial" w:hAnsi="Arial"/>
          <w:sz w:val="17"/>
          <w:szCs w:val="17"/>
          <w:color w:val="auto"/>
        </w:rPr>
        <w:t>The Underwriter shall refund the unearned premium computed at short rates in accordance with the standard short rate cancellation tables if terminated by the Insured or pro rata if terminated for any other reason.</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Bond shall terminate:</w:t>
      </w:r>
    </w:p>
    <w:p>
      <w:pPr>
        <w:spacing w:after="0" w:line="131" w:lineRule="exact"/>
        <w:rPr>
          <w:sz w:val="20"/>
          <w:szCs w:val="20"/>
          <w:color w:val="auto"/>
        </w:rPr>
      </w:pPr>
    </w:p>
    <w:p>
      <w:pPr>
        <w:jc w:val="both"/>
        <w:ind w:left="740" w:hanging="367"/>
        <w:spacing w:after="0" w:line="273"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as to any Employee as soon as any partner, officer or supervisory Employee of the Insured, who is not in collusion with such Employee, shall learn of any dishonest or fraudulent act(s), including Larceny or Embezzlement on the part of such Employee without prejudice to the loss of any Property then in transit in the custody of such Employee (see Section 16(d)), or</w:t>
      </w:r>
    </w:p>
    <w:p>
      <w:pPr>
        <w:spacing w:after="0" w:line="83" w:lineRule="exact"/>
        <w:rPr>
          <w:rFonts w:ascii="Arial" w:cs="Arial" w:eastAsia="Arial" w:hAnsi="Arial"/>
          <w:sz w:val="17"/>
          <w:szCs w:val="17"/>
          <w:color w:val="auto"/>
        </w:rPr>
      </w:pPr>
    </w:p>
    <w:p>
      <w:pPr>
        <w:jc w:val="both"/>
        <w:ind w:left="740" w:hanging="367"/>
        <w:spacing w:after="0" w:line="259"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to any Employee 60 days after receipt by each Insured and by the Securities and Exchange Commission of a written notice from the Underwriter of its desire to terminate this bond as to such Employee, or</w:t>
      </w:r>
    </w:p>
    <w:p>
      <w:pPr>
        <w:spacing w:after="0" w:line="92" w:lineRule="exact"/>
        <w:rPr>
          <w:rFonts w:ascii="Arial" w:cs="Arial" w:eastAsia="Arial" w:hAnsi="Arial"/>
          <w:sz w:val="18"/>
          <w:szCs w:val="18"/>
          <w:color w:val="auto"/>
        </w:rPr>
      </w:pPr>
    </w:p>
    <w:p>
      <w:pPr>
        <w:jc w:val="both"/>
        <w:ind w:left="740" w:hanging="367"/>
        <w:spacing w:after="0" w:line="271"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as to any person, who is a partner, officer or employee of any Electronic Data Processor covered under this bond, from and after the time that the Insured or any partner or officer thereof not in collusion with such person shall have knowledge or information that such person has committed any dishonest or fraudulent act(s), including Larceny or Embezzlement in the service of the Insured or otherwise, whether such act be committed before or after the time this bond is effective.</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SECTION 14. RIGHTS AFTER TERMINATION OR CANCELLATION</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any time prior to the termination or cancellation of this bond as an entirety, whether by the Insured or the Underwriter, the Insured may give the Underwriter notice that it desires under this bond an additional period of 12 months within which to discover loss sustained by the Insured prior to the effective date of such termination or cancellation and shall pay an additional premium therefor.</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receipt of such notice from the Insured, the Underwriter shall give its written consent thereto; provided, however, that such additional period of time shall terminate immediately:</w:t>
      </w:r>
    </w:p>
    <w:p>
      <w:pPr>
        <w:spacing w:after="0" w:line="87" w:lineRule="exact"/>
        <w:rPr>
          <w:sz w:val="20"/>
          <w:szCs w:val="20"/>
          <w:color w:val="auto"/>
        </w:rPr>
      </w:pPr>
    </w:p>
    <w:p>
      <w:pPr>
        <w:jc w:val="both"/>
        <w:ind w:left="740" w:hanging="367"/>
        <w:spacing w:after="0" w:line="257"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20" w:lineRule="exact"/>
        <w:rPr>
          <w:sz w:val="20"/>
          <w:szCs w:val="20"/>
          <w:color w:val="auto"/>
        </w:rPr>
      </w:pPr>
      <w:r>
        <w:rPr>
          <w:sz w:val="20"/>
          <w:szCs w:val="20"/>
          <w:color w:val="auto"/>
        </w:rPr>
        <w:br w:type="column"/>
      </w:r>
    </w:p>
    <w:p>
      <w:pPr>
        <w:jc w:val="both"/>
        <w:ind w:left="740" w:hanging="368"/>
        <w:spacing w:after="0" w:line="273" w:lineRule="auto"/>
        <w:tabs>
          <w:tab w:leader="none" w:pos="7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upon takeover of the Insured’s business by any State or Federal official or agency, or by any receiver or liquidator, acting or appointed for this purpose without the necessity of the Underwriter giving notice of such termination. In the event that such additional period of time is terminated, as provided above, the Underwriter shall refund any unearned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-965835</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right to purchase such additional period for the discovery of loss may not be exercised by any State or Federal official or agency, or by a receiver or liquidator, acting or appointed to take over the Insured’s business for the operation or for the liquidation thereof or for any purpose.</w:t>
      </w:r>
    </w:p>
    <w:p>
      <w:pPr>
        <w:spacing w:after="0" w:line="4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7"/>
          <w:szCs w:val="17"/>
          <w:color w:val="auto"/>
        </w:rPr>
        <w:t>CENTRAL HANDLING OF SECURITIES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Securities included in the system for the central handling of securities established and maintained by Depository Trust Company, Midwest Depository Trust Company, Pacific Securities Depository Trust Company, and Philadelphia Depository Trust Company, hereinafter called Corporations, to the extent of the Insured’s interest therein as effected by the making of appropriate entries on the books and records of such Corporations shall be deemed to be Property.</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words “Employee” and ‘Employees” shall be deemed to include the officers, partners, clerks and other employees of the New York Stock Exchange, Boston Stock Exchange, Midwest Stock Exchange, Pacific Stock Exchange and Philadelphia Stock Exchange, hereinafter called Exchanges, and of the above named Corporations, and of any nominee in whose name is registered any security included within the systems for the central handling of securities established and maintained by such Corporations, and any employee or any recognized service company, while such officers, partners, clerks and other employees and employees of service companies perform services for such Corporations in the operation of such systems. For the purpose of the above definition a recognized service company shall be any company providing clerks or other personnel to the said Exchanges or Corporations on a contract basis.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Underwriter shall not be liable on account of any loss(es) in connection with the central handling of securities within the systems established and maintained by such Corporations, unless such loss(es) shall be in excess of the amount(s) recoverable or recovered under any bond or policy of insurance indemnifying such Corporations against such loss(es), and then the Underwriter shall be liable hereunder only for the Insured’s share of such excess loss(es), but in no event for more t han the Limit of Liability applicable hereunder.</w:t>
      </w:r>
    </w:p>
    <w:p>
      <w:pPr>
        <w:spacing w:after="0" w:line="352" w:lineRule="exact"/>
        <w:rPr>
          <w:sz w:val="20"/>
          <w:szCs w:val="20"/>
          <w:color w:val="auto"/>
        </w:rPr>
      </w:pPr>
    </w:p>
    <w:p>
      <w:pPr>
        <w:sectPr>
          <w:pgSz w:w="11900" w:h="16838" w:orient="portrait"/>
          <w:cols w:equalWidth="0" w:num="2">
            <w:col w:w="5480" w:space="340"/>
            <w:col w:w="5480"/>
          </w:cols>
          <w:pgMar w:left="240" w:top="328" w:right="359" w:bottom="1440" w:gutter="0" w:footer="0" w:header="0"/>
        </w:sectPr>
      </w:pP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ICB005 Ed. 7-04</w:t>
            </w:r>
          </w:p>
        </w:tc>
        <w:tc>
          <w:tcPr>
            <w:tcW w:w="2720" w:type="dxa"/>
            <w:vAlign w:val="bottom"/>
          </w:tcPr>
          <w:p>
            <w:pPr>
              <w:ind w:left="2120"/>
              <w:spacing w:after="0"/>
              <w:rPr>
                <w:sz w:val="20"/>
                <w:szCs w:val="20"/>
                <w:color w:val="auto"/>
              </w:rPr>
            </w:pPr>
            <w:r>
              <w:rPr>
                <w:rFonts w:ascii="Arial" w:cs="Arial" w:eastAsia="Arial" w:hAnsi="Arial"/>
                <w:sz w:val="18"/>
                <w:szCs w:val="18"/>
                <w:color w:val="auto"/>
                <w:w w:val="89"/>
              </w:rPr>
              <w:t>10 of 12</w:t>
            </w:r>
          </w:p>
        </w:tc>
      </w:tr>
    </w:tbl>
    <w:p>
      <w:pPr>
        <w:ind w:left="220" w:hanging="212"/>
        <w:spacing w:after="0"/>
        <w:tabs>
          <w:tab w:leader="none" w:pos="220" w:val="left"/>
        </w:tabs>
        <w:numPr>
          <w:ilvl w:val="0"/>
          <w:numId w:val="47"/>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14" w:name="page15"/>
    <w:bookmarkEnd w:id="14"/>
    <w:p>
      <w:pPr>
        <w:jc w:val="both"/>
        <w:spacing w:after="0" w:line="286" w:lineRule="auto"/>
        <w:rPr>
          <w:sz w:val="20"/>
          <w:szCs w:val="20"/>
          <w:color w:val="auto"/>
        </w:rPr>
      </w:pPr>
      <w:r>
        <w:rPr>
          <w:rFonts w:ascii="Arial" w:cs="Arial" w:eastAsia="Arial" w:hAnsi="Arial"/>
          <w:sz w:val="16"/>
          <w:szCs w:val="16"/>
          <w:color w:val="auto"/>
        </w:rPr>
        <w:t>For the purpose of determining the Insured’s share of excess loss(es) it shall be deemed that the Insured has an interest in any certificate representing any security included within such systems equivalent to the interest the Insured then has in all certificates representing the same security included within such systems and that such Corporations shall use their best judgment in apportioning the amount(s) recoverable or recovered under any bond or policy of insurance indemnifying such Corporations against such loss(es) in connection with the central handling of securities within such systems among all those having an interest as recorded by appropriate entries in the books and records of such Corporations in Property involved in such loss(es) on the basis that each such interest shall share in the amount(s) so recoverable or recovered in the ratio that the value of each such interest bears to the total value all such interests and that the Insured’s share of such excess loss(es) shall be the amount of the Insured’s interest in such Property in excess of the amount(s) so apportioned to the Insured by such Corporations.</w:t>
      </w:r>
    </w:p>
    <w:p>
      <w:pPr>
        <w:spacing w:after="0" w:line="2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bond does not afford coverage in favor of such Corporations or Exchanges or any nominee in whose name is registered any security included within the systems for the central handling of securities established and maintained by such Corporations, and upon payment to the Insured by the Underwriter on account of any loss(es) within the systems, an assignment of such of the Insured’s rights and causes of action as it may have against such Corporations or Exchanges shall to the extent of such payment, be given by the Insured to the Underwriter, and the Insured shall execute all papers necessary to secure the Underwriter the rights provided for herein.</w:t>
      </w:r>
    </w:p>
    <w:p>
      <w:pPr>
        <w:spacing w:after="0" w:line="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SECTION 16. ADDITIONAL COMPANIES INCLUDED AS INSURED</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more than one corporation, co-partnership or person or any combination of them be included as the Insured herein:</w:t>
      </w:r>
    </w:p>
    <w:p>
      <w:pPr>
        <w:spacing w:after="0" w:line="76" w:lineRule="exact"/>
        <w:rPr>
          <w:sz w:val="20"/>
          <w:szCs w:val="20"/>
          <w:color w:val="auto"/>
        </w:rPr>
      </w:pPr>
    </w:p>
    <w:p>
      <w:pPr>
        <w:jc w:val="both"/>
        <w:ind w:left="740" w:hanging="367"/>
        <w:spacing w:after="0" w:line="279" w:lineRule="auto"/>
        <w:tabs>
          <w:tab w:leader="none" w:pos="7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total liability of the Underwriter hereunder for loss or losses sustained by any one or more or all of them shall not exceed the limit for which the Underwriter would be liable hereunder if all such loss were sustained by any one of them;</w:t>
      </w:r>
    </w:p>
    <w:p>
      <w:pPr>
        <w:spacing w:after="0" w:line="76" w:lineRule="exact"/>
        <w:rPr>
          <w:rFonts w:ascii="Arial" w:cs="Arial" w:eastAsia="Arial" w:hAnsi="Arial"/>
          <w:sz w:val="17"/>
          <w:szCs w:val="17"/>
          <w:color w:val="auto"/>
        </w:rPr>
      </w:pPr>
    </w:p>
    <w:p>
      <w:pPr>
        <w:jc w:val="both"/>
        <w:ind w:left="740" w:hanging="367"/>
        <w:spacing w:after="0" w:line="259"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one first named herein shall be deemed authorized to make, adjust and receive and enforce payment of all claims hereunder and shall be deemed to be the agent of the others for such purposes and for the giving or</w:t>
      </w:r>
    </w:p>
    <w:p>
      <w:pPr>
        <w:spacing w:after="0" w:line="20" w:lineRule="exact"/>
        <w:rPr>
          <w:sz w:val="20"/>
          <w:szCs w:val="20"/>
          <w:color w:val="auto"/>
        </w:rPr>
      </w:pPr>
      <w:r>
        <w:rPr>
          <w:sz w:val="20"/>
          <w:szCs w:val="20"/>
          <w:color w:val="auto"/>
        </w:rPr>
        <w:br w:type="column"/>
      </w:r>
    </w:p>
    <w:p>
      <w:pPr>
        <w:jc w:val="both"/>
        <w:ind w:left="740"/>
        <w:spacing w:after="0" w:line="255" w:lineRule="auto"/>
        <w:rPr>
          <w:sz w:val="20"/>
          <w:szCs w:val="20"/>
          <w:color w:val="auto"/>
        </w:rPr>
      </w:pPr>
      <w:r>
        <w:rPr>
          <w:rFonts w:ascii="Arial" w:cs="Arial" w:eastAsia="Arial" w:hAnsi="Arial"/>
          <w:sz w:val="18"/>
          <w:szCs w:val="18"/>
          <w:color w:val="auto"/>
        </w:rPr>
        <w:t>receiving of any notice required or permitted to be given by the terms hereof, provided that the Underwriter shall furnish each named Investment Company with a copy of the bond and with any amendment thereto, together with a copy of each formal filing of the settlement of each such claim prior to the execution of such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-956945</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9" w:lineRule="exact"/>
        <w:rPr>
          <w:sz w:val="20"/>
          <w:szCs w:val="20"/>
          <w:color w:val="auto"/>
        </w:rPr>
      </w:pPr>
    </w:p>
    <w:p>
      <w:pPr>
        <w:jc w:val="both"/>
        <w:ind w:left="740" w:right="20" w:hanging="368"/>
        <w:spacing w:after="0" w:line="264"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Underwriter shall not be responsible for the proper application of any payment made hereunder to said first named Insured;</w:t>
      </w:r>
    </w:p>
    <w:p>
      <w:pPr>
        <w:spacing w:after="0" w:line="86" w:lineRule="exact"/>
        <w:rPr>
          <w:rFonts w:ascii="Arial" w:cs="Arial" w:eastAsia="Arial" w:hAnsi="Arial"/>
          <w:sz w:val="18"/>
          <w:szCs w:val="18"/>
          <w:color w:val="auto"/>
        </w:rPr>
      </w:pPr>
    </w:p>
    <w:p>
      <w:pPr>
        <w:jc w:val="both"/>
        <w:ind w:left="740" w:hanging="368"/>
        <w:spacing w:after="0" w:line="259"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knowledge possessed or discovery made by any partner, officer of supervisory Employee of any Insured shall for the purposes of Section 4 and Section 13 of this bond constitute knowledge or discovery by all the Insured; and</w:t>
      </w:r>
    </w:p>
    <w:p>
      <w:pPr>
        <w:spacing w:after="0" w:line="92" w:lineRule="exact"/>
        <w:rPr>
          <w:rFonts w:ascii="Arial" w:cs="Arial" w:eastAsia="Arial" w:hAnsi="Arial"/>
          <w:sz w:val="18"/>
          <w:szCs w:val="18"/>
          <w:color w:val="auto"/>
        </w:rPr>
      </w:pPr>
    </w:p>
    <w:p>
      <w:pPr>
        <w:jc w:val="both"/>
        <w:ind w:left="740" w:hanging="368"/>
        <w:spacing w:after="0" w:line="259" w:lineRule="auto"/>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first named Insured ceases for any reason to be covered under this bond, then the Insured next named shall thereafter be considered as the first, named Insured for the purposes of this bond.</w:t>
      </w:r>
    </w:p>
    <w:p>
      <w:pPr>
        <w:spacing w:after="0" w:line="7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7"/>
          <w:szCs w:val="17"/>
          <w:color w:val="auto"/>
        </w:rPr>
        <w:t>NOTICE AND CHANGE OF CONTROL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the Insured obtaining knowledge of a transfer of its outstanding voting securities which results in a change in control (as set forth in Section 2(a) (9) of the Investment Company Act of 1940) of the Insured, the Insured shall within thirty (30) days of such knowledge give written notice to the Underwriter setting forth:</w:t>
      </w:r>
    </w:p>
    <w:p>
      <w:pPr>
        <w:spacing w:after="0" w:line="94" w:lineRule="exact"/>
        <w:rPr>
          <w:sz w:val="20"/>
          <w:szCs w:val="20"/>
          <w:color w:val="auto"/>
        </w:rPr>
      </w:pPr>
    </w:p>
    <w:p>
      <w:pPr>
        <w:jc w:val="both"/>
        <w:ind w:left="740" w:hanging="368"/>
        <w:spacing w:after="0" w:line="264" w:lineRule="auto"/>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names of the transferors and transferees (or the names of the beneficial owners if the voting securities are requested in another name), and</w:t>
      </w:r>
    </w:p>
    <w:p>
      <w:pPr>
        <w:spacing w:after="0" w:line="86" w:lineRule="exact"/>
        <w:rPr>
          <w:rFonts w:ascii="Arial" w:cs="Arial" w:eastAsia="Arial" w:hAnsi="Arial"/>
          <w:sz w:val="18"/>
          <w:szCs w:val="18"/>
          <w:color w:val="auto"/>
        </w:rPr>
      </w:pPr>
    </w:p>
    <w:p>
      <w:pPr>
        <w:jc w:val="both"/>
        <w:ind w:left="740" w:hanging="368"/>
        <w:spacing w:after="0" w:line="264" w:lineRule="auto"/>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total number of voting securities owned by the transferors and the transferees (or the beneficial owners), both immediately before and after the transfer, and</w:t>
      </w:r>
    </w:p>
    <w:p>
      <w:pPr>
        <w:spacing w:after="0" w:line="86" w:lineRule="exact"/>
        <w:rPr>
          <w:rFonts w:ascii="Arial" w:cs="Arial" w:eastAsia="Arial" w:hAnsi="Arial"/>
          <w:sz w:val="18"/>
          <w:szCs w:val="18"/>
          <w:color w:val="auto"/>
        </w:rPr>
      </w:pPr>
    </w:p>
    <w:p>
      <w:pPr>
        <w:ind w:left="740" w:hanging="368"/>
        <w:spacing w:after="0"/>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total number of outstanding voting securities.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used in this section, control means the power to exercise a controlling influence over the management or policies of the Insured.</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Failing to give the required notice shall result in termination of coverage of this bond, effective upon the date of stock transfer for any loss in which any transferee is concerned or implicated.</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Such notice is not required to be given in the case of an Insured which is an Investment Company.</w:t>
      </w:r>
    </w:p>
    <w:p>
      <w:pPr>
        <w:spacing w:after="0" w:line="200" w:lineRule="exact"/>
        <w:rPr>
          <w:sz w:val="20"/>
          <w:szCs w:val="20"/>
          <w:color w:val="auto"/>
        </w:rPr>
      </w:pPr>
    </w:p>
    <w:p>
      <w:pPr>
        <w:sectPr>
          <w:pgSz w:w="11900" w:h="16838" w:orient="portrait"/>
          <w:cols w:equalWidth="0" w:num="2">
            <w:col w:w="5480" w:space="340"/>
            <w:col w:w="5480"/>
          </w:cols>
          <w:pgMar w:left="240" w:top="328" w:right="359" w:bottom="1440" w:gutter="0" w:footer="0" w:header="0"/>
        </w:sectPr>
      </w:pP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ICB005 Ed. 7-04</w:t>
            </w:r>
          </w:p>
        </w:tc>
        <w:tc>
          <w:tcPr>
            <w:tcW w:w="2720" w:type="dxa"/>
            <w:vAlign w:val="bottom"/>
          </w:tcPr>
          <w:p>
            <w:pPr>
              <w:ind w:left="2120"/>
              <w:spacing w:after="0"/>
              <w:rPr>
                <w:sz w:val="20"/>
                <w:szCs w:val="20"/>
                <w:color w:val="auto"/>
              </w:rPr>
            </w:pPr>
            <w:r>
              <w:rPr>
                <w:rFonts w:ascii="Arial" w:cs="Arial" w:eastAsia="Arial" w:hAnsi="Arial"/>
                <w:sz w:val="18"/>
                <w:szCs w:val="18"/>
                <w:color w:val="auto"/>
                <w:w w:val="89"/>
              </w:rPr>
              <w:t>11 of 12</w:t>
            </w:r>
          </w:p>
        </w:tc>
      </w:tr>
    </w:tbl>
    <w:p>
      <w:pPr>
        <w:ind w:left="220" w:hanging="212"/>
        <w:spacing w:after="0"/>
        <w:tabs>
          <w:tab w:leader="none" w:pos="220" w:val="left"/>
        </w:tabs>
        <w:numPr>
          <w:ilvl w:val="0"/>
          <w:numId w:val="51"/>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ectPr>
          <w:pgSz w:w="11900" w:h="16838" w:orient="portrait"/>
          <w:cols w:equalWidth="0" w:num="1">
            <w:col w:w="11300"/>
          </w:cols>
          <w:pgMar w:left="240" w:top="328" w:right="359" w:bottom="1440" w:gutter="0" w:footer="0" w:header="0"/>
          <w:type w:val="continuous"/>
        </w:sectPr>
      </w:pPr>
    </w:p>
    <w:bookmarkStart w:id="15" w:name="page16"/>
    <w:bookmarkEnd w:id="15"/>
    <w:p>
      <w:pPr>
        <w:spacing w:after="0"/>
        <w:tabs>
          <w:tab w:leader="none" w:pos="124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7"/>
          <w:szCs w:val="17"/>
          <w:color w:val="auto"/>
        </w:rPr>
        <w:t>CHANGE OR MODIFICATION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bond or any instrument amending or effecting same may not be changed or modified orally. No changes in or modification thereof shall be effective unless made by written endorsement issued to form a part hereof over the signature of the Underwriter’s Authorized Representative. When a bond covers only one Investment Company no change or modification which would adversely affect the rights of the Investment Company shall be effective prior to 60 days after written notification has been furnished to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ICB005 Ed. 7-04</w:t>
      </w:r>
    </w:p>
    <w:p>
      <w:pPr>
        <w:spacing w:after="0" w:line="23" w:lineRule="exact"/>
        <w:rPr>
          <w:sz w:val="20"/>
          <w:szCs w:val="20"/>
          <w:color w:val="auto"/>
        </w:rPr>
      </w:pPr>
    </w:p>
    <w:p>
      <w:pPr>
        <w:ind w:left="220" w:hanging="212"/>
        <w:spacing w:after="0"/>
        <w:tabs>
          <w:tab w:leader="none" w:pos="220" w:val="left"/>
        </w:tabs>
        <w:numPr>
          <w:ilvl w:val="0"/>
          <w:numId w:val="52"/>
        </w:numPr>
        <w:rPr>
          <w:rFonts w:ascii="Arial" w:cs="Arial" w:eastAsia="Arial" w:hAnsi="Arial"/>
          <w:sz w:val="16"/>
          <w:szCs w:val="16"/>
          <w:color w:val="auto"/>
        </w:rPr>
      </w:pPr>
      <w:r>
        <w:rPr>
          <w:rFonts w:ascii="Arial" w:cs="Arial" w:eastAsia="Arial" w:hAnsi="Arial"/>
          <w:sz w:val="18"/>
          <w:szCs w:val="18"/>
          <w:color w:val="auto"/>
        </w:rPr>
        <w:t>2004 The Travelers Companies, Inc.</w:t>
      </w:r>
    </w:p>
    <w:p>
      <w:pPr>
        <w:spacing w:after="0" w:line="20" w:lineRule="exact"/>
        <w:rPr>
          <w:sz w:val="20"/>
          <w:szCs w:val="20"/>
          <w:color w:val="auto"/>
        </w:rPr>
      </w:pPr>
      <w:r>
        <w:rPr>
          <w:sz w:val="20"/>
          <w:szCs w:val="20"/>
          <w:color w:val="auto"/>
        </w:rPr>
        <w:br w:type="column"/>
      </w:r>
    </w:p>
    <w:p>
      <w:pPr>
        <w:jc w:val="both"/>
        <w:ind w:left="340"/>
        <w:spacing w:after="0" w:line="255" w:lineRule="auto"/>
        <w:rPr>
          <w:sz w:val="20"/>
          <w:szCs w:val="20"/>
          <w:color w:val="auto"/>
        </w:rPr>
      </w:pPr>
      <w:r>
        <w:rPr>
          <w:rFonts w:ascii="Arial" w:cs="Arial" w:eastAsia="Arial" w:hAnsi="Arial"/>
          <w:sz w:val="18"/>
          <w:szCs w:val="18"/>
          <w:color w:val="auto"/>
        </w:rPr>
        <w:t>the Securities and Exchange Commission, Washington, D.C., by the Insured or by the Underwriter. If more than one Investment Company is named as the Insured herein, the Underwriter shall give written notice to each Investment Company and to the Securities and Exchange Commission, Washington, D.C., not less than 60 days prior to the effective date of any change or modification which would adversely affect the rights of such Investment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-1096645</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12 of 12</w:t>
      </w:r>
    </w:p>
    <w:p>
      <w:pPr>
        <w:sectPr>
          <w:pgSz w:w="11900" w:h="16838" w:orient="portrait"/>
          <w:cols w:equalWidth="0" w:num="2">
            <w:col w:w="5480" w:space="0"/>
            <w:col w:w="5820"/>
          </w:cols>
          <w:pgMar w:left="240" w:top="328" w:right="359" w:bottom="1440" w:gutter="0" w:footer="0" w:header="0"/>
        </w:sectPr>
      </w:pPr>
    </w:p>
    <w:bookmarkStart w:id="16" w:name="page17"/>
    <w:bookmarkEnd w:id="16"/>
    <w:p>
      <w:pPr>
        <w:jc w:val="center"/>
        <w:ind w:right="-19"/>
        <w:spacing w:after="0"/>
        <w:tabs>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OR RIDER NO.</w:t>
      </w:r>
      <w:r>
        <w:rPr>
          <w:sz w:val="20"/>
          <w:szCs w:val="20"/>
          <w:color w:val="auto"/>
        </w:rPr>
        <w:tab/>
      </w:r>
      <w:r>
        <w:rPr>
          <w:rFonts w:ascii="Arial" w:cs="Arial" w:eastAsia="Arial" w:hAnsi="Arial"/>
          <w:sz w:val="17"/>
          <w:szCs w:val="17"/>
          <w:color w:val="auto"/>
        </w:rPr>
        <w:t>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ENDORSEMENT CHANGES THE POLICY. PLEASE READ IT CAREFULLY.</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3900" w:type="dxa"/>
            <w:vAlign w:val="bottom"/>
            <w:tcBorders>
              <w:top w:val="single" w:sz="8" w:color="auto"/>
              <w:right w:val="single" w:sz="8" w:color="auto"/>
            </w:tcBorders>
          </w:tcPr>
          <w:p>
            <w:pPr>
              <w:ind w:left="140"/>
              <w:spacing w:after="0" w:line="121" w:lineRule="exact"/>
              <w:rPr>
                <w:sz w:val="20"/>
                <w:szCs w:val="20"/>
                <w:color w:val="auto"/>
              </w:rPr>
            </w:pPr>
            <w:r>
              <w:rPr>
                <w:rFonts w:ascii="Arial" w:cs="Arial" w:eastAsia="Arial" w:hAnsi="Arial"/>
                <w:sz w:val="13"/>
                <w:szCs w:val="13"/>
                <w:color w:val="auto"/>
              </w:rPr>
              <w:t>ATTACHED TO AND FORMING PART OF</w:t>
            </w:r>
          </w:p>
        </w:tc>
        <w:tc>
          <w:tcPr>
            <w:tcW w:w="560" w:type="dxa"/>
            <w:vAlign w:val="bottom"/>
            <w:tcBorders>
              <w:top w:val="single" w:sz="8" w:color="auto"/>
            </w:tcBorders>
          </w:tcPr>
          <w:p>
            <w:pPr>
              <w:spacing w:after="0"/>
              <w:rPr>
                <w:sz w:val="10"/>
                <w:szCs w:val="10"/>
                <w:color w:val="auto"/>
              </w:rPr>
            </w:pPr>
          </w:p>
        </w:tc>
        <w:tc>
          <w:tcPr>
            <w:tcW w:w="1840" w:type="dxa"/>
            <w:vAlign w:val="bottom"/>
            <w:tcBorders>
              <w:top w:val="single" w:sz="8" w:color="auto"/>
              <w:right w:val="single" w:sz="8" w:color="auto"/>
            </w:tcBorders>
          </w:tcPr>
          <w:p>
            <w:pPr>
              <w:ind w:left="80"/>
              <w:spacing w:after="0" w:line="121" w:lineRule="exact"/>
              <w:rPr>
                <w:sz w:val="20"/>
                <w:szCs w:val="20"/>
                <w:color w:val="auto"/>
              </w:rPr>
            </w:pPr>
            <w:r>
              <w:rPr>
                <w:rFonts w:ascii="Arial" w:cs="Arial" w:eastAsia="Arial" w:hAnsi="Arial"/>
                <w:sz w:val="13"/>
                <w:szCs w:val="13"/>
                <w:color w:val="auto"/>
              </w:rPr>
              <w:t>DATE ENDORSEMENT</w:t>
            </w:r>
          </w:p>
        </w:tc>
        <w:tc>
          <w:tcPr>
            <w:tcW w:w="5100" w:type="dxa"/>
            <w:vAlign w:val="bottom"/>
            <w:tcBorders>
              <w:top w:val="single" w:sz="8" w:color="auto"/>
            </w:tcBorders>
          </w:tcPr>
          <w:p>
            <w:pPr>
              <w:ind w:left="200"/>
              <w:spacing w:after="0" w:line="121" w:lineRule="exact"/>
              <w:rPr>
                <w:sz w:val="20"/>
                <w:szCs w:val="20"/>
                <w:color w:val="auto"/>
              </w:rPr>
            </w:pPr>
            <w:r>
              <w:rPr>
                <w:rFonts w:ascii="Arial" w:cs="Arial" w:eastAsia="Arial" w:hAnsi="Arial"/>
                <w:sz w:val="13"/>
                <w:szCs w:val="13"/>
                <w:color w:val="auto"/>
              </w:rPr>
              <w:t>* EFFECTIVE DATE OF ENDORSEMENT OR RIDER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00" w:type="dxa"/>
            <w:vAlign w:val="bottom"/>
            <w:tcBorders>
              <w:right w:val="single" w:sz="8" w:color="auto"/>
            </w:tcBorders>
          </w:tcPr>
          <w:p>
            <w:pPr>
              <w:ind w:left="500"/>
              <w:spacing w:after="0" w:line="135" w:lineRule="exact"/>
              <w:rPr>
                <w:sz w:val="20"/>
                <w:szCs w:val="20"/>
                <w:color w:val="auto"/>
              </w:rPr>
            </w:pPr>
            <w:r>
              <w:rPr>
                <w:rFonts w:ascii="Arial" w:cs="Arial" w:eastAsia="Arial" w:hAnsi="Arial"/>
                <w:sz w:val="13"/>
                <w:szCs w:val="13"/>
                <w:color w:val="auto"/>
              </w:rPr>
              <w:t>BOND OR POLICY NO.</w:t>
            </w:r>
          </w:p>
        </w:tc>
        <w:tc>
          <w:tcPr>
            <w:tcW w:w="560" w:type="dxa"/>
            <w:vAlign w:val="bottom"/>
          </w:tcPr>
          <w:p>
            <w:pPr>
              <w:spacing w:after="0"/>
              <w:rPr>
                <w:sz w:val="11"/>
                <w:szCs w:val="11"/>
                <w:color w:val="auto"/>
              </w:rPr>
            </w:pPr>
          </w:p>
        </w:tc>
        <w:tc>
          <w:tcPr>
            <w:tcW w:w="1840" w:type="dxa"/>
            <w:vAlign w:val="bottom"/>
            <w:tcBorders>
              <w:right w:val="single" w:sz="8" w:color="auto"/>
            </w:tcBorders>
          </w:tcPr>
          <w:p>
            <w:pPr>
              <w:ind w:left="100"/>
              <w:spacing w:after="0" w:line="135" w:lineRule="exact"/>
              <w:rPr>
                <w:sz w:val="20"/>
                <w:szCs w:val="20"/>
                <w:color w:val="auto"/>
              </w:rPr>
            </w:pPr>
            <w:r>
              <w:rPr>
                <w:rFonts w:ascii="Arial" w:cs="Arial" w:eastAsia="Arial" w:hAnsi="Arial"/>
                <w:sz w:val="13"/>
                <w:szCs w:val="13"/>
                <w:color w:val="auto"/>
              </w:rPr>
              <w:t>OR RIDER EXECUTED</w:t>
            </w:r>
          </w:p>
        </w:tc>
        <w:tc>
          <w:tcPr>
            <w:tcW w:w="5100" w:type="dxa"/>
            <w:vAlign w:val="bottom"/>
          </w:tcPr>
          <w:p>
            <w:pPr>
              <w:ind w:left="1860"/>
              <w:spacing w:after="0" w:line="135" w:lineRule="exact"/>
              <w:rPr>
                <w:sz w:val="20"/>
                <w:szCs w:val="20"/>
                <w:color w:val="auto"/>
              </w:rPr>
            </w:pPr>
            <w:r>
              <w:rPr>
                <w:rFonts w:ascii="Arial" w:cs="Arial" w:eastAsia="Arial" w:hAnsi="Arial"/>
                <w:sz w:val="13"/>
                <w:szCs w:val="13"/>
                <w:color w:val="auto"/>
              </w:rPr>
              <w:t>12:01 A.M. STANDARD TIME AS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00" w:type="dxa"/>
            <w:vAlign w:val="bottom"/>
            <w:tcBorders>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5100" w:type="dxa"/>
            <w:vAlign w:val="bottom"/>
          </w:tcPr>
          <w:p>
            <w:pPr>
              <w:ind w:left="186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1"/>
                <w:szCs w:val="21"/>
                <w:color w:val="auto"/>
              </w:rPr>
              <w:t>ZBN-81M58129-16-N2</w:t>
            </w:r>
          </w:p>
        </w:tc>
        <w:tc>
          <w:tcPr>
            <w:tcW w:w="560" w:type="dxa"/>
            <w:vAlign w:val="bottom"/>
          </w:tcPr>
          <w:p>
            <w:pPr>
              <w:spacing w:after="0"/>
              <w:rPr>
                <w:sz w:val="24"/>
                <w:szCs w:val="24"/>
                <w:color w:val="auto"/>
              </w:rPr>
            </w:pPr>
          </w:p>
        </w:tc>
        <w:tc>
          <w:tcPr>
            <w:tcW w:w="1840" w:type="dxa"/>
            <w:vAlign w:val="bottom"/>
            <w:tcBorders>
              <w:right w:val="single" w:sz="8" w:color="auto"/>
            </w:tcBorders>
          </w:tcPr>
          <w:p>
            <w:pPr>
              <w:jc w:val="right"/>
              <w:ind w:right="603"/>
              <w:spacing w:after="0"/>
              <w:rPr>
                <w:sz w:val="20"/>
                <w:szCs w:val="20"/>
                <w:color w:val="auto"/>
              </w:rPr>
            </w:pPr>
            <w:r>
              <w:rPr>
                <w:rFonts w:ascii="Arial" w:cs="Arial" w:eastAsia="Arial" w:hAnsi="Arial"/>
                <w:sz w:val="21"/>
                <w:szCs w:val="21"/>
                <w:color w:val="auto"/>
              </w:rPr>
              <w:t>05/27/16</w:t>
            </w:r>
          </w:p>
        </w:tc>
        <w:tc>
          <w:tcPr>
            <w:tcW w:w="5100" w:type="dxa"/>
            <w:vAlign w:val="bottom"/>
          </w:tcPr>
          <w:p>
            <w:pPr>
              <w:jc w:val="right"/>
              <w:ind w:right="3987"/>
              <w:spacing w:after="0"/>
              <w:rPr>
                <w:sz w:val="20"/>
                <w:szCs w:val="20"/>
                <w:color w:val="auto"/>
              </w:rPr>
            </w:pPr>
            <w:r>
              <w:rPr>
                <w:rFonts w:ascii="Arial" w:cs="Arial" w:eastAsia="Arial" w:hAnsi="Arial"/>
                <w:sz w:val="21"/>
                <w:szCs w:val="21"/>
                <w:color w:val="auto"/>
              </w:rPr>
              <w:t>05/31/16</w:t>
            </w: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390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5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460" w:type="dxa"/>
            <w:vAlign w:val="bottom"/>
            <w:gridSpan w:val="2"/>
          </w:tcPr>
          <w:p>
            <w:pPr>
              <w:spacing w:after="0"/>
              <w:rPr>
                <w:sz w:val="20"/>
                <w:szCs w:val="20"/>
                <w:color w:val="auto"/>
              </w:rPr>
            </w:pPr>
            <w:r>
              <w:rPr>
                <w:rFonts w:ascii="Arial" w:cs="Arial" w:eastAsia="Arial" w:hAnsi="Arial"/>
                <w:sz w:val="13"/>
                <w:szCs w:val="13"/>
                <w:color w:val="auto"/>
              </w:rPr>
              <w:t>* ISSUED TO</w:t>
            </w:r>
          </w:p>
        </w:tc>
        <w:tc>
          <w:tcPr>
            <w:tcW w:w="18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480" w:type="dxa"/>
            <w:vAlign w:val="bottom"/>
            <w:gridSpan w:val="3"/>
          </w:tcPr>
          <w:p>
            <w:pPr>
              <w:spacing w:after="0"/>
              <w:rPr>
                <w:sz w:val="20"/>
                <w:szCs w:val="20"/>
                <w:color w:val="auto"/>
              </w:rPr>
            </w:pPr>
            <w:r>
              <w:rPr>
                <w:rFonts w:ascii="Arial" w:cs="Arial" w:eastAsia="Arial" w:hAnsi="Arial"/>
                <w:sz w:val="21"/>
                <w:szCs w:val="21"/>
                <w:color w:val="auto"/>
                <w:w w:val="96"/>
              </w:rPr>
              <w:t>PENNANTPARK INVESTMENT CORPORATION</w:t>
            </w:r>
          </w:p>
        </w:tc>
        <w:tc>
          <w:tcPr>
            <w:tcW w:w="18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auto"/>
            </w:tcBorders>
          </w:tcPr>
          <w:p>
            <w:pPr>
              <w:spacing w:after="0"/>
              <w:rPr>
                <w:sz w:val="7"/>
                <w:szCs w:val="7"/>
                <w:color w:val="auto"/>
              </w:rPr>
            </w:pPr>
          </w:p>
        </w:tc>
        <w:tc>
          <w:tcPr>
            <w:tcW w:w="39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5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Named Insured Endorsement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700" w:right="4300" w:hanging="692"/>
        <w:spacing w:after="0" w:line="778" w:lineRule="auto"/>
        <w:tabs>
          <w:tab w:leader="none" w:pos="461" w:val="left"/>
        </w:tabs>
        <w:numPr>
          <w:ilvl w:val="0"/>
          <w:numId w:val="53"/>
        </w:numPr>
        <w:rPr>
          <w:rFonts w:ascii="Arial" w:cs="Arial" w:eastAsia="Arial" w:hAnsi="Arial"/>
          <w:sz w:val="18"/>
          <w:szCs w:val="18"/>
          <w:color w:val="auto"/>
        </w:rPr>
      </w:pPr>
      <w:r>
        <w:rPr>
          <w:rFonts w:ascii="Arial" w:cs="Arial" w:eastAsia="Arial" w:hAnsi="Arial"/>
          <w:sz w:val="18"/>
          <w:szCs w:val="18"/>
          <w:color w:val="auto"/>
        </w:rPr>
        <w:t>From and after the time this rider becomes effective the Insured under the attached bond are: PennantPark Floating Rate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first named Insured shall act for itself and for each and all of the Insured for all the purposes of the attached bond.</w:t>
      </w:r>
    </w:p>
    <w:p>
      <w:pPr>
        <w:spacing w:after="0" w:line="252"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Knowledge possessed or discovery made by any Insured or by any partner or officer thereof shall for all the purposes of the attached bond constitute knowledge or discovery by all the Insured.</w:t>
      </w:r>
    </w:p>
    <w:p>
      <w:pPr>
        <w:spacing w:after="0" w:line="197"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prior to the termination of the attached bond in its entirety, the attached bond is terminated as to any Insured, there shall be no liability for any loss sustained by such Insured unless discovered before the time such termination as to such Insured becomes effective.</w:t>
      </w:r>
    </w:p>
    <w:p>
      <w:pPr>
        <w:spacing w:after="0" w:line="197"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liability of the Underwriter for loss or losses sustained by any or all of the Insured shall not exceed the amount for which the Underwriter would be liable had all such loss or losses been sustained by any one of the Insured. Payment by the Underwriter to the first named Insured of loss sustained by any Insured shall fully release the Underwriter on account of such loss.</w:t>
      </w:r>
    </w:p>
    <w:p>
      <w:pPr>
        <w:spacing w:after="0" w:line="208"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first named Insured ceases for any reason to be covered under the attached bond, then the Insured next named shall thereafter be considered as the first named Insured for all the purposes of the attached bond.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21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6350</wp:posOffset>
            </wp:positionV>
            <wp:extent cx="24269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ind w:left="8740"/>
        <w:spacing w:after="0"/>
        <w:rPr>
          <w:sz w:val="20"/>
          <w:szCs w:val="20"/>
          <w:color w:val="auto"/>
        </w:rPr>
      </w:pPr>
      <w:r>
        <w:rPr>
          <w:rFonts w:ascii="Arial" w:cs="Arial" w:eastAsia="Arial" w:hAnsi="Arial"/>
          <w:sz w:val="14"/>
          <w:szCs w:val="14"/>
          <w:color w:val="auto"/>
        </w:rPr>
        <w:t>Authorized Representative</w:t>
      </w:r>
    </w:p>
    <w:p>
      <w:pPr>
        <w:spacing w:after="0" w:line="48" w:lineRule="exact"/>
        <w:rPr>
          <w:sz w:val="20"/>
          <w:szCs w:val="20"/>
          <w:color w:val="auto"/>
        </w:rPr>
      </w:pPr>
    </w:p>
    <w:p>
      <w:pPr>
        <w:ind w:left="6860"/>
        <w:spacing w:after="0"/>
        <w:rPr>
          <w:sz w:val="20"/>
          <w:szCs w:val="20"/>
          <w:color w:val="auto"/>
        </w:rPr>
      </w:pPr>
      <w:r>
        <w:rPr>
          <w:rFonts w:ascii="Arial" w:cs="Arial" w:eastAsia="Arial" w:hAnsi="Arial"/>
          <w:sz w:val="21"/>
          <w:szCs w:val="21"/>
          <w:color w:val="auto"/>
        </w:rPr>
        <w:t>INSURED</w:t>
      </w:r>
    </w:p>
    <w:p>
      <w:pPr>
        <w:spacing w:after="0" w:line="149" w:lineRule="exact"/>
        <w:rPr>
          <w:sz w:val="20"/>
          <w:szCs w:val="20"/>
          <w:color w:val="auto"/>
        </w:rPr>
      </w:pPr>
    </w:p>
    <w:p>
      <w:pPr>
        <w:spacing w:after="0"/>
        <w:tabs>
          <w:tab w:leader="none" w:pos="10320" w:val="left"/>
          <w:tab w:leader="none" w:pos="10840" w:val="left"/>
          <w:tab w:leader="none" w:pos="11320" w:val="left"/>
        </w:tabs>
        <w:rPr>
          <w:sz w:val="20"/>
          <w:szCs w:val="20"/>
          <w:color w:val="auto"/>
        </w:rPr>
      </w:pPr>
      <w:r>
        <w:rPr>
          <w:rFonts w:ascii="Arial" w:cs="Arial" w:eastAsia="Arial" w:hAnsi="Arial"/>
          <w:sz w:val="18"/>
          <w:szCs w:val="18"/>
          <w:color w:val="auto"/>
        </w:rPr>
        <w:t>ICB010 Ed. 7-04</w:t>
      </w:r>
      <w:r>
        <w:rPr>
          <w:sz w:val="20"/>
          <w:szCs w:val="20"/>
          <w:color w:val="auto"/>
        </w:rPr>
        <w:tab/>
      </w:r>
      <w:r>
        <w:rPr>
          <w:rFonts w:ascii="Arial" w:cs="Arial" w:eastAsia="Arial" w:hAnsi="Arial"/>
          <w:sz w:val="18"/>
          <w:szCs w:val="18"/>
          <w:color w:val="auto"/>
        </w:rPr>
        <w:t>Page</w:t>
        <w:tab/>
        <w:t>1 of</w:t>
      </w:r>
      <w:r>
        <w:rPr>
          <w:sz w:val="20"/>
          <w:szCs w:val="20"/>
          <w:color w:val="auto"/>
        </w:rPr>
        <w:tab/>
      </w:r>
      <w:r>
        <w:rPr>
          <w:rFonts w:ascii="Arial" w:cs="Arial" w:eastAsia="Arial" w:hAnsi="Arial"/>
          <w:sz w:val="14"/>
          <w:szCs w:val="14"/>
          <w:color w:val="auto"/>
        </w:rPr>
        <w:t>1</w:t>
      </w:r>
    </w:p>
    <w:p>
      <w:pPr>
        <w:spacing w:after="0" w:line="23" w:lineRule="exact"/>
        <w:rPr>
          <w:sz w:val="20"/>
          <w:szCs w:val="20"/>
          <w:color w:val="auto"/>
        </w:rPr>
      </w:pPr>
    </w:p>
    <w:p>
      <w:pPr>
        <w:ind w:left="220" w:hanging="212"/>
        <w:spacing w:after="0"/>
        <w:tabs>
          <w:tab w:leader="none" w:pos="220" w:val="left"/>
        </w:tabs>
        <w:numPr>
          <w:ilvl w:val="0"/>
          <w:numId w:val="55"/>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ectPr>
          <w:pgSz w:w="11900" w:h="16838" w:orient="portrait"/>
          <w:cols w:equalWidth="0" w:num="1">
            <w:col w:w="11420"/>
          </w:cols>
          <w:pgMar w:left="240" w:top="274" w:right="239" w:bottom="1440" w:gutter="0" w:footer="0" w:header="0"/>
        </w:sectPr>
      </w:pPr>
    </w:p>
    <w:bookmarkStart w:id="17" w:name="page18"/>
    <w:bookmarkEnd w:id="17"/>
    <w:p>
      <w:pPr>
        <w:jc w:val="center"/>
        <w:ind w:right="-19"/>
        <w:spacing w:after="0"/>
        <w:tabs>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OR RIDER NO.</w:t>
      </w:r>
      <w:r>
        <w:rPr>
          <w:sz w:val="20"/>
          <w:szCs w:val="20"/>
          <w:color w:val="auto"/>
        </w:rPr>
        <w:tab/>
      </w:r>
      <w:r>
        <w:rPr>
          <w:rFonts w:ascii="Arial" w:cs="Arial" w:eastAsia="Arial" w:hAnsi="Arial"/>
          <w:sz w:val="17"/>
          <w:szCs w:val="17"/>
          <w:color w:val="auto"/>
        </w:rPr>
        <w:t>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ENDORSEMENT CHANGES THE POLICY. PLEASE READ IT CAREFULLY.</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920" w:type="dxa"/>
            <w:vAlign w:val="bottom"/>
            <w:tcBorders>
              <w:top w:val="single" w:sz="8" w:color="auto"/>
              <w:right w:val="single" w:sz="8" w:color="auto"/>
            </w:tcBorders>
          </w:tcPr>
          <w:p>
            <w:pPr>
              <w:ind w:left="160"/>
              <w:spacing w:after="0" w:line="137" w:lineRule="exact"/>
              <w:rPr>
                <w:sz w:val="20"/>
                <w:szCs w:val="20"/>
                <w:color w:val="auto"/>
              </w:rPr>
            </w:pPr>
            <w:r>
              <w:rPr>
                <w:rFonts w:ascii="Arial" w:cs="Arial" w:eastAsia="Arial" w:hAnsi="Arial"/>
                <w:sz w:val="14"/>
                <w:szCs w:val="14"/>
                <w:color w:val="auto"/>
              </w:rPr>
              <w:t>ATTACHED TO AND FORMING PART OF</w:t>
            </w:r>
          </w:p>
        </w:tc>
        <w:tc>
          <w:tcPr>
            <w:tcW w:w="2400" w:type="dxa"/>
            <w:vAlign w:val="bottom"/>
            <w:tcBorders>
              <w:top w:val="single" w:sz="8" w:color="auto"/>
              <w:right w:val="single" w:sz="8" w:color="auto"/>
            </w:tcBorders>
          </w:tcPr>
          <w:p>
            <w:pPr>
              <w:jc w:val="center"/>
              <w:ind w:left="100"/>
              <w:spacing w:after="0" w:line="137" w:lineRule="exact"/>
              <w:rPr>
                <w:sz w:val="20"/>
                <w:szCs w:val="20"/>
                <w:color w:val="auto"/>
              </w:rPr>
            </w:pPr>
            <w:r>
              <w:rPr>
                <w:rFonts w:ascii="Arial" w:cs="Arial" w:eastAsia="Arial" w:hAnsi="Arial"/>
                <w:sz w:val="14"/>
                <w:szCs w:val="14"/>
                <w:color w:val="auto"/>
                <w:w w:val="91"/>
              </w:rPr>
              <w:t>DATE ENDORSEMENT</w:t>
            </w:r>
          </w:p>
        </w:tc>
        <w:tc>
          <w:tcPr>
            <w:tcW w:w="5100" w:type="dxa"/>
            <w:vAlign w:val="bottom"/>
            <w:tcBorders>
              <w:top w:val="single" w:sz="8" w:color="auto"/>
            </w:tcBorders>
          </w:tcPr>
          <w:p>
            <w:pPr>
              <w:ind w:left="200"/>
              <w:spacing w:after="0" w:line="137" w:lineRule="exact"/>
              <w:rPr>
                <w:sz w:val="20"/>
                <w:szCs w:val="20"/>
                <w:color w:val="auto"/>
              </w:rPr>
            </w:pPr>
            <w:r>
              <w:rPr>
                <w:rFonts w:ascii="Arial" w:cs="Arial" w:eastAsia="Arial" w:hAnsi="Arial"/>
                <w:sz w:val="14"/>
                <w:szCs w:val="14"/>
                <w:color w:val="auto"/>
              </w:rPr>
              <w:t>* EFFECTIVE DATE OF ENDORSEMENT OR RIDER</w:t>
            </w:r>
          </w:p>
        </w:tc>
      </w:tr>
      <w:tr>
        <w:trPr>
          <w:trHeight w:val="149"/>
        </w:trPr>
        <w:tc>
          <w:tcPr>
            <w:tcW w:w="3920" w:type="dxa"/>
            <w:vAlign w:val="bottom"/>
            <w:tcBorders>
              <w:right w:val="single" w:sz="8" w:color="auto"/>
            </w:tcBorders>
          </w:tcPr>
          <w:p>
            <w:pPr>
              <w:ind w:left="560"/>
              <w:spacing w:after="0" w:line="149" w:lineRule="exact"/>
              <w:rPr>
                <w:sz w:val="20"/>
                <w:szCs w:val="20"/>
                <w:color w:val="auto"/>
              </w:rPr>
            </w:pPr>
            <w:r>
              <w:rPr>
                <w:rFonts w:ascii="Arial" w:cs="Arial" w:eastAsia="Arial" w:hAnsi="Arial"/>
                <w:sz w:val="14"/>
                <w:szCs w:val="14"/>
                <w:color w:val="auto"/>
              </w:rPr>
              <w:t>BOND OR POLICY NO.</w:t>
            </w:r>
          </w:p>
        </w:tc>
        <w:tc>
          <w:tcPr>
            <w:tcW w:w="2400" w:type="dxa"/>
            <w:vAlign w:val="bottom"/>
            <w:tcBorders>
              <w:right w:val="single" w:sz="8" w:color="auto"/>
            </w:tcBorders>
          </w:tcPr>
          <w:p>
            <w:pPr>
              <w:jc w:val="center"/>
              <w:ind w:left="100"/>
              <w:spacing w:after="0" w:line="149" w:lineRule="exact"/>
              <w:rPr>
                <w:sz w:val="20"/>
                <w:szCs w:val="20"/>
                <w:color w:val="auto"/>
              </w:rPr>
            </w:pPr>
            <w:r>
              <w:rPr>
                <w:rFonts w:ascii="Arial" w:cs="Arial" w:eastAsia="Arial" w:hAnsi="Arial"/>
                <w:sz w:val="14"/>
                <w:szCs w:val="14"/>
                <w:color w:val="auto"/>
                <w:w w:val="92"/>
              </w:rPr>
              <w:t>OR RIDER EXECUTED</w:t>
            </w:r>
          </w:p>
        </w:tc>
        <w:tc>
          <w:tcPr>
            <w:tcW w:w="5100" w:type="dxa"/>
            <w:vAlign w:val="bottom"/>
          </w:tcPr>
          <w:p>
            <w:pPr>
              <w:ind w:left="1980"/>
              <w:spacing w:after="0" w:line="149" w:lineRule="exact"/>
              <w:rPr>
                <w:sz w:val="20"/>
                <w:szCs w:val="20"/>
                <w:color w:val="auto"/>
              </w:rPr>
            </w:pPr>
            <w:r>
              <w:rPr>
                <w:rFonts w:ascii="Arial" w:cs="Arial" w:eastAsia="Arial" w:hAnsi="Arial"/>
                <w:sz w:val="14"/>
                <w:szCs w:val="14"/>
                <w:color w:val="auto"/>
              </w:rPr>
              <w:t>12:01 A.M. STANDARD TIME AS</w:t>
            </w:r>
          </w:p>
        </w:tc>
      </w:tr>
      <w:tr>
        <w:trPr>
          <w:trHeight w:val="172"/>
        </w:trPr>
        <w:tc>
          <w:tcPr>
            <w:tcW w:w="392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5100" w:type="dxa"/>
            <w:vAlign w:val="bottom"/>
          </w:tcPr>
          <w:p>
            <w:pPr>
              <w:ind w:left="1980"/>
              <w:spacing w:after="0"/>
              <w:rPr>
                <w:sz w:val="20"/>
                <w:szCs w:val="20"/>
                <w:color w:val="auto"/>
              </w:rPr>
            </w:pPr>
            <w:r>
              <w:rPr>
                <w:rFonts w:ascii="Arial" w:cs="Arial" w:eastAsia="Arial" w:hAnsi="Arial"/>
                <w:sz w:val="14"/>
                <w:szCs w:val="14"/>
                <w:color w:val="auto"/>
              </w:rPr>
              <w:t>SPECIFIED IN THE BOND OR POLICY</w:t>
            </w:r>
          </w:p>
        </w:tc>
      </w:tr>
      <w:tr>
        <w:trPr>
          <w:trHeight w:val="319"/>
        </w:trPr>
        <w:tc>
          <w:tcPr>
            <w:tcW w:w="3920" w:type="dxa"/>
            <w:vAlign w:val="bottom"/>
            <w:tcBorders>
              <w:right w:val="single" w:sz="8" w:color="auto"/>
            </w:tcBorders>
          </w:tcPr>
          <w:p>
            <w:pPr>
              <w:ind w:left="160"/>
              <w:spacing w:after="0"/>
              <w:rPr>
                <w:sz w:val="20"/>
                <w:szCs w:val="20"/>
                <w:color w:val="auto"/>
              </w:rPr>
            </w:pPr>
            <w:r>
              <w:rPr>
                <w:rFonts w:ascii="Arial" w:cs="Arial" w:eastAsia="Arial" w:hAnsi="Arial"/>
                <w:sz w:val="21"/>
                <w:szCs w:val="21"/>
                <w:color w:val="auto"/>
              </w:rPr>
              <w:t>ZBN-81M58129-16-N2</w:t>
            </w:r>
          </w:p>
        </w:tc>
        <w:tc>
          <w:tcPr>
            <w:tcW w:w="2400" w:type="dxa"/>
            <w:vAlign w:val="bottom"/>
            <w:tcBorders>
              <w:right w:val="single" w:sz="8" w:color="auto"/>
            </w:tcBorders>
          </w:tcPr>
          <w:p>
            <w:pPr>
              <w:jc w:val="center"/>
              <w:ind w:left="100"/>
              <w:spacing w:after="0"/>
              <w:rPr>
                <w:sz w:val="20"/>
                <w:szCs w:val="20"/>
                <w:color w:val="auto"/>
              </w:rPr>
            </w:pPr>
            <w:r>
              <w:rPr>
                <w:rFonts w:ascii="Arial" w:cs="Arial" w:eastAsia="Arial" w:hAnsi="Arial"/>
                <w:sz w:val="21"/>
                <w:szCs w:val="21"/>
                <w:color w:val="auto"/>
                <w:w w:val="90"/>
              </w:rPr>
              <w:t>05/27/16</w:t>
            </w:r>
          </w:p>
        </w:tc>
        <w:tc>
          <w:tcPr>
            <w:tcW w:w="5100" w:type="dxa"/>
            <w:vAlign w:val="bottom"/>
          </w:tcPr>
          <w:p>
            <w:pPr>
              <w:jc w:val="right"/>
              <w:ind w:right="3983"/>
              <w:spacing w:after="0"/>
              <w:rPr>
                <w:sz w:val="20"/>
                <w:szCs w:val="20"/>
                <w:color w:val="auto"/>
              </w:rPr>
            </w:pPr>
            <w:r>
              <w:rPr>
                <w:rFonts w:ascii="Arial" w:cs="Arial" w:eastAsia="Arial" w:hAnsi="Arial"/>
                <w:sz w:val="21"/>
                <w:szCs w:val="21"/>
                <w:color w:val="auto"/>
              </w:rPr>
              <w:t>05/31/16</w:t>
            </w:r>
          </w:p>
        </w:tc>
      </w:tr>
      <w:tr>
        <w:trPr>
          <w:trHeight w:val="127"/>
        </w:trPr>
        <w:tc>
          <w:tcPr>
            <w:tcW w:w="3920" w:type="dxa"/>
            <w:vAlign w:val="bottom"/>
            <w:tcBorders>
              <w:bottom w:val="single" w:sz="8" w:color="auto"/>
              <w:right w:val="single" w:sz="8" w:color="auto"/>
            </w:tcBorders>
          </w:tcPr>
          <w:p>
            <w:pPr>
              <w:spacing w:after="0"/>
              <w:rPr>
                <w:sz w:val="11"/>
                <w:szCs w:val="11"/>
                <w:color w:val="auto"/>
              </w:rPr>
            </w:pPr>
          </w:p>
        </w:tc>
        <w:tc>
          <w:tcPr>
            <w:tcW w:w="2400" w:type="dxa"/>
            <w:vAlign w:val="bottom"/>
            <w:tcBorders>
              <w:bottom w:val="single" w:sz="8" w:color="auto"/>
              <w:right w:val="single" w:sz="8" w:color="auto"/>
            </w:tcBorders>
          </w:tcPr>
          <w:p>
            <w:pPr>
              <w:spacing w:after="0"/>
              <w:rPr>
                <w:sz w:val="11"/>
                <w:szCs w:val="11"/>
                <w:color w:val="auto"/>
              </w:rPr>
            </w:pPr>
          </w:p>
        </w:tc>
        <w:tc>
          <w:tcPr>
            <w:tcW w:w="5100" w:type="dxa"/>
            <w:vAlign w:val="bottom"/>
            <w:tcBorders>
              <w:bottom w:val="single" w:sz="8" w:color="auto"/>
            </w:tcBorders>
          </w:tcPr>
          <w:p>
            <w:pPr>
              <w:spacing w:after="0"/>
              <w:rPr>
                <w:sz w:val="11"/>
                <w:szCs w:val="11"/>
                <w:color w:val="auto"/>
              </w:rPr>
            </w:pPr>
          </w:p>
        </w:tc>
      </w:tr>
    </w:tbl>
    <w:p>
      <w:pPr>
        <w:spacing w:after="0"/>
        <w:rPr>
          <w:sz w:val="20"/>
          <w:szCs w:val="20"/>
          <w:color w:val="auto"/>
        </w:rPr>
      </w:pPr>
      <w:r>
        <w:rPr>
          <w:rFonts w:ascii="Arial" w:cs="Arial" w:eastAsia="Arial" w:hAnsi="Arial"/>
          <w:sz w:val="14"/>
          <w:szCs w:val="14"/>
          <w:color w:val="auto"/>
        </w:rPr>
        <w:t>* ISSUED TO</w:t>
      </w:r>
    </w:p>
    <w:p>
      <w:pPr>
        <w:spacing w:after="0" w:line="55" w:lineRule="exact"/>
        <w:rPr>
          <w:sz w:val="20"/>
          <w:szCs w:val="20"/>
          <w:color w:val="auto"/>
        </w:rPr>
      </w:pPr>
    </w:p>
    <w:p>
      <w:pPr>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UNAUTHORIZED SIGNATURES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attached bond is amended by inserting an additional Insuring Agreement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INSURING AGREEMENT </w:t>
      </w:r>
      <w:r>
        <w:rPr>
          <w:rFonts w:ascii="Arial" w:cs="Arial" w:eastAsia="Arial" w:hAnsi="Arial"/>
          <w:sz w:val="18"/>
          <w:szCs w:val="18"/>
          <w:color w:val="auto"/>
        </w:rPr>
        <w:t>J</w:t>
      </w:r>
      <w:r>
        <w:rPr>
          <w:rFonts w:ascii="Arial" w:cs="Arial" w:eastAsia="Arial" w:hAnsi="Arial"/>
          <w:sz w:val="18"/>
          <w:szCs w:val="18"/>
          <w:b w:val="1"/>
          <w:bCs w:val="1"/>
          <w:color w:val="auto"/>
        </w:rPr>
        <w:t xml:space="preserve"> UNAUTHORIZED SIGNATURE</w:t>
      </w:r>
    </w:p>
    <w:p>
      <w:pPr>
        <w:spacing w:after="0" w:line="256" w:lineRule="exact"/>
        <w:rPr>
          <w:sz w:val="20"/>
          <w:szCs w:val="20"/>
          <w:color w:val="auto"/>
        </w:rPr>
      </w:pPr>
    </w:p>
    <w:p>
      <w:pPr>
        <w:jc w:val="both"/>
        <w:ind w:left="900" w:hanging="446"/>
        <w:spacing w:after="0" w:line="264"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Loss resulting directly from the Insured having accepted, paid or cashed any check or withdrawal order, draft, made or drawn on a customer’s account which bears the signature or endorsement of one other than a person whose name and signature is on the application on file with the Insured as a signatory on such account.</w:t>
      </w:r>
    </w:p>
    <w:p>
      <w:pPr>
        <w:spacing w:after="0" w:line="208"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It shall be a condition precedent to the Insured’s right of recovery under this Rider that the Insured shall have on file signatures of all persons who are authorized signatories on such account.</w:t>
      </w:r>
    </w:p>
    <w:p>
      <w:pPr>
        <w:spacing w:after="0" w:line="319"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total liability of the Underwriter under Insuring Agreement J is limited to the sum of</w:t>
      </w:r>
    </w:p>
    <w:p>
      <w:pPr>
        <w:spacing w:after="0" w:line="23" w:lineRule="exact"/>
        <w:rPr>
          <w:sz w:val="20"/>
          <w:szCs w:val="20"/>
          <w:color w:val="auto"/>
        </w:rPr>
      </w:pPr>
    </w:p>
    <w:p>
      <w:pPr>
        <w:ind w:left="1400"/>
        <w:spacing w:after="0"/>
        <w:tabs>
          <w:tab w:leader="none" w:pos="6000" w:val="left"/>
          <w:tab w:leader="none" w:pos="8060" w:val="left"/>
        </w:tabs>
        <w:rPr>
          <w:sz w:val="20"/>
          <w:szCs w:val="20"/>
          <w:color w:val="auto"/>
        </w:rPr>
      </w:pPr>
      <w:r>
        <w:rPr>
          <w:rFonts w:ascii="Arial" w:cs="Arial" w:eastAsia="Arial" w:hAnsi="Arial"/>
          <w:sz w:val="21"/>
          <w:szCs w:val="21"/>
          <w:color w:val="auto"/>
        </w:rPr>
        <w:t>Fifty Thousand</w:t>
      </w:r>
      <w:r>
        <w:rPr>
          <w:sz w:val="20"/>
          <w:szCs w:val="20"/>
          <w:color w:val="auto"/>
        </w:rPr>
        <w:tab/>
      </w:r>
      <w:r>
        <w:rPr>
          <w:rFonts w:ascii="Arial" w:cs="Arial" w:eastAsia="Arial" w:hAnsi="Arial"/>
          <w:sz w:val="18"/>
          <w:szCs w:val="18"/>
          <w:color w:val="auto"/>
        </w:rPr>
        <w:t xml:space="preserve">Dollars </w:t>
      </w:r>
      <w:r>
        <w:rPr>
          <w:rFonts w:ascii="Arial" w:cs="Arial" w:eastAsia="Arial" w:hAnsi="Arial"/>
          <w:sz w:val="20"/>
          <w:szCs w:val="20"/>
          <w:color w:val="auto"/>
        </w:rPr>
        <w:t>($50,000</w:t>
      </w:r>
      <w:r>
        <w:rPr>
          <w:sz w:val="20"/>
          <w:szCs w:val="20"/>
          <w:color w:val="auto"/>
        </w:rPr>
        <w:tab/>
      </w:r>
      <w:r>
        <w:rPr>
          <w:rFonts w:ascii="Arial" w:cs="Arial" w:eastAsia="Arial" w:hAnsi="Arial"/>
          <w:sz w:val="20"/>
          <w:szCs w:val="20"/>
          <w:color w:val="auto"/>
        </w:rPr>
        <w:t>), it</w:t>
      </w:r>
    </w:p>
    <w:p>
      <w:pPr>
        <w:spacing w:after="0" w:line="23" w:lineRule="exact"/>
        <w:rPr>
          <w:sz w:val="20"/>
          <w:szCs w:val="20"/>
          <w:color w:val="auto"/>
        </w:rPr>
      </w:pPr>
    </w:p>
    <w:p>
      <w:pPr>
        <w:ind w:left="460"/>
        <w:spacing w:after="0" w:line="267" w:lineRule="auto"/>
        <w:rPr>
          <w:sz w:val="20"/>
          <w:szCs w:val="20"/>
          <w:color w:val="auto"/>
        </w:rPr>
      </w:pPr>
      <w:r>
        <w:rPr>
          <w:rFonts w:ascii="Arial" w:cs="Arial" w:eastAsia="Arial" w:hAnsi="Arial"/>
          <w:sz w:val="18"/>
          <w:szCs w:val="18"/>
          <w:color w:val="auto"/>
        </w:rPr>
        <w:t>being understood, however, that such liability shall be part of and not in addition to the Limit of Liability stated in Item 3 of the Declarations of the attached bond or amendment thereof.</w:t>
      </w:r>
    </w:p>
    <w:p>
      <w:pPr>
        <w:spacing w:after="0" w:line="206"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respect to coverage afforded under this Rider, the Deductible Amount shall be</w:t>
      </w:r>
    </w:p>
    <w:p>
      <w:pPr>
        <w:spacing w:after="0" w:line="23" w:lineRule="exact"/>
        <w:rPr>
          <w:sz w:val="20"/>
          <w:szCs w:val="20"/>
          <w:color w:val="auto"/>
        </w:rPr>
      </w:pPr>
    </w:p>
    <w:p>
      <w:pPr>
        <w:ind w:left="1400"/>
        <w:spacing w:after="0"/>
        <w:tabs>
          <w:tab w:leader="none" w:pos="6000" w:val="left"/>
          <w:tab w:leader="none" w:pos="7760" w:val="left"/>
        </w:tabs>
        <w:rPr>
          <w:sz w:val="20"/>
          <w:szCs w:val="20"/>
          <w:color w:val="auto"/>
        </w:rPr>
      </w:pPr>
      <w:r>
        <w:rPr>
          <w:rFonts w:ascii="Arial" w:cs="Arial" w:eastAsia="Arial" w:hAnsi="Arial"/>
          <w:sz w:val="21"/>
          <w:szCs w:val="21"/>
          <w:color w:val="auto"/>
        </w:rPr>
        <w:t>Five Thousand</w:t>
      </w:r>
      <w:r>
        <w:rPr>
          <w:sz w:val="20"/>
          <w:szCs w:val="20"/>
          <w:color w:val="auto"/>
        </w:rPr>
        <w:tab/>
      </w:r>
      <w:r>
        <w:rPr>
          <w:rFonts w:ascii="Arial" w:cs="Arial" w:eastAsia="Arial" w:hAnsi="Arial"/>
          <w:sz w:val="18"/>
          <w:szCs w:val="18"/>
          <w:color w:val="auto"/>
        </w:rPr>
        <w:t xml:space="preserve">Dollars </w:t>
      </w:r>
      <w:r>
        <w:rPr>
          <w:rFonts w:ascii="Arial" w:cs="Arial" w:eastAsia="Arial" w:hAnsi="Arial"/>
          <w:sz w:val="20"/>
          <w:szCs w:val="20"/>
          <w:color w:val="auto"/>
        </w:rPr>
        <w:t>($5,000</w:t>
      </w:r>
      <w:r>
        <w:rPr>
          <w:sz w:val="20"/>
          <w:szCs w:val="20"/>
          <w:color w:val="auto"/>
        </w:rPr>
        <w:tab/>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200" w:lineRule="exact"/>
        <w:rPr>
          <w:sz w:val="20"/>
          <w:szCs w:val="20"/>
          <w:color w:val="auto"/>
        </w:rPr>
      </w:pPr>
    </w:p>
    <w:p>
      <w:pPr>
        <w:spacing w:after="0" w:line="25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-101600</wp:posOffset>
            </wp:positionV>
            <wp:extent cx="24872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21"/>
          <w:szCs w:val="21"/>
          <w:color w:val="auto"/>
        </w:rPr>
        <w:t>INSURED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ICB012 Ed. 7-04</w:t>
      </w:r>
    </w:p>
    <w:p>
      <w:pPr>
        <w:spacing w:after="0" w:line="23" w:lineRule="exact"/>
        <w:rPr>
          <w:sz w:val="20"/>
          <w:szCs w:val="20"/>
          <w:color w:val="auto"/>
        </w:rPr>
      </w:pPr>
    </w:p>
    <w:p>
      <w:pPr>
        <w:ind w:left="220" w:hanging="212"/>
        <w:spacing w:after="0"/>
        <w:tabs>
          <w:tab w:leader="none" w:pos="220" w:val="left"/>
        </w:tabs>
        <w:numPr>
          <w:ilvl w:val="0"/>
          <w:numId w:val="60"/>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ectPr>
          <w:pgSz w:w="11900" w:h="16838" w:orient="portrait"/>
          <w:cols w:equalWidth="0" w:num="1">
            <w:col w:w="11420"/>
          </w:cols>
          <w:pgMar w:left="240" w:top="274" w:right="239" w:bottom="1440" w:gutter="0" w:footer="0" w:header="0"/>
        </w:sectPr>
      </w:pPr>
    </w:p>
    <w:bookmarkStart w:id="18" w:name="page19"/>
    <w:bookmarkEnd w:id="18"/>
    <w:p>
      <w:pPr>
        <w:jc w:val="center"/>
        <w:ind w:right="-19"/>
        <w:spacing w:after="0"/>
        <w:tabs>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OR RIDER NO.</w:t>
      </w:r>
      <w:r>
        <w:rPr>
          <w:sz w:val="20"/>
          <w:szCs w:val="20"/>
          <w:color w:val="auto"/>
        </w:rPr>
        <w:tab/>
      </w:r>
      <w:r>
        <w:rPr>
          <w:rFonts w:ascii="Arial" w:cs="Arial" w:eastAsia="Arial" w:hAnsi="Arial"/>
          <w:sz w:val="17"/>
          <w:szCs w:val="17"/>
          <w:color w:val="auto"/>
        </w:rPr>
        <w:t>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ENDORSEMENT CHANGES THE POLICY. PLEASE READ IT CAREFULLY.</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3900" w:type="dxa"/>
            <w:vAlign w:val="bottom"/>
            <w:tcBorders>
              <w:top w:val="single" w:sz="8" w:color="auto"/>
              <w:right w:val="single" w:sz="8" w:color="auto"/>
            </w:tcBorders>
          </w:tcPr>
          <w:p>
            <w:pPr>
              <w:ind w:left="140"/>
              <w:spacing w:after="0" w:line="121" w:lineRule="exact"/>
              <w:rPr>
                <w:sz w:val="20"/>
                <w:szCs w:val="20"/>
                <w:color w:val="auto"/>
              </w:rPr>
            </w:pPr>
            <w:r>
              <w:rPr>
                <w:rFonts w:ascii="Arial" w:cs="Arial" w:eastAsia="Arial" w:hAnsi="Arial"/>
                <w:sz w:val="13"/>
                <w:szCs w:val="13"/>
                <w:color w:val="auto"/>
              </w:rPr>
              <w:t>ATTACHED TO AND FORMING PART OF</w:t>
            </w:r>
          </w:p>
        </w:tc>
        <w:tc>
          <w:tcPr>
            <w:tcW w:w="560" w:type="dxa"/>
            <w:vAlign w:val="bottom"/>
            <w:tcBorders>
              <w:top w:val="single" w:sz="8" w:color="auto"/>
            </w:tcBorders>
          </w:tcPr>
          <w:p>
            <w:pPr>
              <w:spacing w:after="0"/>
              <w:rPr>
                <w:sz w:val="10"/>
                <w:szCs w:val="10"/>
                <w:color w:val="auto"/>
              </w:rPr>
            </w:pPr>
          </w:p>
        </w:tc>
        <w:tc>
          <w:tcPr>
            <w:tcW w:w="1840" w:type="dxa"/>
            <w:vAlign w:val="bottom"/>
            <w:tcBorders>
              <w:top w:val="single" w:sz="8" w:color="auto"/>
              <w:right w:val="single" w:sz="8" w:color="auto"/>
            </w:tcBorders>
          </w:tcPr>
          <w:p>
            <w:pPr>
              <w:jc w:val="center"/>
              <w:ind w:right="303"/>
              <w:spacing w:after="0" w:line="121" w:lineRule="exact"/>
              <w:rPr>
                <w:sz w:val="20"/>
                <w:szCs w:val="20"/>
                <w:color w:val="auto"/>
              </w:rPr>
            </w:pPr>
            <w:r>
              <w:rPr>
                <w:rFonts w:ascii="Arial" w:cs="Arial" w:eastAsia="Arial" w:hAnsi="Arial"/>
                <w:sz w:val="13"/>
                <w:szCs w:val="13"/>
                <w:color w:val="auto"/>
                <w:w w:val="93"/>
              </w:rPr>
              <w:t>DATE ENDORSEMENT</w:t>
            </w:r>
          </w:p>
        </w:tc>
        <w:tc>
          <w:tcPr>
            <w:tcW w:w="5100" w:type="dxa"/>
            <w:vAlign w:val="bottom"/>
            <w:tcBorders>
              <w:top w:val="single" w:sz="8" w:color="auto"/>
            </w:tcBorders>
          </w:tcPr>
          <w:p>
            <w:pPr>
              <w:ind w:left="200"/>
              <w:spacing w:after="0" w:line="121" w:lineRule="exact"/>
              <w:rPr>
                <w:sz w:val="20"/>
                <w:szCs w:val="20"/>
                <w:color w:val="auto"/>
              </w:rPr>
            </w:pPr>
            <w:r>
              <w:rPr>
                <w:rFonts w:ascii="Arial" w:cs="Arial" w:eastAsia="Arial" w:hAnsi="Arial"/>
                <w:sz w:val="13"/>
                <w:szCs w:val="13"/>
                <w:color w:val="auto"/>
              </w:rPr>
              <w:t>* EFFECTIVE DATE OF ENDORSEMENT OR RIDER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00" w:type="dxa"/>
            <w:vAlign w:val="bottom"/>
            <w:tcBorders>
              <w:right w:val="single" w:sz="8" w:color="auto"/>
            </w:tcBorders>
          </w:tcPr>
          <w:p>
            <w:pPr>
              <w:ind w:left="500"/>
              <w:spacing w:after="0" w:line="135" w:lineRule="exact"/>
              <w:rPr>
                <w:sz w:val="20"/>
                <w:szCs w:val="20"/>
                <w:color w:val="auto"/>
              </w:rPr>
            </w:pPr>
            <w:r>
              <w:rPr>
                <w:rFonts w:ascii="Arial" w:cs="Arial" w:eastAsia="Arial" w:hAnsi="Arial"/>
                <w:sz w:val="13"/>
                <w:szCs w:val="13"/>
                <w:color w:val="auto"/>
              </w:rPr>
              <w:t>BOND OR POLICY NO.</w:t>
            </w:r>
          </w:p>
        </w:tc>
        <w:tc>
          <w:tcPr>
            <w:tcW w:w="560" w:type="dxa"/>
            <w:vAlign w:val="bottom"/>
          </w:tcPr>
          <w:p>
            <w:pPr>
              <w:spacing w:after="0"/>
              <w:rPr>
                <w:sz w:val="11"/>
                <w:szCs w:val="11"/>
                <w:color w:val="auto"/>
              </w:rPr>
            </w:pPr>
          </w:p>
        </w:tc>
        <w:tc>
          <w:tcPr>
            <w:tcW w:w="1840" w:type="dxa"/>
            <w:vAlign w:val="bottom"/>
            <w:tcBorders>
              <w:right w:val="single" w:sz="8" w:color="auto"/>
            </w:tcBorders>
          </w:tcPr>
          <w:p>
            <w:pPr>
              <w:jc w:val="center"/>
              <w:ind w:right="283"/>
              <w:spacing w:after="0" w:line="135" w:lineRule="exact"/>
              <w:rPr>
                <w:sz w:val="20"/>
                <w:szCs w:val="20"/>
                <w:color w:val="auto"/>
              </w:rPr>
            </w:pPr>
            <w:r>
              <w:rPr>
                <w:rFonts w:ascii="Arial" w:cs="Arial" w:eastAsia="Arial" w:hAnsi="Arial"/>
                <w:sz w:val="13"/>
                <w:szCs w:val="13"/>
                <w:color w:val="auto"/>
                <w:w w:val="92"/>
              </w:rPr>
              <w:t>OR RIDER EXECUTED</w:t>
            </w:r>
          </w:p>
        </w:tc>
        <w:tc>
          <w:tcPr>
            <w:tcW w:w="5100" w:type="dxa"/>
            <w:vAlign w:val="bottom"/>
          </w:tcPr>
          <w:p>
            <w:pPr>
              <w:ind w:left="1900"/>
              <w:spacing w:after="0" w:line="135" w:lineRule="exact"/>
              <w:rPr>
                <w:sz w:val="20"/>
                <w:szCs w:val="20"/>
                <w:color w:val="auto"/>
              </w:rPr>
            </w:pPr>
            <w:r>
              <w:rPr>
                <w:rFonts w:ascii="Arial" w:cs="Arial" w:eastAsia="Arial" w:hAnsi="Arial"/>
                <w:sz w:val="13"/>
                <w:szCs w:val="13"/>
                <w:color w:val="auto"/>
              </w:rPr>
              <w:t>12:01 A.M. STANDARD TIME AS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00" w:type="dxa"/>
            <w:vAlign w:val="bottom"/>
            <w:tcBorders>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5100" w:type="dxa"/>
            <w:vAlign w:val="bottom"/>
          </w:tcPr>
          <w:p>
            <w:pPr>
              <w:ind w:left="186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ZBN-81M58129-16-N2</w:t>
            </w:r>
          </w:p>
        </w:tc>
        <w:tc>
          <w:tcPr>
            <w:tcW w:w="560" w:type="dxa"/>
            <w:vAlign w:val="bottom"/>
          </w:tcPr>
          <w:p>
            <w:pPr>
              <w:spacing w:after="0"/>
              <w:rPr>
                <w:sz w:val="24"/>
                <w:szCs w:val="24"/>
                <w:color w:val="auto"/>
              </w:rPr>
            </w:pPr>
          </w:p>
        </w:tc>
        <w:tc>
          <w:tcPr>
            <w:tcW w:w="1840" w:type="dxa"/>
            <w:vAlign w:val="bottom"/>
            <w:tcBorders>
              <w:right w:val="single" w:sz="8" w:color="auto"/>
            </w:tcBorders>
          </w:tcPr>
          <w:p>
            <w:pPr>
              <w:jc w:val="center"/>
              <w:ind w:right="303"/>
              <w:spacing w:after="0"/>
              <w:rPr>
                <w:sz w:val="20"/>
                <w:szCs w:val="20"/>
                <w:color w:val="auto"/>
              </w:rPr>
            </w:pPr>
            <w:r>
              <w:rPr>
                <w:rFonts w:ascii="Arial" w:cs="Arial" w:eastAsia="Arial" w:hAnsi="Arial"/>
                <w:sz w:val="21"/>
                <w:szCs w:val="21"/>
                <w:color w:val="auto"/>
                <w:w w:val="90"/>
              </w:rPr>
              <w:t>05/27/16</w:t>
            </w:r>
          </w:p>
        </w:tc>
        <w:tc>
          <w:tcPr>
            <w:tcW w:w="5100" w:type="dxa"/>
            <w:vAlign w:val="bottom"/>
          </w:tcPr>
          <w:p>
            <w:pPr>
              <w:jc w:val="right"/>
              <w:ind w:right="3987"/>
              <w:spacing w:after="0"/>
              <w:rPr>
                <w:sz w:val="20"/>
                <w:szCs w:val="20"/>
                <w:color w:val="auto"/>
              </w:rPr>
            </w:pPr>
            <w:r>
              <w:rPr>
                <w:rFonts w:ascii="Arial" w:cs="Arial" w:eastAsia="Arial" w:hAnsi="Arial"/>
                <w:sz w:val="21"/>
                <w:szCs w:val="21"/>
                <w:color w:val="auto"/>
              </w:rPr>
              <w:t>05/31/16</w:t>
            </w: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390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5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460" w:type="dxa"/>
            <w:vAlign w:val="bottom"/>
            <w:gridSpan w:val="2"/>
          </w:tcPr>
          <w:p>
            <w:pPr>
              <w:spacing w:after="0"/>
              <w:rPr>
                <w:sz w:val="20"/>
                <w:szCs w:val="20"/>
                <w:color w:val="auto"/>
              </w:rPr>
            </w:pPr>
            <w:r>
              <w:rPr>
                <w:rFonts w:ascii="Arial" w:cs="Arial" w:eastAsia="Arial" w:hAnsi="Arial"/>
                <w:sz w:val="13"/>
                <w:szCs w:val="13"/>
                <w:color w:val="auto"/>
              </w:rPr>
              <w:t>* ISSUED TO</w:t>
            </w:r>
          </w:p>
        </w:tc>
        <w:tc>
          <w:tcPr>
            <w:tcW w:w="18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480" w:type="dxa"/>
            <w:vAlign w:val="bottom"/>
            <w:gridSpan w:val="3"/>
          </w:tcPr>
          <w:p>
            <w:pPr>
              <w:spacing w:after="0"/>
              <w:rPr>
                <w:sz w:val="20"/>
                <w:szCs w:val="20"/>
                <w:color w:val="auto"/>
              </w:rPr>
            </w:pPr>
            <w:r>
              <w:rPr>
                <w:rFonts w:ascii="Arial" w:cs="Arial" w:eastAsia="Arial" w:hAnsi="Arial"/>
                <w:sz w:val="21"/>
                <w:szCs w:val="21"/>
                <w:color w:val="auto"/>
                <w:w w:val="96"/>
              </w:rPr>
              <w:t>PENNANTPARK INVESTMENT CORPORATION</w:t>
            </w:r>
          </w:p>
        </w:tc>
        <w:tc>
          <w:tcPr>
            <w:tcW w:w="18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auto"/>
            </w:tcBorders>
          </w:tcPr>
          <w:p>
            <w:pPr>
              <w:spacing w:after="0"/>
              <w:rPr>
                <w:sz w:val="7"/>
                <w:szCs w:val="7"/>
                <w:color w:val="auto"/>
              </w:rPr>
            </w:pPr>
          </w:p>
        </w:tc>
        <w:tc>
          <w:tcPr>
            <w:tcW w:w="39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5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DEFINITION OF INVESTMENT COMPANY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Section 1, Definitions, under General Agreements is amended to include the following paragraph:</w:t>
      </w:r>
    </w:p>
    <w:p>
      <w:pPr>
        <w:spacing w:after="0" w:line="252"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Investment Company means an investment company registered under the Investment Company Act of 1940 and as listed under the names of Insureds on the Declarations.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200" w:lineRule="exact"/>
        <w:rPr>
          <w:sz w:val="20"/>
          <w:szCs w:val="20"/>
          <w:color w:val="auto"/>
        </w:rPr>
      </w:pPr>
    </w:p>
    <w:p>
      <w:pPr>
        <w:spacing w:after="0" w:line="25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-101600</wp:posOffset>
            </wp:positionV>
            <wp:extent cx="24872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INSURED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ICB016 Ed. 7-04</w:t>
      </w:r>
    </w:p>
    <w:p>
      <w:pPr>
        <w:spacing w:after="0" w:line="23" w:lineRule="exact"/>
        <w:rPr>
          <w:sz w:val="20"/>
          <w:szCs w:val="20"/>
          <w:color w:val="auto"/>
        </w:rPr>
      </w:pPr>
    </w:p>
    <w:p>
      <w:pPr>
        <w:ind w:left="220" w:hanging="212"/>
        <w:spacing w:after="0"/>
        <w:tabs>
          <w:tab w:leader="none" w:pos="220" w:val="left"/>
        </w:tabs>
        <w:numPr>
          <w:ilvl w:val="0"/>
          <w:numId w:val="62"/>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ectPr>
          <w:pgSz w:w="11900" w:h="16838" w:orient="portrait"/>
          <w:cols w:equalWidth="0" w:num="1">
            <w:col w:w="11420"/>
          </w:cols>
          <w:pgMar w:left="240" w:top="274" w:right="239" w:bottom="1440" w:gutter="0" w:footer="0" w:header="0"/>
        </w:sectPr>
      </w:pPr>
    </w:p>
    <w:bookmarkStart w:id="19" w:name="page20"/>
    <w:bookmarkEnd w:id="19"/>
    <w:p>
      <w:pPr>
        <w:jc w:val="center"/>
        <w:ind w:right="-19"/>
        <w:spacing w:after="0"/>
        <w:tabs>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ENDORSEMENT OR RIDER NO.</w:t>
      </w:r>
      <w:r>
        <w:rPr>
          <w:sz w:val="20"/>
          <w:szCs w:val="20"/>
          <w:color w:val="auto"/>
        </w:rPr>
        <w:tab/>
      </w:r>
      <w:r>
        <w:rPr>
          <w:rFonts w:ascii="Arial" w:cs="Arial" w:eastAsia="Arial" w:hAnsi="Arial"/>
          <w:sz w:val="17"/>
          <w:szCs w:val="17"/>
          <w:color w:val="auto"/>
        </w:rPr>
        <w:t>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ENDORSEMENT CHANGES THE POLICY. PLEASE READ IT CAREFULLY.</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3900" w:type="dxa"/>
            <w:vAlign w:val="bottom"/>
            <w:tcBorders>
              <w:top w:val="single" w:sz="8" w:color="auto"/>
              <w:right w:val="single" w:sz="8" w:color="auto"/>
            </w:tcBorders>
          </w:tcPr>
          <w:p>
            <w:pPr>
              <w:ind w:left="140"/>
              <w:spacing w:after="0" w:line="121" w:lineRule="exact"/>
              <w:rPr>
                <w:sz w:val="20"/>
                <w:szCs w:val="20"/>
                <w:color w:val="auto"/>
              </w:rPr>
            </w:pPr>
            <w:r>
              <w:rPr>
                <w:rFonts w:ascii="Arial" w:cs="Arial" w:eastAsia="Arial" w:hAnsi="Arial"/>
                <w:sz w:val="13"/>
                <w:szCs w:val="13"/>
                <w:color w:val="auto"/>
              </w:rPr>
              <w:t>ATTACHED TO AND FORMING PART OF</w:t>
            </w:r>
          </w:p>
        </w:tc>
        <w:tc>
          <w:tcPr>
            <w:tcW w:w="560" w:type="dxa"/>
            <w:vAlign w:val="bottom"/>
            <w:tcBorders>
              <w:top w:val="single" w:sz="8" w:color="auto"/>
            </w:tcBorders>
          </w:tcPr>
          <w:p>
            <w:pPr>
              <w:spacing w:after="0"/>
              <w:rPr>
                <w:sz w:val="10"/>
                <w:szCs w:val="10"/>
                <w:color w:val="auto"/>
              </w:rPr>
            </w:pPr>
          </w:p>
        </w:tc>
        <w:tc>
          <w:tcPr>
            <w:tcW w:w="1840" w:type="dxa"/>
            <w:vAlign w:val="bottom"/>
            <w:tcBorders>
              <w:top w:val="single" w:sz="8" w:color="auto"/>
              <w:right w:val="single" w:sz="8" w:color="auto"/>
            </w:tcBorders>
          </w:tcPr>
          <w:p>
            <w:pPr>
              <w:jc w:val="center"/>
              <w:ind w:right="303"/>
              <w:spacing w:after="0" w:line="121" w:lineRule="exact"/>
              <w:rPr>
                <w:sz w:val="20"/>
                <w:szCs w:val="20"/>
                <w:color w:val="auto"/>
              </w:rPr>
            </w:pPr>
            <w:r>
              <w:rPr>
                <w:rFonts w:ascii="Arial" w:cs="Arial" w:eastAsia="Arial" w:hAnsi="Arial"/>
                <w:sz w:val="13"/>
                <w:szCs w:val="13"/>
                <w:color w:val="auto"/>
                <w:w w:val="93"/>
              </w:rPr>
              <w:t>DATE ENDORSEMENT</w:t>
            </w:r>
          </w:p>
        </w:tc>
        <w:tc>
          <w:tcPr>
            <w:tcW w:w="5100" w:type="dxa"/>
            <w:vAlign w:val="bottom"/>
            <w:tcBorders>
              <w:top w:val="single" w:sz="8" w:color="auto"/>
            </w:tcBorders>
          </w:tcPr>
          <w:p>
            <w:pPr>
              <w:ind w:left="200"/>
              <w:spacing w:after="0" w:line="121" w:lineRule="exact"/>
              <w:rPr>
                <w:sz w:val="20"/>
                <w:szCs w:val="20"/>
                <w:color w:val="auto"/>
              </w:rPr>
            </w:pPr>
            <w:r>
              <w:rPr>
                <w:rFonts w:ascii="Arial" w:cs="Arial" w:eastAsia="Arial" w:hAnsi="Arial"/>
                <w:sz w:val="13"/>
                <w:szCs w:val="13"/>
                <w:color w:val="auto"/>
              </w:rPr>
              <w:t>* EFFECTIVE DATE OF ENDORSEMENT OR RIDER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00" w:type="dxa"/>
            <w:vAlign w:val="bottom"/>
            <w:tcBorders>
              <w:right w:val="single" w:sz="8" w:color="auto"/>
            </w:tcBorders>
          </w:tcPr>
          <w:p>
            <w:pPr>
              <w:ind w:left="500"/>
              <w:spacing w:after="0" w:line="135" w:lineRule="exact"/>
              <w:rPr>
                <w:sz w:val="20"/>
                <w:szCs w:val="20"/>
                <w:color w:val="auto"/>
              </w:rPr>
            </w:pPr>
            <w:r>
              <w:rPr>
                <w:rFonts w:ascii="Arial" w:cs="Arial" w:eastAsia="Arial" w:hAnsi="Arial"/>
                <w:sz w:val="13"/>
                <w:szCs w:val="13"/>
                <w:color w:val="auto"/>
              </w:rPr>
              <w:t>BOND OR POLICY NO.</w:t>
            </w:r>
          </w:p>
        </w:tc>
        <w:tc>
          <w:tcPr>
            <w:tcW w:w="560" w:type="dxa"/>
            <w:vAlign w:val="bottom"/>
          </w:tcPr>
          <w:p>
            <w:pPr>
              <w:spacing w:after="0"/>
              <w:rPr>
                <w:sz w:val="11"/>
                <w:szCs w:val="11"/>
                <w:color w:val="auto"/>
              </w:rPr>
            </w:pPr>
          </w:p>
        </w:tc>
        <w:tc>
          <w:tcPr>
            <w:tcW w:w="1840" w:type="dxa"/>
            <w:vAlign w:val="bottom"/>
            <w:tcBorders>
              <w:right w:val="single" w:sz="8" w:color="auto"/>
            </w:tcBorders>
          </w:tcPr>
          <w:p>
            <w:pPr>
              <w:jc w:val="center"/>
              <w:ind w:right="283"/>
              <w:spacing w:after="0" w:line="135" w:lineRule="exact"/>
              <w:rPr>
                <w:sz w:val="20"/>
                <w:szCs w:val="20"/>
                <w:color w:val="auto"/>
              </w:rPr>
            </w:pPr>
            <w:r>
              <w:rPr>
                <w:rFonts w:ascii="Arial" w:cs="Arial" w:eastAsia="Arial" w:hAnsi="Arial"/>
                <w:sz w:val="13"/>
                <w:szCs w:val="13"/>
                <w:color w:val="auto"/>
                <w:w w:val="92"/>
              </w:rPr>
              <w:t>OR RIDER EXECUTED</w:t>
            </w:r>
          </w:p>
        </w:tc>
        <w:tc>
          <w:tcPr>
            <w:tcW w:w="5100" w:type="dxa"/>
            <w:vAlign w:val="bottom"/>
          </w:tcPr>
          <w:p>
            <w:pPr>
              <w:ind w:left="1860"/>
              <w:spacing w:after="0" w:line="135" w:lineRule="exact"/>
              <w:rPr>
                <w:sz w:val="20"/>
                <w:szCs w:val="20"/>
                <w:color w:val="auto"/>
              </w:rPr>
            </w:pPr>
            <w:r>
              <w:rPr>
                <w:rFonts w:ascii="Arial" w:cs="Arial" w:eastAsia="Arial" w:hAnsi="Arial"/>
                <w:sz w:val="13"/>
                <w:szCs w:val="13"/>
                <w:color w:val="auto"/>
              </w:rPr>
              <w:t>12:01 A.M. STANDARD TIME AS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00" w:type="dxa"/>
            <w:vAlign w:val="bottom"/>
            <w:tcBorders>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5100" w:type="dxa"/>
            <w:vAlign w:val="bottom"/>
          </w:tcPr>
          <w:p>
            <w:pPr>
              <w:ind w:left="186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1"/>
                <w:szCs w:val="21"/>
                <w:color w:val="auto"/>
              </w:rPr>
              <w:t>ZBN-81M58129-16-N2</w:t>
            </w:r>
          </w:p>
        </w:tc>
        <w:tc>
          <w:tcPr>
            <w:tcW w:w="560" w:type="dxa"/>
            <w:vAlign w:val="bottom"/>
          </w:tcPr>
          <w:p>
            <w:pPr>
              <w:spacing w:after="0"/>
              <w:rPr>
                <w:sz w:val="24"/>
                <w:szCs w:val="24"/>
                <w:color w:val="auto"/>
              </w:rPr>
            </w:pPr>
          </w:p>
        </w:tc>
        <w:tc>
          <w:tcPr>
            <w:tcW w:w="1840" w:type="dxa"/>
            <w:vAlign w:val="bottom"/>
            <w:tcBorders>
              <w:right w:val="single" w:sz="8" w:color="auto"/>
            </w:tcBorders>
          </w:tcPr>
          <w:p>
            <w:pPr>
              <w:jc w:val="center"/>
              <w:ind w:right="303"/>
              <w:spacing w:after="0"/>
              <w:rPr>
                <w:sz w:val="20"/>
                <w:szCs w:val="20"/>
                <w:color w:val="auto"/>
              </w:rPr>
            </w:pPr>
            <w:r>
              <w:rPr>
                <w:rFonts w:ascii="Arial" w:cs="Arial" w:eastAsia="Arial" w:hAnsi="Arial"/>
                <w:sz w:val="21"/>
                <w:szCs w:val="21"/>
                <w:color w:val="auto"/>
                <w:w w:val="90"/>
              </w:rPr>
              <w:t>05/27/16</w:t>
            </w:r>
          </w:p>
        </w:tc>
        <w:tc>
          <w:tcPr>
            <w:tcW w:w="5100" w:type="dxa"/>
            <w:vAlign w:val="bottom"/>
          </w:tcPr>
          <w:p>
            <w:pPr>
              <w:jc w:val="right"/>
              <w:ind w:right="3987"/>
              <w:spacing w:after="0"/>
              <w:rPr>
                <w:sz w:val="20"/>
                <w:szCs w:val="20"/>
                <w:color w:val="auto"/>
              </w:rPr>
            </w:pPr>
            <w:r>
              <w:rPr>
                <w:rFonts w:ascii="Arial" w:cs="Arial" w:eastAsia="Arial" w:hAnsi="Arial"/>
                <w:sz w:val="21"/>
                <w:szCs w:val="21"/>
                <w:color w:val="auto"/>
              </w:rPr>
              <w:t>05/31/16</w:t>
            </w: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390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5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460" w:type="dxa"/>
            <w:vAlign w:val="bottom"/>
            <w:gridSpan w:val="2"/>
          </w:tcPr>
          <w:p>
            <w:pPr>
              <w:spacing w:after="0"/>
              <w:rPr>
                <w:sz w:val="20"/>
                <w:szCs w:val="20"/>
                <w:color w:val="auto"/>
              </w:rPr>
            </w:pPr>
            <w:r>
              <w:rPr>
                <w:rFonts w:ascii="Arial" w:cs="Arial" w:eastAsia="Arial" w:hAnsi="Arial"/>
                <w:sz w:val="13"/>
                <w:szCs w:val="13"/>
                <w:color w:val="auto"/>
              </w:rPr>
              <w:t>* ISSUED TO</w:t>
            </w:r>
          </w:p>
        </w:tc>
        <w:tc>
          <w:tcPr>
            <w:tcW w:w="18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480" w:type="dxa"/>
            <w:vAlign w:val="bottom"/>
            <w:gridSpan w:val="3"/>
          </w:tcPr>
          <w:p>
            <w:pPr>
              <w:spacing w:after="0"/>
              <w:rPr>
                <w:sz w:val="20"/>
                <w:szCs w:val="20"/>
                <w:color w:val="auto"/>
              </w:rPr>
            </w:pPr>
            <w:r>
              <w:rPr>
                <w:rFonts w:ascii="Arial" w:cs="Arial" w:eastAsia="Arial" w:hAnsi="Arial"/>
                <w:sz w:val="21"/>
                <w:szCs w:val="21"/>
                <w:color w:val="auto"/>
                <w:w w:val="96"/>
              </w:rPr>
              <w:t>PENNANTPARK INVESTMENT CORPORATION</w:t>
            </w:r>
          </w:p>
        </w:tc>
        <w:tc>
          <w:tcPr>
            <w:tcW w:w="18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auto"/>
            </w:tcBorders>
          </w:tcPr>
          <w:p>
            <w:pPr>
              <w:spacing w:after="0"/>
              <w:rPr>
                <w:sz w:val="7"/>
                <w:szCs w:val="7"/>
                <w:color w:val="auto"/>
              </w:rPr>
            </w:pPr>
          </w:p>
        </w:tc>
        <w:tc>
          <w:tcPr>
            <w:tcW w:w="39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5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ADD EXCLUSIONS (N) &amp; (O)</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Section 2, Exclusions, under General Agreements, is amended to include the following sub-sections:</w:t>
      </w:r>
    </w:p>
    <w:p>
      <w:pPr>
        <w:spacing w:after="0" w:line="252" w:lineRule="exact"/>
        <w:rPr>
          <w:rFonts w:ascii="Arial" w:cs="Arial" w:eastAsia="Arial" w:hAnsi="Arial"/>
          <w:sz w:val="18"/>
          <w:szCs w:val="18"/>
          <w:color w:val="auto"/>
        </w:rPr>
      </w:pPr>
    </w:p>
    <w:p>
      <w:pPr>
        <w:ind w:left="900" w:right="20" w:hanging="446"/>
        <w:spacing w:after="0" w:line="342" w:lineRule="auto"/>
        <w:tabs>
          <w:tab w:leader="none" w:pos="900" w:val="left"/>
        </w:tabs>
        <w:numPr>
          <w:ilvl w:val="1"/>
          <w:numId w:val="63"/>
        </w:numPr>
        <w:rPr>
          <w:rFonts w:ascii="Arial" w:cs="Arial" w:eastAsia="Arial" w:hAnsi="Arial"/>
          <w:sz w:val="16"/>
          <w:szCs w:val="16"/>
          <w:color w:val="auto"/>
        </w:rPr>
      </w:pPr>
      <w:r>
        <w:rPr>
          <w:rFonts w:ascii="Arial" w:cs="Arial" w:eastAsia="Arial" w:hAnsi="Arial"/>
          <w:sz w:val="16"/>
          <w:szCs w:val="16"/>
          <w:color w:val="auto"/>
        </w:rPr>
        <w:t>loss from the use of credit, debit, charge, access, convenience, identification, cash management or other cards, whether such cards were issued or purport to have been issued by the Insured or by anyone else, unless such loss is otherwise covered under Insuring Agreement A.</w:t>
      </w:r>
    </w:p>
    <w:p>
      <w:pPr>
        <w:spacing w:after="0" w:line="150" w:lineRule="exact"/>
        <w:rPr>
          <w:rFonts w:ascii="Arial" w:cs="Arial" w:eastAsia="Arial" w:hAnsi="Arial"/>
          <w:sz w:val="16"/>
          <w:szCs w:val="16"/>
          <w:color w:val="auto"/>
        </w:rPr>
      </w:pPr>
    </w:p>
    <w:p>
      <w:pPr>
        <w:jc w:val="both"/>
        <w:ind w:left="900" w:hanging="446"/>
        <w:spacing w:after="0" w:line="264" w:lineRule="auto"/>
        <w:tabs>
          <w:tab w:leader="none" w:pos="9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underwriter shall not be liable under the attached bond for loss due to liability imposed upon the Insured as a result of the unlawful disclosure of non-public material information by the Insured or any Employee, or as a result of any Employee acting upon such information, whether authorized or unauthorized.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19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-101600</wp:posOffset>
            </wp:positionV>
            <wp:extent cx="24872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1"/>
          <w:szCs w:val="21"/>
          <w:color w:val="auto"/>
        </w:rPr>
        <w:t>INSURED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ICB026 Ed. 7-04</w:t>
      </w:r>
    </w:p>
    <w:p>
      <w:pPr>
        <w:spacing w:after="0" w:line="23" w:lineRule="exact"/>
        <w:rPr>
          <w:sz w:val="20"/>
          <w:szCs w:val="20"/>
          <w:color w:val="auto"/>
        </w:rPr>
      </w:pPr>
    </w:p>
    <w:p>
      <w:pPr>
        <w:ind w:left="220" w:hanging="212"/>
        <w:spacing w:after="0"/>
        <w:tabs>
          <w:tab w:leader="none" w:pos="220" w:val="left"/>
        </w:tabs>
        <w:numPr>
          <w:ilvl w:val="0"/>
          <w:numId w:val="64"/>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ectPr>
          <w:pgSz w:w="11900" w:h="16838" w:orient="portrait"/>
          <w:cols w:equalWidth="0" w:num="1">
            <w:col w:w="11420"/>
          </w:cols>
          <w:pgMar w:left="240" w:top="274" w:right="239" w:bottom="1440" w:gutter="0" w:footer="0" w:header="0"/>
        </w:sectPr>
      </w:pPr>
    </w:p>
    <w:bookmarkStart w:id="20" w:name="page21"/>
    <w:bookmarkEnd w:id="20"/>
    <w:p>
      <w:pPr>
        <w:jc w:val="center"/>
        <w:ind w:right="-19"/>
        <w:spacing w:after="0"/>
        <w:tabs>
          <w:tab w:leader="none" w:pos="1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ENDORSEMENT OR RIDER NO.</w:t>
      </w:r>
      <w:r>
        <w:rPr>
          <w:sz w:val="20"/>
          <w:szCs w:val="20"/>
          <w:color w:val="auto"/>
        </w:rPr>
        <w:tab/>
      </w:r>
      <w:r>
        <w:rPr>
          <w:rFonts w:ascii="Arial" w:cs="Arial" w:eastAsia="Arial" w:hAnsi="Arial"/>
          <w:sz w:val="17"/>
          <w:szCs w:val="17"/>
          <w:color w:val="auto"/>
        </w:rPr>
        <w:t>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ENDORSEMENT CHANGES THE POLICY. PLEASE READ IT CAREFULLY.</w:t>
      </w:r>
    </w:p>
    <w:p>
      <w:pPr>
        <w:spacing w:after="0" w:line="21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3900" w:type="dxa"/>
            <w:vAlign w:val="bottom"/>
            <w:tcBorders>
              <w:top w:val="single" w:sz="8" w:color="auto"/>
              <w:right w:val="single" w:sz="8" w:color="auto"/>
            </w:tcBorders>
          </w:tcPr>
          <w:p>
            <w:pPr>
              <w:ind w:left="140"/>
              <w:spacing w:after="0" w:line="121" w:lineRule="exact"/>
              <w:rPr>
                <w:sz w:val="20"/>
                <w:szCs w:val="20"/>
                <w:color w:val="auto"/>
              </w:rPr>
            </w:pPr>
            <w:r>
              <w:rPr>
                <w:rFonts w:ascii="Arial" w:cs="Arial" w:eastAsia="Arial" w:hAnsi="Arial"/>
                <w:sz w:val="13"/>
                <w:szCs w:val="13"/>
                <w:color w:val="auto"/>
              </w:rPr>
              <w:t>ATTACHED TO AND FORMING PART OF</w:t>
            </w:r>
          </w:p>
        </w:tc>
        <w:tc>
          <w:tcPr>
            <w:tcW w:w="2400" w:type="dxa"/>
            <w:vAlign w:val="bottom"/>
            <w:tcBorders>
              <w:top w:val="single" w:sz="8" w:color="auto"/>
              <w:right w:val="single" w:sz="8" w:color="auto"/>
            </w:tcBorders>
          </w:tcPr>
          <w:p>
            <w:pPr>
              <w:jc w:val="center"/>
              <w:ind w:left="103"/>
              <w:spacing w:after="0" w:line="121" w:lineRule="exact"/>
              <w:rPr>
                <w:sz w:val="20"/>
                <w:szCs w:val="20"/>
                <w:color w:val="auto"/>
              </w:rPr>
            </w:pPr>
            <w:r>
              <w:rPr>
                <w:rFonts w:ascii="Arial" w:cs="Arial" w:eastAsia="Arial" w:hAnsi="Arial"/>
                <w:sz w:val="13"/>
                <w:szCs w:val="13"/>
                <w:color w:val="auto"/>
                <w:w w:val="93"/>
              </w:rPr>
              <w:t>DATE ENDORSEMENT</w:t>
            </w:r>
          </w:p>
        </w:tc>
        <w:tc>
          <w:tcPr>
            <w:tcW w:w="5100" w:type="dxa"/>
            <w:vAlign w:val="bottom"/>
            <w:tcBorders>
              <w:top w:val="single" w:sz="8" w:color="auto"/>
            </w:tcBorders>
          </w:tcPr>
          <w:p>
            <w:pPr>
              <w:ind w:left="200"/>
              <w:spacing w:after="0" w:line="121" w:lineRule="exact"/>
              <w:rPr>
                <w:sz w:val="20"/>
                <w:szCs w:val="20"/>
                <w:color w:val="auto"/>
              </w:rPr>
            </w:pPr>
            <w:r>
              <w:rPr>
                <w:rFonts w:ascii="Arial" w:cs="Arial" w:eastAsia="Arial" w:hAnsi="Arial"/>
                <w:sz w:val="13"/>
                <w:szCs w:val="13"/>
                <w:color w:val="auto"/>
              </w:rPr>
              <w:t>* EFFECTIVE DATE OF ENDORSEMENT OR RIDER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00" w:type="dxa"/>
            <w:vAlign w:val="bottom"/>
            <w:tcBorders>
              <w:right w:val="single" w:sz="8" w:color="auto"/>
            </w:tcBorders>
          </w:tcPr>
          <w:p>
            <w:pPr>
              <w:ind w:left="500"/>
              <w:spacing w:after="0" w:line="135" w:lineRule="exact"/>
              <w:rPr>
                <w:sz w:val="20"/>
                <w:szCs w:val="20"/>
                <w:color w:val="auto"/>
              </w:rPr>
            </w:pPr>
            <w:r>
              <w:rPr>
                <w:rFonts w:ascii="Arial" w:cs="Arial" w:eastAsia="Arial" w:hAnsi="Arial"/>
                <w:sz w:val="13"/>
                <w:szCs w:val="13"/>
                <w:color w:val="auto"/>
              </w:rPr>
              <w:t>BOND OR POLICY NO.</w:t>
            </w:r>
          </w:p>
        </w:tc>
        <w:tc>
          <w:tcPr>
            <w:tcW w:w="2400" w:type="dxa"/>
            <w:vAlign w:val="bottom"/>
            <w:tcBorders>
              <w:right w:val="single" w:sz="8" w:color="auto"/>
            </w:tcBorders>
          </w:tcPr>
          <w:p>
            <w:pPr>
              <w:jc w:val="center"/>
              <w:ind w:left="123"/>
              <w:spacing w:after="0" w:line="135" w:lineRule="exact"/>
              <w:rPr>
                <w:sz w:val="20"/>
                <w:szCs w:val="20"/>
                <w:color w:val="auto"/>
              </w:rPr>
            </w:pPr>
            <w:r>
              <w:rPr>
                <w:rFonts w:ascii="Arial" w:cs="Arial" w:eastAsia="Arial" w:hAnsi="Arial"/>
                <w:sz w:val="13"/>
                <w:szCs w:val="13"/>
                <w:color w:val="auto"/>
                <w:w w:val="92"/>
              </w:rPr>
              <w:t>OR RIDER EXECUTED</w:t>
            </w:r>
          </w:p>
        </w:tc>
        <w:tc>
          <w:tcPr>
            <w:tcW w:w="5100" w:type="dxa"/>
            <w:vAlign w:val="bottom"/>
          </w:tcPr>
          <w:p>
            <w:pPr>
              <w:ind w:left="1860"/>
              <w:spacing w:after="0" w:line="135" w:lineRule="exact"/>
              <w:rPr>
                <w:sz w:val="20"/>
                <w:szCs w:val="20"/>
                <w:color w:val="auto"/>
              </w:rPr>
            </w:pPr>
            <w:r>
              <w:rPr>
                <w:rFonts w:ascii="Arial" w:cs="Arial" w:eastAsia="Arial" w:hAnsi="Arial"/>
                <w:sz w:val="13"/>
                <w:szCs w:val="13"/>
                <w:color w:val="auto"/>
              </w:rPr>
              <w:t>12:01 A.M. STANDARD TIME AS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00" w:type="dxa"/>
            <w:vAlign w:val="bottom"/>
            <w:tcBorders>
              <w:right w:val="single" w:sz="8" w:color="auto"/>
            </w:tcBorders>
          </w:tcPr>
          <w:p>
            <w:pPr>
              <w:spacing w:after="0"/>
              <w:rPr>
                <w:sz w:val="13"/>
                <w:szCs w:val="13"/>
                <w:color w:val="auto"/>
              </w:rPr>
            </w:pPr>
          </w:p>
        </w:tc>
        <w:tc>
          <w:tcPr>
            <w:tcW w:w="2400" w:type="dxa"/>
            <w:vAlign w:val="bottom"/>
            <w:tcBorders>
              <w:right w:val="single" w:sz="8" w:color="auto"/>
            </w:tcBorders>
          </w:tcPr>
          <w:p>
            <w:pPr>
              <w:spacing w:after="0"/>
              <w:rPr>
                <w:sz w:val="13"/>
                <w:szCs w:val="13"/>
                <w:color w:val="auto"/>
              </w:rPr>
            </w:pPr>
          </w:p>
        </w:tc>
        <w:tc>
          <w:tcPr>
            <w:tcW w:w="5100" w:type="dxa"/>
            <w:vAlign w:val="bottom"/>
          </w:tcPr>
          <w:p>
            <w:pPr>
              <w:ind w:left="186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1"/>
                <w:szCs w:val="21"/>
                <w:color w:val="auto"/>
              </w:rPr>
              <w:t>ZBN-81M58129-16-N2</w:t>
            </w:r>
          </w:p>
        </w:tc>
        <w:tc>
          <w:tcPr>
            <w:tcW w:w="2400" w:type="dxa"/>
            <w:vAlign w:val="bottom"/>
            <w:tcBorders>
              <w:right w:val="single" w:sz="8" w:color="auto"/>
            </w:tcBorders>
          </w:tcPr>
          <w:p>
            <w:pPr>
              <w:jc w:val="center"/>
              <w:ind w:left="103"/>
              <w:spacing w:after="0"/>
              <w:rPr>
                <w:sz w:val="20"/>
                <w:szCs w:val="20"/>
                <w:color w:val="auto"/>
              </w:rPr>
            </w:pPr>
            <w:r>
              <w:rPr>
                <w:rFonts w:ascii="Arial" w:cs="Arial" w:eastAsia="Arial" w:hAnsi="Arial"/>
                <w:sz w:val="21"/>
                <w:szCs w:val="21"/>
                <w:color w:val="auto"/>
                <w:w w:val="90"/>
              </w:rPr>
              <w:t>05/27/16</w:t>
            </w:r>
          </w:p>
        </w:tc>
        <w:tc>
          <w:tcPr>
            <w:tcW w:w="5100" w:type="dxa"/>
            <w:vAlign w:val="bottom"/>
          </w:tcPr>
          <w:p>
            <w:pPr>
              <w:jc w:val="right"/>
              <w:ind w:right="3987"/>
              <w:spacing w:after="0"/>
              <w:rPr>
                <w:sz w:val="20"/>
                <w:szCs w:val="20"/>
                <w:color w:val="auto"/>
              </w:rPr>
            </w:pPr>
            <w:r>
              <w:rPr>
                <w:rFonts w:ascii="Arial" w:cs="Arial" w:eastAsia="Arial" w:hAnsi="Arial"/>
                <w:sz w:val="21"/>
                <w:szCs w:val="21"/>
                <w:color w:val="auto"/>
              </w:rPr>
              <w:t>05/31/16</w:t>
            </w: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3900" w:type="dxa"/>
            <w:vAlign w:val="bottom"/>
            <w:tcBorders>
              <w:bottom w:val="single" w:sz="8" w:color="auto"/>
              <w:right w:val="single" w:sz="8" w:color="auto"/>
            </w:tcBorders>
          </w:tcPr>
          <w:p>
            <w:pPr>
              <w:spacing w:after="0"/>
              <w:rPr>
                <w:sz w:val="11"/>
                <w:szCs w:val="11"/>
                <w:color w:val="auto"/>
              </w:rPr>
            </w:pPr>
          </w:p>
        </w:tc>
        <w:tc>
          <w:tcPr>
            <w:tcW w:w="2400" w:type="dxa"/>
            <w:vAlign w:val="bottom"/>
            <w:tcBorders>
              <w:bottom w:val="single" w:sz="8" w:color="auto"/>
              <w:right w:val="single" w:sz="8" w:color="auto"/>
            </w:tcBorders>
          </w:tcPr>
          <w:p>
            <w:pPr>
              <w:spacing w:after="0"/>
              <w:rPr>
                <w:sz w:val="11"/>
                <w:szCs w:val="11"/>
                <w:color w:val="auto"/>
              </w:rPr>
            </w:pPr>
          </w:p>
        </w:tc>
        <w:tc>
          <w:tcPr>
            <w:tcW w:w="5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 ISSUED TO</w:t>
            </w:r>
          </w:p>
        </w:tc>
        <w:tc>
          <w:tcPr>
            <w:tcW w:w="240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ERISA Rider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jc w:val="both"/>
        <w:ind w:left="460" w:hanging="452"/>
        <w:spacing w:after="0" w:line="264"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“Employee” as used in the attached bond shall include any natural person who is a director or trustee of the Insured while such director or trustee is engaged in handling funds or other property of any Employee Welfare or Pension Benefit Plan owned, controlled or operated by the Insured or any natural person who is a trustee, manager, officer of employee of any such Plan.</w:t>
      </w:r>
    </w:p>
    <w:p>
      <w:pPr>
        <w:spacing w:after="0" w:line="208" w:lineRule="exact"/>
        <w:rPr>
          <w:rFonts w:ascii="Arial" w:cs="Arial" w:eastAsia="Arial" w:hAnsi="Arial"/>
          <w:sz w:val="18"/>
          <w:szCs w:val="18"/>
          <w:color w:val="auto"/>
        </w:rPr>
      </w:pPr>
    </w:p>
    <w:p>
      <w:pPr>
        <w:jc w:val="both"/>
        <w:ind w:left="460" w:hanging="452"/>
        <w:spacing w:after="0" w:line="257"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the Bond, in accordance with the agreements, limitations and conditions thereof, covers loss sustained by two or more Employee Welfare or Pension Benefit Plans or sustained by any such Plan in addition to loss sustained by an Insured other than such Plan, it is the obligation of the Insured or the Plan Administrator(s) of such Plans under Regulations published by the Secretary of Labor Implementing Section 13 of the Welfare and Pension Plans Disclosure Act of 1958 to obtain under one or more bonds issued by one or more Insurers an amount of coverage for each such Plan at least equal to that which would be required if such Plans were bonded separately.</w:t>
      </w:r>
    </w:p>
    <w:p>
      <w:pPr>
        <w:spacing w:after="0" w:line="215" w:lineRule="exact"/>
        <w:rPr>
          <w:rFonts w:ascii="Arial" w:cs="Arial" w:eastAsia="Arial" w:hAnsi="Arial"/>
          <w:sz w:val="18"/>
          <w:szCs w:val="18"/>
          <w:color w:val="auto"/>
        </w:rPr>
      </w:pPr>
    </w:p>
    <w:p>
      <w:pPr>
        <w:jc w:val="both"/>
        <w:ind w:left="460" w:hanging="452"/>
        <w:spacing w:after="0" w:line="257"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compliance with the foregoing, payment by the Company in accordance with the agreements, limitations and conditions of the bond shall be held by the Insured, or, if more than one, by the Insured first named, for the use and benefit of any Employee Welfare or Pension Benefit Plan sustaining loss so covered and to the extent that such payment is in excess of the amount of coverage required by such Regulations to be carried by said Plan sustaining such loss, such excess shall be held for the use and benefit of any other such Plan also covered in the event that such other Plan discovers that it has sustained loss covered thereunder.</w:t>
      </w:r>
    </w:p>
    <w:p>
      <w:pPr>
        <w:spacing w:after="0" w:line="215" w:lineRule="exact"/>
        <w:rPr>
          <w:rFonts w:ascii="Arial" w:cs="Arial" w:eastAsia="Arial" w:hAnsi="Arial"/>
          <w:sz w:val="18"/>
          <w:szCs w:val="18"/>
          <w:color w:val="auto"/>
        </w:rPr>
      </w:pPr>
    </w:p>
    <w:p>
      <w:pPr>
        <w:jc w:val="both"/>
        <w:ind w:left="460" w:hanging="452"/>
        <w:spacing w:after="0" w:line="286" w:lineRule="auto"/>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money or other property of two or more Employee Welfare or Pension Benefit Plans covered under the bond is commingled, recovery for loss of such money or other property through fraudulent or dishonest acts of Employees shall be shared by such Plans on a pro rata basis in accordance with the amount for which each such Plan is required to carry bonding coverage in accordance with the applicable provisions of said Regulations.</w:t>
      </w:r>
    </w:p>
    <w:p>
      <w:pPr>
        <w:spacing w:after="0" w:line="192" w:lineRule="exact"/>
        <w:rPr>
          <w:rFonts w:ascii="Arial" w:cs="Arial" w:eastAsia="Arial" w:hAnsi="Arial"/>
          <w:sz w:val="17"/>
          <w:szCs w:val="17"/>
          <w:color w:val="auto"/>
        </w:rPr>
      </w:pPr>
    </w:p>
    <w:p>
      <w:pPr>
        <w:jc w:val="both"/>
        <w:ind w:left="460" w:hanging="452"/>
        <w:spacing w:after="0" w:line="264"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Deductible Amount of this bond applicable to loss sustained by a Plan through acts committed by an Employee of the Plan shall be waived, but only up to an amount equal to the amount of coverage required to be carried by the Plan because of compliance with the provisions of the Employee Retirement Income Security Act of 1974.</w:t>
      </w: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200" w:lineRule="exact"/>
        <w:rPr>
          <w:sz w:val="20"/>
          <w:szCs w:val="20"/>
          <w:color w:val="auto"/>
        </w:rPr>
      </w:pPr>
    </w:p>
    <w:p>
      <w:pPr>
        <w:spacing w:after="0" w:line="254"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-101600</wp:posOffset>
            </wp:positionV>
            <wp:extent cx="24872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1"/>
          <w:szCs w:val="21"/>
          <w:color w:val="auto"/>
        </w:rPr>
        <w:t>INSURED</w:t>
      </w:r>
    </w:p>
    <w:p>
      <w:pPr>
        <w:spacing w:after="0"/>
        <w:rPr>
          <w:sz w:val="20"/>
          <w:szCs w:val="20"/>
          <w:color w:val="auto"/>
        </w:rPr>
      </w:pPr>
      <w:r>
        <w:rPr>
          <w:rFonts w:ascii="Arial" w:cs="Arial" w:eastAsia="Arial" w:hAnsi="Arial"/>
          <w:sz w:val="18"/>
          <w:szCs w:val="18"/>
          <w:color w:val="auto"/>
        </w:rPr>
        <w:t>ICB030 Ed. 7-04</w:t>
      </w:r>
    </w:p>
    <w:p>
      <w:pPr>
        <w:spacing w:after="0" w:line="7" w:lineRule="exact"/>
        <w:rPr>
          <w:sz w:val="20"/>
          <w:szCs w:val="20"/>
          <w:color w:val="auto"/>
        </w:rPr>
      </w:pPr>
    </w:p>
    <w:p>
      <w:pPr>
        <w:ind w:left="220" w:hanging="212"/>
        <w:spacing w:after="0"/>
        <w:tabs>
          <w:tab w:leader="none" w:pos="220" w:val="left"/>
        </w:tabs>
        <w:numPr>
          <w:ilvl w:val="0"/>
          <w:numId w:val="66"/>
        </w:numPr>
        <w:rPr>
          <w:rFonts w:ascii="Arial" w:cs="Arial" w:eastAsia="Arial" w:hAnsi="Arial"/>
          <w:sz w:val="16"/>
          <w:szCs w:val="16"/>
          <w:color w:val="auto"/>
        </w:rPr>
      </w:pPr>
      <w:r>
        <w:rPr>
          <w:rFonts w:ascii="Arial" w:cs="Arial" w:eastAsia="Arial" w:hAnsi="Arial"/>
          <w:sz w:val="18"/>
          <w:szCs w:val="18"/>
          <w:color w:val="auto"/>
        </w:rPr>
        <w:t>2004 The Travelers Indemnity Company. All rights reserved.</w:t>
      </w:r>
    </w:p>
    <w:p>
      <w:pPr>
        <w:sectPr>
          <w:pgSz w:w="11900" w:h="16838" w:orient="portrait"/>
          <w:cols w:equalWidth="0" w:num="1">
            <w:col w:w="11420"/>
          </w:cols>
          <w:pgMar w:left="240" w:top="274" w:right="239" w:bottom="1440" w:gutter="0" w:footer="0" w:header="0"/>
        </w:sectPr>
      </w:pPr>
    </w:p>
    <w:bookmarkStart w:id="21" w:name="page22"/>
    <w:bookmarkEnd w:id="21"/>
    <w:p>
      <w:pPr>
        <w:ind w:left="36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spaces preceded by an (*) need not be completed if this endorsement or rider and the Bond or Policy have the same inception date.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3900" w:type="dxa"/>
            <w:vAlign w:val="bottom"/>
            <w:tcBorders>
              <w:top w:val="single" w:sz="8" w:color="auto"/>
              <w:right w:val="single" w:sz="8" w:color="auto"/>
            </w:tcBorders>
          </w:tcPr>
          <w:p>
            <w:pPr>
              <w:ind w:left="140"/>
              <w:spacing w:after="0" w:line="121" w:lineRule="exact"/>
              <w:rPr>
                <w:sz w:val="20"/>
                <w:szCs w:val="20"/>
                <w:color w:val="auto"/>
              </w:rPr>
            </w:pPr>
            <w:r>
              <w:rPr>
                <w:rFonts w:ascii="Arial" w:cs="Arial" w:eastAsia="Arial" w:hAnsi="Arial"/>
                <w:sz w:val="13"/>
                <w:szCs w:val="13"/>
                <w:color w:val="auto"/>
              </w:rPr>
              <w:t>ATTACHED TO AND FORMING PART OF</w:t>
            </w:r>
          </w:p>
        </w:tc>
        <w:tc>
          <w:tcPr>
            <w:tcW w:w="2400" w:type="dxa"/>
            <w:vAlign w:val="bottom"/>
            <w:tcBorders>
              <w:top w:val="single" w:sz="8" w:color="auto"/>
              <w:right w:val="single" w:sz="8" w:color="auto"/>
            </w:tcBorders>
          </w:tcPr>
          <w:p>
            <w:pPr>
              <w:jc w:val="center"/>
              <w:ind w:left="103"/>
              <w:spacing w:after="0" w:line="121" w:lineRule="exact"/>
              <w:rPr>
                <w:sz w:val="20"/>
                <w:szCs w:val="20"/>
                <w:color w:val="auto"/>
              </w:rPr>
            </w:pPr>
            <w:r>
              <w:rPr>
                <w:rFonts w:ascii="Arial" w:cs="Arial" w:eastAsia="Arial" w:hAnsi="Arial"/>
                <w:sz w:val="13"/>
                <w:szCs w:val="13"/>
                <w:color w:val="auto"/>
                <w:w w:val="93"/>
              </w:rPr>
              <w:t>DATE ENDORSEMENT</w:t>
            </w:r>
          </w:p>
        </w:tc>
        <w:tc>
          <w:tcPr>
            <w:tcW w:w="5100" w:type="dxa"/>
            <w:vAlign w:val="bottom"/>
            <w:tcBorders>
              <w:top w:val="single" w:sz="8" w:color="auto"/>
            </w:tcBorders>
          </w:tcPr>
          <w:p>
            <w:pPr>
              <w:ind w:left="200"/>
              <w:spacing w:after="0" w:line="121" w:lineRule="exact"/>
              <w:rPr>
                <w:sz w:val="20"/>
                <w:szCs w:val="20"/>
                <w:color w:val="auto"/>
              </w:rPr>
            </w:pPr>
            <w:r>
              <w:rPr>
                <w:rFonts w:ascii="Arial" w:cs="Arial" w:eastAsia="Arial" w:hAnsi="Arial"/>
                <w:sz w:val="13"/>
                <w:szCs w:val="13"/>
                <w:color w:val="auto"/>
              </w:rPr>
              <w:t>* EFFECTIVE DATE OF ENDORSEMENT OR RIDER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00" w:type="dxa"/>
            <w:vAlign w:val="bottom"/>
            <w:tcBorders>
              <w:right w:val="single" w:sz="8" w:color="auto"/>
            </w:tcBorders>
          </w:tcPr>
          <w:p>
            <w:pPr>
              <w:ind w:left="500"/>
              <w:spacing w:after="0" w:line="135" w:lineRule="exact"/>
              <w:rPr>
                <w:sz w:val="20"/>
                <w:szCs w:val="20"/>
                <w:color w:val="auto"/>
              </w:rPr>
            </w:pPr>
            <w:r>
              <w:rPr>
                <w:rFonts w:ascii="Arial" w:cs="Arial" w:eastAsia="Arial" w:hAnsi="Arial"/>
                <w:sz w:val="13"/>
                <w:szCs w:val="13"/>
                <w:color w:val="auto"/>
              </w:rPr>
              <w:t>BOND OR POLICY NO.</w:t>
            </w:r>
          </w:p>
        </w:tc>
        <w:tc>
          <w:tcPr>
            <w:tcW w:w="2400" w:type="dxa"/>
            <w:vAlign w:val="bottom"/>
            <w:tcBorders>
              <w:right w:val="single" w:sz="8" w:color="auto"/>
            </w:tcBorders>
          </w:tcPr>
          <w:p>
            <w:pPr>
              <w:jc w:val="center"/>
              <w:ind w:left="123"/>
              <w:spacing w:after="0" w:line="135" w:lineRule="exact"/>
              <w:rPr>
                <w:sz w:val="20"/>
                <w:szCs w:val="20"/>
                <w:color w:val="auto"/>
              </w:rPr>
            </w:pPr>
            <w:r>
              <w:rPr>
                <w:rFonts w:ascii="Arial" w:cs="Arial" w:eastAsia="Arial" w:hAnsi="Arial"/>
                <w:sz w:val="13"/>
                <w:szCs w:val="13"/>
                <w:color w:val="auto"/>
                <w:w w:val="92"/>
              </w:rPr>
              <w:t>OR RIDER EXECUTED</w:t>
            </w:r>
          </w:p>
        </w:tc>
        <w:tc>
          <w:tcPr>
            <w:tcW w:w="5100" w:type="dxa"/>
            <w:vAlign w:val="bottom"/>
          </w:tcPr>
          <w:p>
            <w:pPr>
              <w:ind w:left="1860"/>
              <w:spacing w:after="0" w:line="135" w:lineRule="exact"/>
              <w:rPr>
                <w:sz w:val="20"/>
                <w:szCs w:val="20"/>
                <w:color w:val="auto"/>
              </w:rPr>
            </w:pPr>
            <w:r>
              <w:rPr>
                <w:rFonts w:ascii="Arial" w:cs="Arial" w:eastAsia="Arial" w:hAnsi="Arial"/>
                <w:sz w:val="13"/>
                <w:szCs w:val="13"/>
                <w:color w:val="auto"/>
              </w:rPr>
              <w:t>12:01 A.M. STANDARD TIME AS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00" w:type="dxa"/>
            <w:vAlign w:val="bottom"/>
            <w:tcBorders>
              <w:right w:val="single" w:sz="8" w:color="auto"/>
            </w:tcBorders>
          </w:tcPr>
          <w:p>
            <w:pPr>
              <w:spacing w:after="0"/>
              <w:rPr>
                <w:sz w:val="13"/>
                <w:szCs w:val="13"/>
                <w:color w:val="auto"/>
              </w:rPr>
            </w:pPr>
          </w:p>
        </w:tc>
        <w:tc>
          <w:tcPr>
            <w:tcW w:w="2400" w:type="dxa"/>
            <w:vAlign w:val="bottom"/>
            <w:tcBorders>
              <w:right w:val="single" w:sz="8" w:color="auto"/>
            </w:tcBorders>
          </w:tcPr>
          <w:p>
            <w:pPr>
              <w:spacing w:after="0"/>
              <w:rPr>
                <w:sz w:val="13"/>
                <w:szCs w:val="13"/>
                <w:color w:val="auto"/>
              </w:rPr>
            </w:pPr>
          </w:p>
        </w:tc>
        <w:tc>
          <w:tcPr>
            <w:tcW w:w="5100" w:type="dxa"/>
            <w:vAlign w:val="bottom"/>
          </w:tcPr>
          <w:p>
            <w:pPr>
              <w:ind w:left="186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900" w:type="dxa"/>
            <w:vAlign w:val="bottom"/>
            <w:tcBorders>
              <w:right w:val="single" w:sz="8" w:color="auto"/>
            </w:tcBorders>
          </w:tcPr>
          <w:p>
            <w:pPr>
              <w:ind w:left="140"/>
              <w:spacing w:after="0"/>
              <w:rPr>
                <w:sz w:val="20"/>
                <w:szCs w:val="20"/>
                <w:color w:val="auto"/>
              </w:rPr>
            </w:pPr>
            <w:r>
              <w:rPr>
                <w:rFonts w:ascii="Arial" w:cs="Arial" w:eastAsia="Arial" w:hAnsi="Arial"/>
                <w:sz w:val="21"/>
                <w:szCs w:val="21"/>
                <w:color w:val="auto"/>
              </w:rPr>
              <w:t>ZBN-81M58129-16-N2</w:t>
            </w:r>
          </w:p>
        </w:tc>
        <w:tc>
          <w:tcPr>
            <w:tcW w:w="2400" w:type="dxa"/>
            <w:vAlign w:val="bottom"/>
            <w:tcBorders>
              <w:right w:val="single" w:sz="8" w:color="auto"/>
            </w:tcBorders>
          </w:tcPr>
          <w:p>
            <w:pPr>
              <w:jc w:val="center"/>
              <w:ind w:left="103"/>
              <w:spacing w:after="0"/>
              <w:rPr>
                <w:sz w:val="20"/>
                <w:szCs w:val="20"/>
                <w:color w:val="auto"/>
              </w:rPr>
            </w:pPr>
            <w:r>
              <w:rPr>
                <w:rFonts w:ascii="Arial" w:cs="Arial" w:eastAsia="Arial" w:hAnsi="Arial"/>
                <w:sz w:val="21"/>
                <w:szCs w:val="21"/>
                <w:color w:val="auto"/>
                <w:w w:val="90"/>
              </w:rPr>
              <w:t>05/27/16</w:t>
            </w:r>
          </w:p>
        </w:tc>
        <w:tc>
          <w:tcPr>
            <w:tcW w:w="5100" w:type="dxa"/>
            <w:vAlign w:val="bottom"/>
          </w:tcPr>
          <w:p>
            <w:pPr>
              <w:jc w:val="right"/>
              <w:ind w:right="3987"/>
              <w:spacing w:after="0"/>
              <w:rPr>
                <w:sz w:val="20"/>
                <w:szCs w:val="20"/>
                <w:color w:val="auto"/>
              </w:rPr>
            </w:pPr>
            <w:r>
              <w:rPr>
                <w:rFonts w:ascii="Arial" w:cs="Arial" w:eastAsia="Arial" w:hAnsi="Arial"/>
                <w:sz w:val="21"/>
                <w:szCs w:val="21"/>
                <w:color w:val="auto"/>
              </w:rPr>
              <w:t>05/31/16</w:t>
            </w:r>
          </w:p>
        </w:tc>
        <w:tc>
          <w:tcPr>
            <w:tcW w:w="0" w:type="dxa"/>
            <w:vAlign w:val="bottom"/>
          </w:tcPr>
          <w:p>
            <w:pPr>
              <w:spacing w:after="0"/>
              <w:rPr>
                <w:sz w:val="1"/>
                <w:szCs w:val="1"/>
                <w:color w:val="auto"/>
              </w:rPr>
            </w:pPr>
          </w:p>
        </w:tc>
      </w:tr>
      <w:tr>
        <w:trPr>
          <w:trHeight w:val="127"/>
        </w:trPr>
        <w:tc>
          <w:tcPr>
            <w:tcW w:w="20" w:type="dxa"/>
            <w:vAlign w:val="bottom"/>
            <w:vMerge w:val="restart"/>
          </w:tcPr>
          <w:p>
            <w:pPr>
              <w:spacing w:after="0"/>
              <w:rPr>
                <w:sz w:val="11"/>
                <w:szCs w:val="11"/>
                <w:color w:val="auto"/>
              </w:rPr>
            </w:pPr>
          </w:p>
        </w:tc>
        <w:tc>
          <w:tcPr>
            <w:tcW w:w="3900" w:type="dxa"/>
            <w:vAlign w:val="bottom"/>
            <w:tcBorders>
              <w:bottom w:val="single" w:sz="8" w:color="auto"/>
              <w:right w:val="single" w:sz="8" w:color="auto"/>
            </w:tcBorders>
          </w:tcPr>
          <w:p>
            <w:pPr>
              <w:spacing w:after="0"/>
              <w:rPr>
                <w:sz w:val="11"/>
                <w:szCs w:val="11"/>
                <w:color w:val="auto"/>
              </w:rPr>
            </w:pPr>
          </w:p>
        </w:tc>
        <w:tc>
          <w:tcPr>
            <w:tcW w:w="2400" w:type="dxa"/>
            <w:vAlign w:val="bottom"/>
            <w:tcBorders>
              <w:bottom w:val="single" w:sz="8" w:color="auto"/>
              <w:right w:val="single" w:sz="8" w:color="auto"/>
            </w:tcBorders>
          </w:tcPr>
          <w:p>
            <w:pPr>
              <w:spacing w:after="0"/>
              <w:rPr>
                <w:sz w:val="11"/>
                <w:szCs w:val="11"/>
                <w:color w:val="auto"/>
              </w:rPr>
            </w:pPr>
          </w:p>
        </w:tc>
        <w:tc>
          <w:tcPr>
            <w:tcW w:w="5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 ISSUED TO</w:t>
            </w:r>
          </w:p>
        </w:tc>
        <w:tc>
          <w:tcPr>
            <w:tcW w:w="240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NEW YORK STATUTORY RIDER</w:t>
      </w:r>
    </w:p>
    <w:p>
      <w:pPr>
        <w:spacing w:after="0" w:line="250" w:lineRule="exact"/>
        <w:rPr>
          <w:sz w:val="20"/>
          <w:szCs w:val="20"/>
          <w:color w:val="auto"/>
        </w:rPr>
      </w:pPr>
    </w:p>
    <w:p>
      <w:pPr>
        <w:ind w:left="460" w:right="1960" w:hanging="452"/>
        <w:spacing w:after="0" w:line="501" w:lineRule="auto"/>
        <w:tabs>
          <w:tab w:leader="none" w:pos="44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first paragraph of Section 13. “TERMINATION” under Conditions and Limitations is amended by adding the following: Cancellation of this bond by the Underwriter is subject to the following provisions:</w:t>
      </w:r>
    </w:p>
    <w:p>
      <w:pPr>
        <w:ind w:left="460" w:right="100"/>
        <w:spacing w:after="0" w:line="286" w:lineRule="auto"/>
        <w:rPr>
          <w:rFonts w:ascii="Arial" w:cs="Arial" w:eastAsia="Arial" w:hAnsi="Arial"/>
          <w:sz w:val="18"/>
          <w:szCs w:val="18"/>
          <w:color w:val="auto"/>
        </w:rPr>
      </w:pPr>
      <w:r>
        <w:rPr>
          <w:rFonts w:ascii="Arial" w:cs="Arial" w:eastAsia="Arial" w:hAnsi="Arial"/>
          <w:sz w:val="17"/>
          <w:szCs w:val="17"/>
          <w:color w:val="auto"/>
        </w:rPr>
        <w:t>If the bond has been in effect for 60 days or less, it may be canceled by the Underwriter for any reason. Such cancellation shall be effective 60 days after the Underwriter mails a notice of cancellation to the first-named Insured at the mailing address shown in the bond. However, if the bond has been in effect for more than 60 days or is a renewal, then cancellation must be based on one of the followings grounds:</w:t>
      </w:r>
    </w:p>
    <w:p>
      <w:pPr>
        <w:spacing w:after="0" w:line="192" w:lineRule="exact"/>
        <w:rPr>
          <w:rFonts w:ascii="Arial" w:cs="Arial" w:eastAsia="Arial" w:hAnsi="Arial"/>
          <w:sz w:val="18"/>
          <w:szCs w:val="18"/>
          <w:color w:val="auto"/>
        </w:rPr>
      </w:pPr>
    </w:p>
    <w:p>
      <w:pPr>
        <w:ind w:left="900" w:hanging="446"/>
        <w:spacing w:after="0"/>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non-payment of premium, however, that a notice of cancellation on this ground shall inform the insured of the amount due;</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conviction of crime arising out of acts increasing the hazard insured against;</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discovery of fraud or material misrepresentation in the obtaining of the bond or in the presentation of claim thereunder;</w:t>
      </w:r>
    </w:p>
    <w:p>
      <w:pPr>
        <w:spacing w:after="0" w:line="252" w:lineRule="exact"/>
        <w:rPr>
          <w:rFonts w:ascii="Arial" w:cs="Arial" w:eastAsia="Arial" w:hAnsi="Arial"/>
          <w:sz w:val="18"/>
          <w:szCs w:val="18"/>
          <w:color w:val="auto"/>
        </w:rPr>
      </w:pPr>
    </w:p>
    <w:p>
      <w:pPr>
        <w:ind w:left="900" w:right="280" w:hanging="446"/>
        <w:spacing w:after="0" w:line="342" w:lineRule="auto"/>
        <w:tabs>
          <w:tab w:leader="none" w:pos="9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after issuance of the bond or after the last renewal date, discovery of an act or omission, or a violation of any bond condition that substantially and materially increases the hazard Insured against, and which occurred subsequent to inception of the current bond period;</w:t>
      </w:r>
    </w:p>
    <w:p>
      <w:pPr>
        <w:spacing w:after="0" w:line="150" w:lineRule="exact"/>
        <w:rPr>
          <w:rFonts w:ascii="Arial" w:cs="Arial" w:eastAsia="Arial" w:hAnsi="Arial"/>
          <w:sz w:val="16"/>
          <w:szCs w:val="16"/>
          <w:color w:val="auto"/>
        </w:rPr>
      </w:pPr>
    </w:p>
    <w:p>
      <w:pPr>
        <w:ind w:left="900" w:right="140" w:hanging="446"/>
        <w:spacing w:after="0" w:line="342" w:lineRule="auto"/>
        <w:tabs>
          <w:tab w:leader="none" w:pos="9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material change in the nature or extent of the risk, occurring after issuance or last annual renewal anniversary date of the bond, which causes the risk of loss to be substantially and materially increased beyond that contemplated at the time the bond was issued or last renewed;</w:t>
      </w:r>
    </w:p>
    <w:p>
      <w:pPr>
        <w:spacing w:after="0" w:line="150" w:lineRule="exact"/>
        <w:rPr>
          <w:rFonts w:ascii="Arial" w:cs="Arial" w:eastAsia="Arial" w:hAnsi="Arial"/>
          <w:sz w:val="16"/>
          <w:szCs w:val="16"/>
          <w:color w:val="auto"/>
        </w:rPr>
      </w:pPr>
    </w:p>
    <w:p>
      <w:pPr>
        <w:ind w:left="900" w:right="360" w:hanging="446"/>
        <w:spacing w:after="0" w:line="308" w:lineRule="auto"/>
        <w:tabs>
          <w:tab w:leader="none" w:pos="9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cancellation is required pursuant to a determination by the Superintendent that continuation of the present premium volume of the Insurer would jeopardize the Insurer’s solvency or be hazardous to the interest of the Insureds, the Insurer’s creditors or the public;</w:t>
      </w:r>
    </w:p>
    <w:p>
      <w:pPr>
        <w:spacing w:after="0" w:line="173" w:lineRule="exact"/>
        <w:rPr>
          <w:rFonts w:ascii="Arial" w:cs="Arial" w:eastAsia="Arial" w:hAnsi="Arial"/>
          <w:sz w:val="17"/>
          <w:szCs w:val="17"/>
          <w:color w:val="auto"/>
        </w:rPr>
      </w:pPr>
    </w:p>
    <w:p>
      <w:pPr>
        <w:ind w:left="900" w:right="40" w:hanging="446"/>
        <w:spacing w:after="0" w:line="277"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determination by the Superintendent that the continuation of the bond would violate, or would place the Insurer in violation of, any provision of the New York State Insurance laws.</w:t>
      </w:r>
    </w:p>
    <w:p>
      <w:pPr>
        <w:spacing w:after="0" w:line="197" w:lineRule="exact"/>
        <w:rPr>
          <w:rFonts w:ascii="Arial" w:cs="Arial" w:eastAsia="Arial" w:hAnsi="Arial"/>
          <w:sz w:val="18"/>
          <w:szCs w:val="18"/>
          <w:color w:val="auto"/>
        </w:rPr>
      </w:pPr>
    </w:p>
    <w:p>
      <w:pPr>
        <w:ind w:left="900" w:right="320" w:hanging="446"/>
        <w:spacing w:after="0" w:line="277"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where the Insurer has reason to believe, in good faith and with sufficient cause, that there is a possible risk or danger that the Insured property will be destroyed by the Insured for the purpose of collecting the insurance proceeds, provided, however, that:</w:t>
      </w:r>
    </w:p>
    <w:p>
      <w:pPr>
        <w:spacing w:after="0" w:line="197" w:lineRule="exact"/>
        <w:rPr>
          <w:rFonts w:ascii="Arial" w:cs="Arial" w:eastAsia="Arial" w:hAnsi="Arial"/>
          <w:sz w:val="18"/>
          <w:szCs w:val="18"/>
          <w:color w:val="auto"/>
        </w:rPr>
      </w:pPr>
    </w:p>
    <w:p>
      <w:pPr>
        <w:ind w:left="1480" w:right="260" w:hanging="567"/>
        <w:spacing w:after="0" w:line="277" w:lineRule="auto"/>
        <w:tabs>
          <w:tab w:leader="none" w:pos="1480" w:val="left"/>
        </w:tabs>
        <w:numPr>
          <w:ilvl w:val="2"/>
          <w:numId w:val="67"/>
        </w:numPr>
        <w:rPr>
          <w:rFonts w:ascii="Arial" w:cs="Arial" w:eastAsia="Arial" w:hAnsi="Arial"/>
          <w:sz w:val="18"/>
          <w:szCs w:val="18"/>
          <w:color w:val="auto"/>
        </w:rPr>
      </w:pPr>
      <w:r>
        <w:rPr>
          <w:rFonts w:ascii="Arial" w:cs="Arial" w:eastAsia="Arial" w:hAnsi="Arial"/>
          <w:sz w:val="18"/>
          <w:szCs w:val="18"/>
          <w:color w:val="auto"/>
        </w:rPr>
        <w:t>a notice of cancellation on this ground shall inform the Insured in plain language that the Insured must act within ten days if review by the Department of Financial Services of the State of New York of the ground for cancellation is desired, and</w:t>
      </w:r>
    </w:p>
    <w:p>
      <w:pPr>
        <w:spacing w:after="0" w:line="197" w:lineRule="exact"/>
        <w:rPr>
          <w:rFonts w:ascii="Arial" w:cs="Arial" w:eastAsia="Arial" w:hAnsi="Arial"/>
          <w:sz w:val="18"/>
          <w:szCs w:val="18"/>
          <w:color w:val="auto"/>
        </w:rPr>
      </w:pPr>
    </w:p>
    <w:p>
      <w:pPr>
        <w:ind w:left="1480" w:right="60" w:hanging="567"/>
        <w:spacing w:after="0" w:line="277" w:lineRule="auto"/>
        <w:tabs>
          <w:tab w:leader="none" w:pos="1480" w:val="left"/>
        </w:tabs>
        <w:numPr>
          <w:ilvl w:val="2"/>
          <w:numId w:val="67"/>
        </w:numPr>
        <w:rPr>
          <w:rFonts w:ascii="Arial" w:cs="Arial" w:eastAsia="Arial" w:hAnsi="Arial"/>
          <w:sz w:val="18"/>
          <w:szCs w:val="18"/>
          <w:color w:val="auto"/>
        </w:rPr>
      </w:pPr>
      <w:r>
        <w:rPr>
          <w:rFonts w:ascii="Arial" w:cs="Arial" w:eastAsia="Arial" w:hAnsi="Arial"/>
          <w:sz w:val="18"/>
          <w:szCs w:val="18"/>
          <w:color w:val="auto"/>
        </w:rPr>
        <w:t>notice of cancellation on this ground shall be provided simultaneously by the Insurer to the Department of Financial Services of the State of New York.</w:t>
      </w:r>
    </w:p>
    <w:p>
      <w:pPr>
        <w:sectPr>
          <w:pgSz w:w="11900" w:h="16838" w:orient="portrait"/>
          <w:cols w:equalWidth="0" w:num="1">
            <w:col w:w="11420"/>
          </w:cols>
          <w:pgMar w:left="240" w:top="278" w:right="2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ICB057 Rev. 08-13</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2013 The Travelers Indemnity Company. All rights reserved.</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Page 1 of 2</w:t>
      </w:r>
    </w:p>
    <w:p>
      <w:pPr>
        <w:sectPr>
          <w:pgSz w:w="11900" w:h="16838" w:orient="portrait"/>
          <w:cols w:equalWidth="0" w:num="2">
            <w:col w:w="9880" w:space="720"/>
            <w:col w:w="820"/>
          </w:cols>
          <w:pgMar w:left="240" w:top="278" w:right="239" w:bottom="1440" w:gutter="0" w:footer="0" w:header="0"/>
          <w:type w:val="continuous"/>
        </w:sectPr>
      </w:pPr>
    </w:p>
    <w:bookmarkStart w:id="22" w:name="page23"/>
    <w:bookmarkEnd w:id="22"/>
    <w:p>
      <w:pPr>
        <w:ind w:left="1480" w:right="200" w:hanging="567"/>
        <w:spacing w:after="0" w:line="257" w:lineRule="auto"/>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written request of the Insured made to the Department of Financial Services of the State of New York within ten days from the Insured’s receipt of notice of cancellation on this ground, the department shall undertake a review of the ground for cancellation to determine whether or not the Insurer has satisfied the criteria for cancellation specified in this subparagraph; if after such review the department finds not sufficient cause for cancellation on this ground, the notice of cancellation on this ground shall be deemed null and void.</w:t>
      </w:r>
    </w:p>
    <w:p>
      <w:pPr>
        <w:spacing w:after="0" w:line="188"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Cancellation based on one of the above grounds shall be effective 60 days after the notice of cancellation is mailed or delivered to the Named Insured, at the address shown on the bond, and to its authorized agent or broker.</w:t>
      </w:r>
    </w:p>
    <w:p>
      <w:pPr>
        <w:spacing w:after="0" w:line="197" w:lineRule="exact"/>
        <w:rPr>
          <w:sz w:val="20"/>
          <w:szCs w:val="20"/>
          <w:color w:val="auto"/>
        </w:rPr>
      </w:pPr>
    </w:p>
    <w:p>
      <w:pPr>
        <w:ind w:left="460" w:right="100" w:hanging="452"/>
        <w:spacing w:after="0" w:line="286"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the Underwriter elects not to replace a bond at the termination of the Bond Period, it shall notify the Insured not more than 120 days nor less than 60 days before termination. If such notice is given late, the bond shall continue in effect for 60 days after such notice is given. The Aggregate Limit of Liability shall not be increased or reinstated. The notice not to replace shall be mailed to the Insured and its broker or agent.</w:t>
      </w:r>
    </w:p>
    <w:p>
      <w:pPr>
        <w:spacing w:after="0" w:line="192" w:lineRule="exact"/>
        <w:rPr>
          <w:rFonts w:ascii="Arial" w:cs="Arial" w:eastAsia="Arial" w:hAnsi="Arial"/>
          <w:sz w:val="17"/>
          <w:szCs w:val="17"/>
          <w:color w:val="auto"/>
        </w:rPr>
      </w:pPr>
    </w:p>
    <w:p>
      <w:pPr>
        <w:ind w:left="460" w:right="320" w:hanging="452"/>
        <w:spacing w:after="0" w:line="302"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the Underwriter elects to replace the bond, but with a change of limits, reduced coverage, increased deductible, additional exclusion, or upon increased premiums in excess of ten percent (exclusive of any premium increase as a result of experience rating), the Underwriter must mail written notice to the Insured and its agent or broker not more than 120 days nor less than 60 days before replacement. If such notice is given late, the replacement bond shall be in effect with the same terms, conditions and rates as the terminated bond for 60 days after such notice is given.</w:t>
      </w:r>
    </w:p>
    <w:p>
      <w:pPr>
        <w:spacing w:after="0" w:line="181" w:lineRule="exact"/>
        <w:rPr>
          <w:rFonts w:ascii="Arial" w:cs="Arial" w:eastAsia="Arial" w:hAnsi="Arial"/>
          <w:sz w:val="16"/>
          <w:szCs w:val="16"/>
          <w:color w:val="auto"/>
        </w:rPr>
      </w:pPr>
    </w:p>
    <w:p>
      <w:pPr>
        <w:ind w:left="460" w:right="80" w:hanging="452"/>
        <w:spacing w:after="0" w:line="279" w:lineRule="auto"/>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Underwriter may elect to simply notify the Insured that the bond will either be not renewed or renewed with different terms, conditions or rates. In this event, the Underwriter will inform the Insured that a second notice will be sent at a later date specifying the Underwriter’s exact intention. The Underwriter shall inform the Insured that, in the meantime, coverage shall continue on the same terms, conditions and rates as the expiring bond until the expiration date of the bond or 60 days after the second notice is mailed or delivered, whichever is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7320" w:type="dxa"/>
            <w:vAlign w:val="bottom"/>
            <w:gridSpan w:val="3"/>
          </w:tcPr>
          <w:p>
            <w:pPr>
              <w:ind w:left="2920"/>
              <w:spacing w:after="0"/>
              <w:rPr>
                <w:sz w:val="20"/>
                <w:szCs w:val="20"/>
                <w:color w:val="auto"/>
              </w:rPr>
            </w:pPr>
            <w:r>
              <w:rPr>
                <w:rFonts w:ascii="Arial" w:cs="Arial" w:eastAsia="Arial" w:hAnsi="Arial"/>
                <w:sz w:val="18"/>
                <w:szCs w:val="18"/>
                <w:color w:val="auto"/>
              </w:rPr>
              <w:t>By</w:t>
            </w:r>
          </w:p>
        </w:tc>
      </w:tr>
      <w:tr>
        <w:trPr>
          <w:trHeight w:val="129"/>
        </w:trPr>
        <w:tc>
          <w:tcPr>
            <w:tcW w:w="41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4020" w:type="dxa"/>
            <w:vAlign w:val="bottom"/>
            <w:tcBorders>
              <w:top w:val="single" w:sz="8" w:color="auto"/>
            </w:tcBorders>
          </w:tcPr>
          <w:p>
            <w:pPr>
              <w:ind w:left="1260"/>
              <w:spacing w:after="0" w:line="129" w:lineRule="exact"/>
              <w:rPr>
                <w:sz w:val="20"/>
                <w:szCs w:val="20"/>
                <w:color w:val="auto"/>
              </w:rPr>
            </w:pPr>
            <w:r>
              <w:rPr>
                <w:rFonts w:ascii="Arial" w:cs="Arial" w:eastAsia="Arial" w:hAnsi="Arial"/>
                <w:sz w:val="14"/>
                <w:szCs w:val="14"/>
                <w:color w:val="auto"/>
              </w:rPr>
              <w:t>Authorized Representative</w:t>
            </w:r>
          </w:p>
        </w:tc>
        <w:tc>
          <w:tcPr>
            <w:tcW w:w="20" w:type="dxa"/>
            <w:vAlign w:val="bottom"/>
          </w:tcPr>
          <w:p>
            <w:pPr>
              <w:spacing w:after="0"/>
              <w:rPr>
                <w:sz w:val="11"/>
                <w:szCs w:val="11"/>
                <w:color w:val="auto"/>
              </w:rPr>
            </w:pPr>
          </w:p>
        </w:tc>
      </w:tr>
      <w:tr>
        <w:trPr>
          <w:trHeight w:val="264"/>
        </w:trPr>
        <w:tc>
          <w:tcPr>
            <w:tcW w:w="4120" w:type="dxa"/>
            <w:vAlign w:val="bottom"/>
          </w:tcPr>
          <w:p>
            <w:pPr>
              <w:spacing w:after="0"/>
              <w:rPr>
                <w:sz w:val="22"/>
                <w:szCs w:val="22"/>
                <w:color w:val="auto"/>
              </w:rPr>
            </w:pPr>
          </w:p>
        </w:tc>
        <w:tc>
          <w:tcPr>
            <w:tcW w:w="7320" w:type="dxa"/>
            <w:vAlign w:val="bottom"/>
            <w:gridSpan w:val="3"/>
          </w:tcPr>
          <w:p>
            <w:pPr>
              <w:ind w:left="2840"/>
              <w:spacing w:after="0"/>
              <w:rPr>
                <w:sz w:val="20"/>
                <w:szCs w:val="20"/>
                <w:color w:val="auto"/>
              </w:rPr>
            </w:pPr>
            <w:r>
              <w:rPr>
                <w:rFonts w:ascii="Arial" w:cs="Arial" w:eastAsia="Arial" w:hAnsi="Arial"/>
                <w:sz w:val="21"/>
                <w:szCs w:val="21"/>
                <w:color w:val="auto"/>
              </w:rPr>
              <w:t>INSURED</w:t>
            </w:r>
          </w:p>
        </w:tc>
      </w:tr>
      <w:tr>
        <w:trPr>
          <w:trHeight w:val="707"/>
        </w:trPr>
        <w:tc>
          <w:tcPr>
            <w:tcW w:w="4120" w:type="dxa"/>
            <w:vAlign w:val="bottom"/>
          </w:tcPr>
          <w:p>
            <w:pPr>
              <w:spacing w:after="0"/>
              <w:rPr>
                <w:sz w:val="20"/>
                <w:szCs w:val="20"/>
                <w:color w:val="auto"/>
              </w:rPr>
            </w:pPr>
            <w:r>
              <w:rPr>
                <w:rFonts w:ascii="Arial" w:cs="Arial" w:eastAsia="Arial" w:hAnsi="Arial"/>
                <w:sz w:val="18"/>
                <w:szCs w:val="18"/>
                <w:color w:val="auto"/>
              </w:rPr>
              <w:t>ICB057 Rev. 08-13</w:t>
            </w:r>
          </w:p>
        </w:tc>
        <w:tc>
          <w:tcPr>
            <w:tcW w:w="32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4"/>
        </w:trPr>
        <w:tc>
          <w:tcPr>
            <w:tcW w:w="4120" w:type="dxa"/>
            <w:vAlign w:val="bottom"/>
          </w:tcPr>
          <w:p>
            <w:pPr>
              <w:spacing w:after="0"/>
              <w:rPr>
                <w:sz w:val="20"/>
                <w:szCs w:val="20"/>
                <w:color w:val="auto"/>
              </w:rPr>
            </w:pPr>
            <w:r>
              <w:rPr>
                <w:rFonts w:ascii="Arial" w:cs="Arial" w:eastAsia="Arial" w:hAnsi="Arial"/>
                <w:sz w:val="18"/>
                <w:szCs w:val="18"/>
                <w:color w:val="auto"/>
              </w:rPr>
              <w:t>Page 2 of 2</w:t>
            </w:r>
          </w:p>
        </w:tc>
        <w:tc>
          <w:tcPr>
            <w:tcW w:w="7320" w:type="dxa"/>
            <w:vAlign w:val="bottom"/>
            <w:gridSpan w:val="3"/>
          </w:tcPr>
          <w:p>
            <w:pPr>
              <w:ind w:left="2700"/>
              <w:spacing w:after="0"/>
              <w:rPr>
                <w:sz w:val="20"/>
                <w:szCs w:val="20"/>
                <w:color w:val="auto"/>
              </w:rPr>
            </w:pPr>
            <w:r>
              <w:rPr>
                <w:rFonts w:ascii="Arial" w:cs="Arial" w:eastAsia="Arial" w:hAnsi="Arial"/>
                <w:sz w:val="16"/>
                <w:szCs w:val="16"/>
                <w:color w:val="auto"/>
                <w:w w:val="92"/>
              </w:rPr>
              <w:t xml:space="preserve">© </w:t>
            </w:r>
            <w:r>
              <w:rPr>
                <w:rFonts w:ascii="Arial" w:cs="Arial" w:eastAsia="Arial" w:hAnsi="Arial"/>
                <w:sz w:val="18"/>
                <w:szCs w:val="18"/>
                <w:color w:val="auto"/>
                <w:w w:val="92"/>
              </w:rPr>
              <w:t>2013 The Travelers Indemnity Company. All rights reserved.</w:t>
            </w:r>
          </w:p>
        </w:tc>
      </w:tr>
    </w:tbl>
    <w:p>
      <w:pPr>
        <w:sectPr>
          <w:pgSz w:w="11900" w:h="16838" w:orient="portrait"/>
          <w:cols w:equalWidth="0" w:num="1">
            <w:col w:w="11420"/>
          </w:cols>
          <w:pgMar w:left="240" w:top="274" w:right="239" w:bottom="1440" w:gutter="0" w:footer="0" w:header="0"/>
        </w:sectPr>
      </w:pPr>
    </w:p>
    <w:bookmarkStart w:id="23" w:name="page24"/>
    <w:bookmarkEnd w:id="23"/>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spaces preceded by an (*) need not be completed if this endorsement or rider and the Bond or Policy have the same inception date.</w:t>
      </w:r>
    </w:p>
    <w:tbl>
      <w:tblPr>
        <w:tblLayout w:type="fixed"/>
        <w:tblInd w:w="0" w:type="dxa"/>
        <w:tblCellMar>
          <w:top w:w="0" w:type="dxa"/>
          <w:left w:w="0" w:type="dxa"/>
          <w:bottom w:w="0" w:type="dxa"/>
          <w:right w:w="0" w:type="dxa"/>
        </w:tblCellMar>
      </w:tblPr>
      <w:tr>
        <w:trPr>
          <w:trHeight w:val="114"/>
        </w:trPr>
        <w:tc>
          <w:tcPr>
            <w:tcW w:w="20" w:type="dxa"/>
            <w:vAlign w:val="bottom"/>
          </w:tcPr>
          <w:p>
            <w:pPr>
              <w:spacing w:after="0"/>
              <w:rPr>
                <w:sz w:val="9"/>
                <w:szCs w:val="9"/>
                <w:color w:val="auto"/>
              </w:rPr>
            </w:pPr>
          </w:p>
        </w:tc>
        <w:tc>
          <w:tcPr>
            <w:tcW w:w="4080" w:type="dxa"/>
            <w:vAlign w:val="bottom"/>
            <w:tcBorders>
              <w:top w:val="single" w:sz="8" w:color="auto"/>
              <w:right w:val="single" w:sz="8" w:color="auto"/>
            </w:tcBorders>
          </w:tcPr>
          <w:p>
            <w:pPr>
              <w:ind w:left="140"/>
              <w:spacing w:after="0" w:line="114" w:lineRule="exact"/>
              <w:rPr>
                <w:sz w:val="20"/>
                <w:szCs w:val="20"/>
                <w:color w:val="auto"/>
              </w:rPr>
            </w:pPr>
            <w:r>
              <w:rPr>
                <w:rFonts w:ascii="Arial" w:cs="Arial" w:eastAsia="Arial" w:hAnsi="Arial"/>
                <w:sz w:val="13"/>
                <w:szCs w:val="13"/>
                <w:color w:val="auto"/>
              </w:rPr>
              <w:t>ATTACHED TO AND FORMING PART OF</w:t>
            </w:r>
          </w:p>
        </w:tc>
        <w:tc>
          <w:tcPr>
            <w:tcW w:w="2400" w:type="dxa"/>
            <w:vAlign w:val="bottom"/>
            <w:tcBorders>
              <w:top w:val="single" w:sz="8" w:color="auto"/>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91"/>
              </w:rPr>
              <w:t>DATE ENDORSEMENT OR RIDER</w:t>
            </w:r>
          </w:p>
        </w:tc>
        <w:tc>
          <w:tcPr>
            <w:tcW w:w="4920" w:type="dxa"/>
            <w:vAlign w:val="bottom"/>
            <w:tcBorders>
              <w:top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EFFECTIVE DATE OF ENDORSEMENT OR RIDER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80" w:type="dxa"/>
            <w:vAlign w:val="bottom"/>
            <w:tcBorders>
              <w:right w:val="single" w:sz="8" w:color="auto"/>
            </w:tcBorders>
          </w:tcPr>
          <w:p>
            <w:pPr>
              <w:ind w:left="500"/>
              <w:spacing w:after="0"/>
              <w:rPr>
                <w:sz w:val="20"/>
                <w:szCs w:val="20"/>
                <w:color w:val="auto"/>
              </w:rPr>
            </w:pPr>
            <w:r>
              <w:rPr>
                <w:rFonts w:ascii="Arial" w:cs="Arial" w:eastAsia="Arial" w:hAnsi="Arial"/>
                <w:sz w:val="13"/>
                <w:szCs w:val="13"/>
                <w:color w:val="auto"/>
              </w:rPr>
              <w:t>BOND OR POLICY NO.</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3"/>
              </w:rPr>
              <w:t>EXECUTED</w:t>
            </w:r>
          </w:p>
        </w:tc>
        <w:tc>
          <w:tcPr>
            <w:tcW w:w="9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4080" w:type="dxa"/>
            <w:vAlign w:val="bottom"/>
            <w:tcBorders>
              <w:right w:val="single" w:sz="8" w:color="auto"/>
            </w:tcBorders>
            <w:vMerge w:val="restart"/>
          </w:tcPr>
          <w:p>
            <w:pPr>
              <w:ind w:left="140"/>
              <w:spacing w:after="0"/>
              <w:rPr>
                <w:sz w:val="20"/>
                <w:szCs w:val="20"/>
                <w:color w:val="auto"/>
              </w:rPr>
            </w:pPr>
            <w:r>
              <w:rPr>
                <w:rFonts w:ascii="Arial" w:cs="Arial" w:eastAsia="Arial" w:hAnsi="Arial"/>
                <w:sz w:val="21"/>
                <w:szCs w:val="21"/>
                <w:color w:val="auto"/>
              </w:rPr>
              <w:t>ZBN-81M58129-16-N2</w:t>
            </w: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0"/>
              </w:rPr>
              <w:t>05/27/16</w:t>
            </w:r>
          </w:p>
        </w:tc>
        <w:tc>
          <w:tcPr>
            <w:tcW w:w="940" w:type="dxa"/>
            <w:vAlign w:val="bottom"/>
            <w:vMerge w:val="restart"/>
          </w:tcPr>
          <w:p>
            <w:pPr>
              <w:ind w:left="80"/>
              <w:spacing w:after="0"/>
              <w:rPr>
                <w:sz w:val="20"/>
                <w:szCs w:val="20"/>
                <w:color w:val="auto"/>
              </w:rPr>
            </w:pPr>
            <w:r>
              <w:rPr>
                <w:rFonts w:ascii="Arial" w:cs="Arial" w:eastAsia="Arial" w:hAnsi="Arial"/>
                <w:sz w:val="21"/>
                <w:szCs w:val="21"/>
                <w:color w:val="auto"/>
              </w:rPr>
              <w:t>05/31/16</w:t>
            </w:r>
          </w:p>
        </w:tc>
        <w:tc>
          <w:tcPr>
            <w:tcW w:w="3980" w:type="dxa"/>
            <w:vAlign w:val="bottom"/>
          </w:tcPr>
          <w:p>
            <w:pPr>
              <w:ind w:left="100"/>
              <w:spacing w:after="0"/>
              <w:rPr>
                <w:sz w:val="20"/>
                <w:szCs w:val="20"/>
                <w:color w:val="auto"/>
              </w:rPr>
            </w:pPr>
            <w:r>
              <w:rPr>
                <w:rFonts w:ascii="Arial" w:cs="Arial" w:eastAsia="Arial" w:hAnsi="Arial"/>
                <w:sz w:val="13"/>
                <w:szCs w:val="13"/>
                <w:color w:val="auto"/>
              </w:rPr>
              <w:t>12:01 A.M. LOCAL TIME AS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80" w:type="dxa"/>
            <w:vAlign w:val="bottom"/>
            <w:tcBorders>
              <w:right w:val="single" w:sz="8" w:color="auto"/>
            </w:tcBorders>
            <w:vMerge w:val="continue"/>
          </w:tcPr>
          <w:p>
            <w:pPr>
              <w:spacing w:after="0"/>
              <w:rPr>
                <w:sz w:val="13"/>
                <w:szCs w:val="13"/>
                <w:color w:val="auto"/>
              </w:rPr>
            </w:pPr>
          </w:p>
        </w:tc>
        <w:tc>
          <w:tcPr>
            <w:tcW w:w="2400" w:type="dxa"/>
            <w:vAlign w:val="bottom"/>
            <w:tcBorders>
              <w:right w:val="single" w:sz="8" w:color="auto"/>
            </w:tcBorders>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3980" w:type="dxa"/>
            <w:vAlign w:val="bottom"/>
          </w:tcPr>
          <w:p>
            <w:pPr>
              <w:ind w:left="10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080" w:type="dxa"/>
            <w:vAlign w:val="bottom"/>
            <w:tcBorders>
              <w:bottom w:val="single" w:sz="8" w:color="auto"/>
              <w:right w:val="single" w:sz="8" w:color="auto"/>
            </w:tcBorders>
          </w:tcPr>
          <w:p>
            <w:pPr>
              <w:spacing w:after="0"/>
              <w:rPr>
                <w:sz w:val="10"/>
                <w:szCs w:val="10"/>
                <w:color w:val="auto"/>
              </w:rPr>
            </w:pPr>
          </w:p>
        </w:tc>
        <w:tc>
          <w:tcPr>
            <w:tcW w:w="2400" w:type="dxa"/>
            <w:vAlign w:val="bottom"/>
            <w:tcBorders>
              <w:bottom w:val="single" w:sz="8" w:color="auto"/>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 ISSUED TO</w:t>
            </w:r>
          </w:p>
        </w:tc>
        <w:tc>
          <w:tcPr>
            <w:tcW w:w="2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AUTOMATIC INCREASE IN LIMITS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MEL4734 Ed. 11-06 - For use with ICB005 Ed. 7-04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Section 10., Limit of Liability, is amended to include the following paragraph:</w:t>
      </w:r>
    </w:p>
    <w:p>
      <w:pPr>
        <w:spacing w:after="0" w:line="117" w:lineRule="exact"/>
        <w:rPr>
          <w:rFonts w:ascii="Arial" w:cs="Arial" w:eastAsia="Arial" w:hAnsi="Arial"/>
          <w:sz w:val="18"/>
          <w:szCs w:val="18"/>
          <w:color w:val="auto"/>
        </w:rPr>
      </w:pPr>
    </w:p>
    <w:p>
      <w:pPr>
        <w:jc w:val="both"/>
        <w:ind w:left="460" w:right="100"/>
        <w:spacing w:after="0" w:line="286" w:lineRule="auto"/>
        <w:rPr>
          <w:rFonts w:ascii="Arial" w:cs="Arial" w:eastAsia="Arial" w:hAnsi="Arial"/>
          <w:sz w:val="18"/>
          <w:szCs w:val="18"/>
          <w:color w:val="auto"/>
        </w:rPr>
      </w:pPr>
      <w:r>
        <w:rPr>
          <w:rFonts w:ascii="Arial" w:cs="Arial" w:eastAsia="Arial" w:hAnsi="Arial"/>
          <w:sz w:val="17"/>
          <w:szCs w:val="17"/>
          <w:color w:val="auto"/>
        </w:rPr>
        <w:t>If the Insured shall, while this bond is in force, require an increase in limits to comply with SEC Reg. 17g-1, due to an increase in asset size of current Investment Companies insured under the bond or the addition of new Investment Companies, the Limit of Liability of this Bond shall automatically be increased to comply with this regulation without the payment of additional premium for the remainder of the premium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19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-101600</wp:posOffset>
            </wp:positionV>
            <wp:extent cx="24872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INSURED</w:t>
      </w:r>
    </w:p>
    <w:p>
      <w:pPr>
        <w:spacing w:after="0" w:line="200" w:lineRule="exact"/>
        <w:rPr>
          <w:sz w:val="20"/>
          <w:szCs w:val="20"/>
          <w:color w:val="auto"/>
        </w:rPr>
      </w:pPr>
    </w:p>
    <w:p>
      <w:pPr>
        <w:spacing w:after="0" w:line="306" w:lineRule="exact"/>
        <w:rPr>
          <w:sz w:val="20"/>
          <w:szCs w:val="20"/>
          <w:color w:val="auto"/>
        </w:rPr>
      </w:pPr>
    </w:p>
    <w:p>
      <w:pPr>
        <w:spacing w:after="0"/>
        <w:tabs>
          <w:tab w:leader="none" w:pos="105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2006 The Travelers Indemnity Company. All rights reserved.</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20"/>
          </w:cols>
          <w:pgMar w:left="240" w:top="274" w:right="239" w:bottom="1440" w:gutter="0" w:footer="0" w:header="0"/>
        </w:sectPr>
      </w:pPr>
    </w:p>
    <w:bookmarkStart w:id="24" w:name="page25"/>
    <w:bookmarkEnd w:id="24"/>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spaces preceded by an (*) need not be completed if this endorsement or rider and the Bond or Policy have the same inception date.</w:t>
      </w:r>
    </w:p>
    <w:tbl>
      <w:tblPr>
        <w:tblLayout w:type="fixed"/>
        <w:tblInd w:w="0" w:type="dxa"/>
        <w:tblCellMar>
          <w:top w:w="0" w:type="dxa"/>
          <w:left w:w="0" w:type="dxa"/>
          <w:bottom w:w="0" w:type="dxa"/>
          <w:right w:w="0" w:type="dxa"/>
        </w:tblCellMar>
      </w:tblPr>
      <w:tr>
        <w:trPr>
          <w:trHeight w:val="114"/>
        </w:trPr>
        <w:tc>
          <w:tcPr>
            <w:tcW w:w="20" w:type="dxa"/>
            <w:vAlign w:val="bottom"/>
          </w:tcPr>
          <w:p>
            <w:pPr>
              <w:spacing w:after="0"/>
              <w:rPr>
                <w:sz w:val="9"/>
                <w:szCs w:val="9"/>
                <w:color w:val="auto"/>
              </w:rPr>
            </w:pPr>
          </w:p>
        </w:tc>
        <w:tc>
          <w:tcPr>
            <w:tcW w:w="3080" w:type="dxa"/>
            <w:vAlign w:val="bottom"/>
            <w:tcBorders>
              <w:top w:val="single" w:sz="8" w:color="auto"/>
              <w:right w:val="single" w:sz="8" w:color="auto"/>
            </w:tcBorders>
          </w:tcPr>
          <w:p>
            <w:pPr>
              <w:ind w:left="400"/>
              <w:spacing w:after="0" w:line="114" w:lineRule="exact"/>
              <w:rPr>
                <w:sz w:val="20"/>
                <w:szCs w:val="20"/>
                <w:color w:val="auto"/>
              </w:rPr>
            </w:pPr>
            <w:r>
              <w:rPr>
                <w:rFonts w:ascii="Arial" w:cs="Arial" w:eastAsia="Arial" w:hAnsi="Arial"/>
                <w:sz w:val="13"/>
                <w:szCs w:val="13"/>
                <w:color w:val="auto"/>
              </w:rPr>
              <w:t>ATTACHED TO AND FORMING PART OF</w:t>
            </w:r>
          </w:p>
        </w:tc>
        <w:tc>
          <w:tcPr>
            <w:tcW w:w="1700" w:type="dxa"/>
            <w:vAlign w:val="bottom"/>
            <w:tcBorders>
              <w:top w:val="single" w:sz="8" w:color="auto"/>
              <w:right w:val="single" w:sz="8" w:color="auto"/>
            </w:tcBorders>
          </w:tcPr>
          <w:p>
            <w:pPr>
              <w:jc w:val="center"/>
              <w:ind w:left="43"/>
              <w:spacing w:after="0" w:line="114" w:lineRule="exact"/>
              <w:rPr>
                <w:sz w:val="20"/>
                <w:szCs w:val="20"/>
                <w:color w:val="auto"/>
              </w:rPr>
            </w:pPr>
            <w:r>
              <w:rPr>
                <w:rFonts w:ascii="Arial" w:cs="Arial" w:eastAsia="Arial" w:hAnsi="Arial"/>
                <w:sz w:val="13"/>
                <w:szCs w:val="13"/>
                <w:color w:val="auto"/>
                <w:w w:val="93"/>
              </w:rPr>
              <w:t>DATE ENDORSEMENT</w:t>
            </w:r>
          </w:p>
        </w:tc>
        <w:tc>
          <w:tcPr>
            <w:tcW w:w="6620" w:type="dxa"/>
            <w:vAlign w:val="bottom"/>
            <w:tcBorders>
              <w:top w:val="single" w:sz="8" w:color="auto"/>
            </w:tcBorders>
            <w:gridSpan w:val="2"/>
          </w:tcPr>
          <w:p>
            <w:pPr>
              <w:ind w:left="200"/>
              <w:spacing w:after="0" w:line="114" w:lineRule="exact"/>
              <w:rPr>
                <w:sz w:val="20"/>
                <w:szCs w:val="20"/>
                <w:color w:val="auto"/>
              </w:rPr>
            </w:pPr>
            <w:r>
              <w:rPr>
                <w:rFonts w:ascii="Arial" w:cs="Arial" w:eastAsia="Arial" w:hAnsi="Arial"/>
                <w:sz w:val="13"/>
                <w:szCs w:val="13"/>
                <w:color w:val="auto"/>
              </w:rPr>
              <w:t>* EFFECTIVE DATE OF ENDORSEMENT OR RIDER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80" w:type="dxa"/>
            <w:vAlign w:val="bottom"/>
            <w:tcBorders>
              <w:right w:val="single" w:sz="8" w:color="auto"/>
            </w:tcBorders>
          </w:tcPr>
          <w:p>
            <w:pPr>
              <w:ind w:left="980"/>
              <w:spacing w:after="0"/>
              <w:rPr>
                <w:sz w:val="20"/>
                <w:szCs w:val="20"/>
                <w:color w:val="auto"/>
              </w:rPr>
            </w:pPr>
            <w:r>
              <w:rPr>
                <w:rFonts w:ascii="Arial" w:cs="Arial" w:eastAsia="Arial" w:hAnsi="Arial"/>
                <w:sz w:val="13"/>
                <w:szCs w:val="13"/>
                <w:color w:val="auto"/>
              </w:rPr>
              <w:t>BOND OR POLICY NO.</w:t>
            </w:r>
          </w:p>
        </w:tc>
        <w:tc>
          <w:tcPr>
            <w:tcW w:w="1700" w:type="dxa"/>
            <w:vAlign w:val="bottom"/>
            <w:tcBorders>
              <w:right w:val="single" w:sz="8" w:color="auto"/>
            </w:tcBorders>
          </w:tcPr>
          <w:p>
            <w:pPr>
              <w:jc w:val="center"/>
              <w:ind w:left="63"/>
              <w:spacing w:after="0"/>
              <w:rPr>
                <w:sz w:val="20"/>
                <w:szCs w:val="20"/>
                <w:color w:val="auto"/>
              </w:rPr>
            </w:pPr>
            <w:r>
              <w:rPr>
                <w:rFonts w:ascii="Arial" w:cs="Arial" w:eastAsia="Arial" w:hAnsi="Arial"/>
                <w:sz w:val="13"/>
                <w:szCs w:val="13"/>
                <w:color w:val="auto"/>
                <w:w w:val="92"/>
              </w:rPr>
              <w:t>OR RIDER EXECUTED</w:t>
            </w:r>
          </w:p>
        </w:tc>
        <w:tc>
          <w:tcPr>
            <w:tcW w:w="13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30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1"/>
                <w:szCs w:val="21"/>
                <w:color w:val="auto"/>
              </w:rPr>
              <w:t>ZBN-81M58129-16-N2</w:t>
            </w:r>
          </w:p>
        </w:tc>
        <w:tc>
          <w:tcPr>
            <w:tcW w:w="1700" w:type="dxa"/>
            <w:vAlign w:val="bottom"/>
            <w:tcBorders>
              <w:right w:val="single" w:sz="8" w:color="auto"/>
            </w:tcBorders>
            <w:vMerge w:val="restart"/>
          </w:tcPr>
          <w:p>
            <w:pPr>
              <w:jc w:val="center"/>
              <w:ind w:left="43"/>
              <w:spacing w:after="0"/>
              <w:rPr>
                <w:sz w:val="20"/>
                <w:szCs w:val="20"/>
                <w:color w:val="auto"/>
              </w:rPr>
            </w:pPr>
            <w:r>
              <w:rPr>
                <w:rFonts w:ascii="Arial" w:cs="Arial" w:eastAsia="Arial" w:hAnsi="Arial"/>
                <w:sz w:val="21"/>
                <w:szCs w:val="21"/>
                <w:color w:val="auto"/>
                <w:w w:val="90"/>
              </w:rPr>
              <w:t>05/27/16</w:t>
            </w:r>
          </w:p>
        </w:tc>
        <w:tc>
          <w:tcPr>
            <w:tcW w:w="1380" w:type="dxa"/>
            <w:vAlign w:val="bottom"/>
            <w:vMerge w:val="restart"/>
          </w:tcPr>
          <w:p>
            <w:pPr>
              <w:jc w:val="right"/>
              <w:ind w:right="257"/>
              <w:spacing w:after="0"/>
              <w:rPr>
                <w:sz w:val="20"/>
                <w:szCs w:val="20"/>
                <w:color w:val="auto"/>
              </w:rPr>
            </w:pPr>
            <w:r>
              <w:rPr>
                <w:rFonts w:ascii="Arial" w:cs="Arial" w:eastAsia="Arial" w:hAnsi="Arial"/>
                <w:sz w:val="21"/>
                <w:szCs w:val="21"/>
                <w:color w:val="auto"/>
              </w:rPr>
              <w:t>05/31/16</w:t>
            </w:r>
          </w:p>
        </w:tc>
        <w:tc>
          <w:tcPr>
            <w:tcW w:w="5240" w:type="dxa"/>
            <w:vAlign w:val="bottom"/>
          </w:tcPr>
          <w:p>
            <w:pPr>
              <w:ind w:left="340"/>
              <w:spacing w:after="0"/>
              <w:rPr>
                <w:sz w:val="20"/>
                <w:szCs w:val="20"/>
                <w:color w:val="auto"/>
              </w:rPr>
            </w:pPr>
            <w:r>
              <w:rPr>
                <w:rFonts w:ascii="Arial" w:cs="Arial" w:eastAsia="Arial" w:hAnsi="Arial"/>
                <w:sz w:val="13"/>
                <w:szCs w:val="13"/>
                <w:color w:val="auto"/>
              </w:rPr>
              <w:t>12:01 A.M. LOCAL TIME AS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80" w:type="dxa"/>
            <w:vAlign w:val="bottom"/>
            <w:tcBorders>
              <w:right w:val="single" w:sz="8" w:color="auto"/>
            </w:tcBorders>
            <w:vMerge w:val="continue"/>
          </w:tcPr>
          <w:p>
            <w:pPr>
              <w:spacing w:after="0"/>
              <w:rPr>
                <w:sz w:val="13"/>
                <w:szCs w:val="13"/>
                <w:color w:val="auto"/>
              </w:rPr>
            </w:pPr>
          </w:p>
        </w:tc>
        <w:tc>
          <w:tcPr>
            <w:tcW w:w="1700" w:type="dxa"/>
            <w:vAlign w:val="bottom"/>
            <w:tcBorders>
              <w:right w:val="single" w:sz="8" w:color="auto"/>
            </w:tcBorders>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5240" w:type="dxa"/>
            <w:vAlign w:val="bottom"/>
          </w:tcPr>
          <w:p>
            <w:pPr>
              <w:ind w:left="34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246"/>
        </w:trPr>
        <w:tc>
          <w:tcPr>
            <w:tcW w:w="20" w:type="dxa"/>
            <w:vAlign w:val="bottom"/>
            <w:vMerge w:val="restart"/>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5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 ISSUED TO</w:t>
            </w:r>
          </w:p>
        </w:tc>
        <w:tc>
          <w:tcPr>
            <w:tcW w:w="17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60"/>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REPLACE INSURING AGREEMENT (A) FIDELITY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use with ICB005 Ed. 7/04</w:t>
      </w:r>
    </w:p>
    <w:p>
      <w:pPr>
        <w:jc w:val="center"/>
        <w:spacing w:after="0"/>
        <w:rPr>
          <w:sz w:val="20"/>
          <w:szCs w:val="20"/>
          <w:color w:val="auto"/>
        </w:rPr>
      </w:pPr>
      <w:r>
        <w:rPr>
          <w:rFonts w:ascii="Arial" w:cs="Arial" w:eastAsia="Arial" w:hAnsi="Arial"/>
          <w:sz w:val="22"/>
          <w:szCs w:val="22"/>
          <w:b w:val="1"/>
          <w:bCs w:val="1"/>
          <w:color w:val="auto"/>
        </w:rPr>
        <w:t>MEL7428 Ed. 04/10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Insuring Agreement (A) Fidelity is replaced with the following:</w:t>
      </w:r>
    </w:p>
    <w:p>
      <w:pPr>
        <w:spacing w:after="0" w:line="252" w:lineRule="exact"/>
        <w:rPr>
          <w:sz w:val="20"/>
          <w:szCs w:val="20"/>
          <w:color w:val="auto"/>
        </w:rPr>
      </w:pPr>
    </w:p>
    <w:p>
      <w:pPr>
        <w:ind w:left="900" w:right="180" w:hanging="446"/>
        <w:spacing w:after="0" w:line="312"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Loss resulting from any dishonest or fraudulent act(s), including Larceny or Embezzlement, committed by an Employee, committed anywhere and whether committed alone or in collusion with others, including loss of Property resulting from such acts of an Employee, which Property is held by the Insured for any purpose or in any capacity and whether so held gratuitously or not and whether or not the Insured is liable therefor.</w:t>
      </w:r>
    </w:p>
    <w:p>
      <w:pPr>
        <w:spacing w:after="0" w:line="147"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Dishonest or fraudulent act(s) as used in this Insuring Agreement shall mean only dishonest or fraudulent act(s) committed by such Employee with the intent:</w:t>
      </w:r>
    </w:p>
    <w:p>
      <w:pPr>
        <w:spacing w:after="0" w:line="197" w:lineRule="exact"/>
        <w:rPr>
          <w:sz w:val="20"/>
          <w:szCs w:val="20"/>
          <w:color w:val="auto"/>
        </w:rPr>
      </w:pPr>
    </w:p>
    <w:p>
      <w:pPr>
        <w:ind w:left="1920" w:hanging="440"/>
        <w:spacing w:after="0"/>
        <w:tabs>
          <w:tab w:leader="none" w:pos="1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cause the Insured to sustain such loss, or</w:t>
      </w:r>
    </w:p>
    <w:p>
      <w:pPr>
        <w:spacing w:after="0" w:line="23" w:lineRule="exact"/>
        <w:rPr>
          <w:rFonts w:ascii="Arial" w:cs="Arial" w:eastAsia="Arial" w:hAnsi="Arial"/>
          <w:sz w:val="18"/>
          <w:szCs w:val="18"/>
          <w:color w:val="auto"/>
        </w:rPr>
      </w:pPr>
    </w:p>
    <w:p>
      <w:pPr>
        <w:ind w:left="1920" w:hanging="440"/>
        <w:spacing w:after="0"/>
        <w:tabs>
          <w:tab w:leader="none" w:pos="1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obtain financial benefit for the Employee or another person or organization.</w:t>
      </w:r>
    </w:p>
    <w:p>
      <w:pPr>
        <w:spacing w:after="0" w:line="211" w:lineRule="exact"/>
        <w:rPr>
          <w:sz w:val="20"/>
          <w:szCs w:val="20"/>
          <w:color w:val="auto"/>
        </w:rPr>
      </w:pPr>
    </w:p>
    <w:p>
      <w:pPr>
        <w:ind w:left="920" w:right="120"/>
        <w:spacing w:after="0" w:line="255" w:lineRule="auto"/>
        <w:rPr>
          <w:sz w:val="20"/>
          <w:szCs w:val="20"/>
          <w:color w:val="auto"/>
        </w:rPr>
      </w:pPr>
      <w:r>
        <w:rPr>
          <w:rFonts w:ascii="Arial" w:cs="Arial" w:eastAsia="Arial" w:hAnsi="Arial"/>
          <w:sz w:val="18"/>
          <w:szCs w:val="18"/>
          <w:color w:val="auto"/>
        </w:rPr>
        <w:t>Notwithstanding the foregoing, it is agreed that with regard to Loans and/or Trading this bond covers only loss resulting directly from dishonest or fraudulent acts committed by an Employee with the intent to cause the Insured to sustain such loss, and to obtain financial benefit for the Employee or another person or organization. However, where the proceeds of a fraud committed by an Employee involving Loans and/or Trading are actually received by persons with whom the Employee was acting in collusion, but said Employee fails to derive a financial benefit therefrom, such a loss will nevertheless be covered hereunder as if the Employee had obtained such benefit provided the Insured establishes that the Employee intended to participate therein.</w:t>
      </w:r>
    </w:p>
    <w:p>
      <w:pPr>
        <w:spacing w:after="0" w:line="193" w:lineRule="exact"/>
        <w:rPr>
          <w:sz w:val="20"/>
          <w:szCs w:val="20"/>
          <w:color w:val="auto"/>
        </w:rPr>
      </w:pPr>
    </w:p>
    <w:p>
      <w:pPr>
        <w:ind w:left="920" w:right="560"/>
        <w:spacing w:after="0" w:line="277" w:lineRule="auto"/>
        <w:rPr>
          <w:sz w:val="20"/>
          <w:szCs w:val="20"/>
          <w:color w:val="auto"/>
        </w:rPr>
      </w:pPr>
      <w:r>
        <w:rPr>
          <w:rFonts w:ascii="Arial" w:cs="Arial" w:eastAsia="Arial" w:hAnsi="Arial"/>
          <w:sz w:val="18"/>
          <w:szCs w:val="18"/>
          <w:color w:val="auto"/>
        </w:rPr>
        <w:t>As used in this Insuring Agreement, financial benefit does not include any employee benefits earned in the normal course of employment, including: salaries, commissions, fees, bonuses, promotions, awards, profit sharing and pensions.</w:t>
      </w:r>
    </w:p>
    <w:p>
      <w:pPr>
        <w:spacing w:after="0" w:line="170"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“Trading” as used in this Insuring Agreement means trading or otherwise dealing in securities, commodities, futures, options, foreign or federal funds, currencies, foreign exchange or other means of exchange similar to or in the nature of the foregoing. .</w:t>
      </w:r>
    </w:p>
    <w:p>
      <w:pPr>
        <w:spacing w:after="0" w:line="170"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“Loan” as used in this Insuring Agreement means any extension of credit by the Insured, any transaction creating a creditor relationship in favor of the Insured and any transaction by which the Insured assumes an existing creditor relationship</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193" w:lineRule="exact"/>
        <w:rPr>
          <w:sz w:val="20"/>
          <w:szCs w:val="20"/>
          <w:color w:val="auto"/>
        </w:rPr>
      </w:pPr>
    </w:p>
    <w:p>
      <w:pPr>
        <w:ind w:left="708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3810</wp:posOffset>
            </wp:positionV>
            <wp:extent cx="24872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 w:lineRule="exact"/>
        <w:rPr>
          <w:sz w:val="20"/>
          <w:szCs w:val="20"/>
          <w:color w:val="auto"/>
        </w:rPr>
      </w:pPr>
    </w:p>
    <w:p>
      <w:pPr>
        <w:ind w:left="8700"/>
        <w:spacing w:after="0"/>
        <w:rPr>
          <w:sz w:val="20"/>
          <w:szCs w:val="20"/>
          <w:color w:val="auto"/>
        </w:rPr>
      </w:pPr>
      <w:r>
        <w:rPr>
          <w:rFonts w:ascii="Arial" w:cs="Arial" w:eastAsia="Arial" w:hAnsi="Arial"/>
          <w:sz w:val="14"/>
          <w:szCs w:val="14"/>
          <w:color w:val="auto"/>
        </w:rPr>
        <w:t>Authorized Representative</w:t>
      </w:r>
    </w:p>
    <w:p>
      <w:pPr>
        <w:spacing w:after="0" w:line="4" w:lineRule="exact"/>
        <w:rPr>
          <w:sz w:val="20"/>
          <w:szCs w:val="20"/>
          <w:color w:val="auto"/>
        </w:rPr>
      </w:pPr>
    </w:p>
    <w:p>
      <w:pPr>
        <w:ind w:left="6860"/>
        <w:spacing w:after="0"/>
        <w:rPr>
          <w:sz w:val="20"/>
          <w:szCs w:val="20"/>
          <w:color w:val="auto"/>
        </w:rPr>
      </w:pPr>
      <w:r>
        <w:rPr>
          <w:rFonts w:ascii="Arial" w:cs="Arial" w:eastAsia="Arial" w:hAnsi="Arial"/>
          <w:sz w:val="21"/>
          <w:szCs w:val="21"/>
          <w:color w:val="auto"/>
        </w:rPr>
        <w:t>INSURED</w:t>
      </w:r>
    </w:p>
    <w:p>
      <w:pPr>
        <w:spacing w:after="0" w:line="131" w:lineRule="exact"/>
        <w:rPr>
          <w:sz w:val="20"/>
          <w:szCs w:val="20"/>
          <w:color w:val="auto"/>
        </w:rPr>
      </w:pPr>
    </w:p>
    <w:p>
      <w:pPr>
        <w:spacing w:after="0"/>
        <w:tabs>
          <w:tab w:leader="none" w:pos="105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2010 The Travelers Indemnity Company</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20"/>
          </w:cols>
          <w:pgMar w:left="240" w:top="274" w:right="239" w:bottom="1440" w:gutter="0" w:footer="0" w:header="0"/>
        </w:sectPr>
      </w:pPr>
    </w:p>
    <w:bookmarkStart w:id="25" w:name="page26"/>
    <w:bookmarkEnd w:id="25"/>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spaces preceded by an (*) need not be completed if this endorsement or rider and the Bond or Policy have the same inception date.</w:t>
      </w:r>
    </w:p>
    <w:tbl>
      <w:tblPr>
        <w:tblLayout w:type="fixed"/>
        <w:tblInd w:w="0" w:type="dxa"/>
        <w:tblCellMar>
          <w:top w:w="0" w:type="dxa"/>
          <w:left w:w="0" w:type="dxa"/>
          <w:bottom w:w="0" w:type="dxa"/>
          <w:right w:w="0" w:type="dxa"/>
        </w:tblCellMar>
      </w:tblPr>
      <w:tr>
        <w:trPr>
          <w:trHeight w:val="114"/>
        </w:trPr>
        <w:tc>
          <w:tcPr>
            <w:tcW w:w="20" w:type="dxa"/>
            <w:vAlign w:val="bottom"/>
          </w:tcPr>
          <w:p>
            <w:pPr>
              <w:spacing w:after="0"/>
              <w:rPr>
                <w:sz w:val="9"/>
                <w:szCs w:val="9"/>
                <w:color w:val="auto"/>
              </w:rPr>
            </w:pPr>
          </w:p>
        </w:tc>
        <w:tc>
          <w:tcPr>
            <w:tcW w:w="3080" w:type="dxa"/>
            <w:vAlign w:val="bottom"/>
            <w:tcBorders>
              <w:top w:val="single" w:sz="8" w:color="auto"/>
              <w:right w:val="single" w:sz="8" w:color="auto"/>
            </w:tcBorders>
          </w:tcPr>
          <w:p>
            <w:pPr>
              <w:ind w:left="80"/>
              <w:spacing w:after="0" w:line="114" w:lineRule="exact"/>
              <w:rPr>
                <w:sz w:val="20"/>
                <w:szCs w:val="20"/>
                <w:color w:val="auto"/>
              </w:rPr>
            </w:pPr>
            <w:r>
              <w:rPr>
                <w:rFonts w:ascii="Arial" w:cs="Arial" w:eastAsia="Arial" w:hAnsi="Arial"/>
                <w:sz w:val="13"/>
                <w:szCs w:val="13"/>
                <w:color w:val="auto"/>
                <w:w w:val="93"/>
              </w:rPr>
              <w:t>ATTACHED TO AND FORMING PART OF  BOND OR</w:t>
            </w:r>
          </w:p>
        </w:tc>
        <w:tc>
          <w:tcPr>
            <w:tcW w:w="2200" w:type="dxa"/>
            <w:vAlign w:val="bottom"/>
            <w:tcBorders>
              <w:top w:val="single" w:sz="8" w:color="auto"/>
              <w:right w:val="single" w:sz="8" w:color="auto"/>
            </w:tcBorders>
          </w:tcPr>
          <w:p>
            <w:pPr>
              <w:jc w:val="center"/>
              <w:ind w:left="63"/>
              <w:spacing w:after="0" w:line="114" w:lineRule="exact"/>
              <w:rPr>
                <w:sz w:val="20"/>
                <w:szCs w:val="20"/>
                <w:color w:val="auto"/>
              </w:rPr>
            </w:pPr>
            <w:r>
              <w:rPr>
                <w:rFonts w:ascii="Arial" w:cs="Arial" w:eastAsia="Arial" w:hAnsi="Arial"/>
                <w:sz w:val="13"/>
                <w:szCs w:val="13"/>
                <w:color w:val="auto"/>
                <w:w w:val="92"/>
              </w:rPr>
              <w:t>DATE ENDORSEMENT OR</w:t>
            </w:r>
          </w:p>
        </w:tc>
        <w:tc>
          <w:tcPr>
            <w:tcW w:w="6120" w:type="dxa"/>
            <w:vAlign w:val="bottom"/>
            <w:tcBorders>
              <w:top w:val="single" w:sz="8" w:color="auto"/>
            </w:tcBorders>
            <w:gridSpan w:val="2"/>
          </w:tcPr>
          <w:p>
            <w:pPr>
              <w:ind w:left="200"/>
              <w:spacing w:after="0" w:line="114" w:lineRule="exact"/>
              <w:rPr>
                <w:sz w:val="20"/>
                <w:szCs w:val="20"/>
                <w:color w:val="auto"/>
              </w:rPr>
            </w:pPr>
            <w:r>
              <w:rPr>
                <w:rFonts w:ascii="Arial" w:cs="Arial" w:eastAsia="Arial" w:hAnsi="Arial"/>
                <w:sz w:val="13"/>
                <w:szCs w:val="13"/>
                <w:color w:val="auto"/>
              </w:rPr>
              <w:t>* EFFECTIVE DATE OF ENDORSEMENT OR RIDER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80" w:type="dxa"/>
            <w:vAlign w:val="bottom"/>
            <w:tcBorders>
              <w:right w:val="single" w:sz="8" w:color="auto"/>
            </w:tcBorders>
          </w:tcPr>
          <w:p>
            <w:pPr>
              <w:ind w:left="1240"/>
              <w:spacing w:after="0"/>
              <w:rPr>
                <w:sz w:val="20"/>
                <w:szCs w:val="20"/>
                <w:color w:val="auto"/>
              </w:rPr>
            </w:pPr>
            <w:r>
              <w:rPr>
                <w:rFonts w:ascii="Arial" w:cs="Arial" w:eastAsia="Arial" w:hAnsi="Arial"/>
                <w:sz w:val="13"/>
                <w:szCs w:val="13"/>
                <w:color w:val="auto"/>
              </w:rPr>
              <w:t>POLICY NO.</w:t>
            </w:r>
          </w:p>
        </w:tc>
        <w:tc>
          <w:tcPr>
            <w:tcW w:w="2200" w:type="dxa"/>
            <w:vAlign w:val="bottom"/>
            <w:tcBorders>
              <w:right w:val="single" w:sz="8" w:color="auto"/>
            </w:tcBorders>
          </w:tcPr>
          <w:p>
            <w:pPr>
              <w:jc w:val="center"/>
              <w:ind w:left="43"/>
              <w:spacing w:after="0"/>
              <w:rPr>
                <w:sz w:val="20"/>
                <w:szCs w:val="20"/>
                <w:color w:val="auto"/>
              </w:rPr>
            </w:pPr>
            <w:r>
              <w:rPr>
                <w:rFonts w:ascii="Arial" w:cs="Arial" w:eastAsia="Arial" w:hAnsi="Arial"/>
                <w:sz w:val="13"/>
                <w:szCs w:val="13"/>
                <w:color w:val="auto"/>
                <w:w w:val="93"/>
              </w:rPr>
              <w:t>RIDER EXECUTED</w:t>
            </w:r>
          </w:p>
        </w:tc>
        <w:tc>
          <w:tcPr>
            <w:tcW w:w="14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1"/>
                <w:szCs w:val="21"/>
                <w:color w:val="auto"/>
              </w:rPr>
              <w:t>ZBN-81M58129-16-N2</w:t>
            </w:r>
          </w:p>
        </w:tc>
        <w:tc>
          <w:tcPr>
            <w:tcW w:w="2200" w:type="dxa"/>
            <w:vAlign w:val="bottom"/>
            <w:tcBorders>
              <w:right w:val="single" w:sz="8" w:color="auto"/>
            </w:tcBorders>
            <w:vMerge w:val="restart"/>
          </w:tcPr>
          <w:p>
            <w:pPr>
              <w:jc w:val="center"/>
              <w:ind w:left="63"/>
              <w:spacing w:after="0"/>
              <w:rPr>
                <w:sz w:val="20"/>
                <w:szCs w:val="20"/>
                <w:color w:val="auto"/>
              </w:rPr>
            </w:pPr>
            <w:r>
              <w:rPr>
                <w:rFonts w:ascii="Arial" w:cs="Arial" w:eastAsia="Arial" w:hAnsi="Arial"/>
                <w:sz w:val="21"/>
                <w:szCs w:val="21"/>
                <w:color w:val="auto"/>
                <w:w w:val="90"/>
              </w:rPr>
              <w:t>05/27/16</w:t>
            </w:r>
          </w:p>
        </w:tc>
        <w:tc>
          <w:tcPr>
            <w:tcW w:w="1420" w:type="dxa"/>
            <w:vAlign w:val="bottom"/>
            <w:vMerge w:val="restart"/>
          </w:tcPr>
          <w:p>
            <w:pPr>
              <w:jc w:val="right"/>
              <w:ind w:right="297"/>
              <w:spacing w:after="0"/>
              <w:rPr>
                <w:sz w:val="20"/>
                <w:szCs w:val="20"/>
                <w:color w:val="auto"/>
              </w:rPr>
            </w:pPr>
            <w:r>
              <w:rPr>
                <w:rFonts w:ascii="Arial" w:cs="Arial" w:eastAsia="Arial" w:hAnsi="Arial"/>
                <w:sz w:val="21"/>
                <w:szCs w:val="21"/>
                <w:color w:val="auto"/>
              </w:rPr>
              <w:t>05/31/16</w:t>
            </w:r>
          </w:p>
        </w:tc>
        <w:tc>
          <w:tcPr>
            <w:tcW w:w="4700" w:type="dxa"/>
            <w:vAlign w:val="bottom"/>
          </w:tcPr>
          <w:p>
            <w:pPr>
              <w:ind w:left="360"/>
              <w:spacing w:after="0"/>
              <w:rPr>
                <w:sz w:val="20"/>
                <w:szCs w:val="20"/>
                <w:color w:val="auto"/>
              </w:rPr>
            </w:pPr>
            <w:r>
              <w:rPr>
                <w:rFonts w:ascii="Arial" w:cs="Arial" w:eastAsia="Arial" w:hAnsi="Arial"/>
                <w:sz w:val="13"/>
                <w:szCs w:val="13"/>
                <w:color w:val="auto"/>
              </w:rPr>
              <w:t>12:01 A.M. LOCAL TIME AS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80" w:type="dxa"/>
            <w:vAlign w:val="bottom"/>
            <w:tcBorders>
              <w:right w:val="single" w:sz="8" w:color="auto"/>
            </w:tcBorders>
            <w:vMerge w:val="continue"/>
          </w:tcPr>
          <w:p>
            <w:pPr>
              <w:spacing w:after="0"/>
              <w:rPr>
                <w:sz w:val="13"/>
                <w:szCs w:val="13"/>
                <w:color w:val="auto"/>
              </w:rPr>
            </w:pPr>
          </w:p>
        </w:tc>
        <w:tc>
          <w:tcPr>
            <w:tcW w:w="2200" w:type="dxa"/>
            <w:vAlign w:val="bottom"/>
            <w:tcBorders>
              <w:right w:val="single" w:sz="8" w:color="auto"/>
            </w:tcBorders>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4700" w:type="dxa"/>
            <w:vAlign w:val="bottom"/>
          </w:tcPr>
          <w:p>
            <w:pPr>
              <w:ind w:left="360"/>
              <w:spacing w:after="0"/>
              <w:rPr>
                <w:sz w:val="20"/>
                <w:szCs w:val="20"/>
                <w:color w:val="auto"/>
              </w:rPr>
            </w:pPr>
            <w:r>
              <w:rPr>
                <w:rFonts w:ascii="Arial" w:cs="Arial" w:eastAsia="Arial" w:hAnsi="Arial"/>
                <w:sz w:val="13"/>
                <w:szCs w:val="13"/>
                <w:color w:val="auto"/>
              </w:rPr>
              <w:t>SPECIFIED IN THE BOND OR POLICY</w:t>
            </w:r>
          </w:p>
        </w:tc>
        <w:tc>
          <w:tcPr>
            <w:tcW w:w="0" w:type="dxa"/>
            <w:vAlign w:val="bottom"/>
          </w:tcPr>
          <w:p>
            <w:pPr>
              <w:spacing w:after="0"/>
              <w:rPr>
                <w:sz w:val="1"/>
                <w:szCs w:val="1"/>
                <w:color w:val="auto"/>
              </w:rPr>
            </w:pPr>
          </w:p>
        </w:tc>
      </w:tr>
      <w:tr>
        <w:trPr>
          <w:trHeight w:val="246"/>
        </w:trPr>
        <w:tc>
          <w:tcPr>
            <w:tcW w:w="20" w:type="dxa"/>
            <w:vAlign w:val="bottom"/>
            <w:vMerge w:val="restart"/>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4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3080" w:type="dxa"/>
            <w:vAlign w:val="bottom"/>
          </w:tcPr>
          <w:p>
            <w:pPr>
              <w:spacing w:after="0"/>
              <w:rPr>
                <w:sz w:val="20"/>
                <w:szCs w:val="20"/>
                <w:color w:val="auto"/>
              </w:rPr>
            </w:pPr>
            <w:r>
              <w:rPr>
                <w:rFonts w:ascii="Arial" w:cs="Arial" w:eastAsia="Arial" w:hAnsi="Arial"/>
                <w:sz w:val="13"/>
                <w:szCs w:val="13"/>
                <w:color w:val="auto"/>
              </w:rPr>
              <w:t>* ISSUED TO</w:t>
            </w:r>
          </w:p>
        </w:tc>
        <w:tc>
          <w:tcPr>
            <w:tcW w:w="2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20"/>
        <w:spacing w:after="0"/>
        <w:rPr>
          <w:sz w:val="20"/>
          <w:szCs w:val="20"/>
          <w:color w:val="auto"/>
        </w:rPr>
      </w:pPr>
      <w:r>
        <w:rPr>
          <w:rFonts w:ascii="Arial" w:cs="Arial" w:eastAsia="Arial" w:hAnsi="Arial"/>
          <w:sz w:val="21"/>
          <w:szCs w:val="2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left="260" w:right="2360"/>
        <w:spacing w:after="0" w:line="256" w:lineRule="auto"/>
        <w:rPr>
          <w:sz w:val="20"/>
          <w:szCs w:val="20"/>
          <w:color w:val="auto"/>
        </w:rPr>
      </w:pPr>
      <w:r>
        <w:rPr>
          <w:rFonts w:ascii="Arial" w:cs="Arial" w:eastAsia="Arial" w:hAnsi="Arial"/>
          <w:sz w:val="21"/>
          <w:szCs w:val="21"/>
          <w:b w:val="1"/>
          <w:bCs w:val="1"/>
          <w:color w:val="auto"/>
        </w:rPr>
        <w:t>COMPUTER SYSTEMS FRAUD ENDORSEMENT (For use with Investment Company Blanket Bond, Form ICB005 Ed. 07-04) MEL9188 Ed. 11-14</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gridSpan w:val="3"/>
          </w:tcPr>
          <w:p>
            <w:pPr>
              <w:spacing w:after="0"/>
              <w:rPr>
                <w:sz w:val="20"/>
                <w:szCs w:val="20"/>
                <w:color w:val="auto"/>
              </w:rPr>
            </w:pPr>
            <w:r>
              <w:rPr>
                <w:rFonts w:ascii="Arial" w:cs="Arial" w:eastAsia="Arial" w:hAnsi="Arial"/>
                <w:sz w:val="18"/>
                <w:szCs w:val="18"/>
                <w:b w:val="1"/>
                <w:bCs w:val="1"/>
                <w:color w:val="auto"/>
              </w:rPr>
              <w:t>It is agreed that:</w:t>
            </w:r>
          </w:p>
        </w:tc>
        <w:tc>
          <w:tcPr>
            <w:tcW w:w="25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38"/>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The following is added to Item 3. Limit of Liability of the Declarations:</w:t>
            </w:r>
          </w:p>
        </w:tc>
        <w:tc>
          <w:tcPr>
            <w:tcW w:w="25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59"/>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580" w:type="dxa"/>
            <w:vAlign w:val="bottom"/>
          </w:tcPr>
          <w:p>
            <w:pPr>
              <w:ind w:left="920"/>
              <w:spacing w:after="0"/>
              <w:rPr>
                <w:sz w:val="20"/>
                <w:szCs w:val="20"/>
                <w:color w:val="auto"/>
              </w:rPr>
            </w:pPr>
            <w:r>
              <w:rPr>
                <w:rFonts w:ascii="Arial" w:cs="Arial" w:eastAsia="Arial" w:hAnsi="Arial"/>
                <w:sz w:val="18"/>
                <w:szCs w:val="18"/>
                <w:color w:val="auto"/>
              </w:rPr>
              <w:t>Limit of Liability</w:t>
            </w:r>
          </w:p>
        </w:tc>
        <w:tc>
          <w:tcPr>
            <w:tcW w:w="1840" w:type="dxa"/>
            <w:vAlign w:val="bottom"/>
          </w:tcPr>
          <w:p>
            <w:pPr>
              <w:ind w:left="420"/>
              <w:spacing w:after="0"/>
              <w:rPr>
                <w:sz w:val="20"/>
                <w:szCs w:val="20"/>
                <w:color w:val="auto"/>
              </w:rPr>
            </w:pPr>
            <w:r>
              <w:rPr>
                <w:rFonts w:ascii="Arial" w:cs="Arial" w:eastAsia="Arial" w:hAnsi="Arial"/>
                <w:sz w:val="18"/>
                <w:szCs w:val="18"/>
                <w:color w:val="auto"/>
                <w:w w:val="92"/>
              </w:rPr>
              <w:t>Deductible Amount</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Insuring Agreement - COMPUTER SYSTEMS</w:t>
            </w:r>
          </w:p>
        </w:tc>
        <w:tc>
          <w:tcPr>
            <w:tcW w:w="25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43"/>
        </w:trPr>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80" w:type="dxa"/>
            <w:vAlign w:val="bottom"/>
          </w:tcPr>
          <w:p>
            <w:pPr>
              <w:ind w:left="360"/>
              <w:spacing w:after="0"/>
              <w:rPr>
                <w:sz w:val="20"/>
                <w:szCs w:val="20"/>
                <w:color w:val="auto"/>
              </w:rPr>
            </w:pPr>
            <w:r>
              <w:rPr>
                <w:rFonts w:ascii="Arial" w:cs="Arial" w:eastAsia="Arial" w:hAnsi="Arial"/>
                <w:sz w:val="18"/>
                <w:szCs w:val="18"/>
                <w:color w:val="auto"/>
              </w:rPr>
              <w:t>Computer Fraud Coverage</w:t>
            </w:r>
          </w:p>
        </w:tc>
        <w:tc>
          <w:tcPr>
            <w:tcW w:w="2580" w:type="dxa"/>
            <w:vAlign w:val="bottom"/>
          </w:tcPr>
          <w:p>
            <w:pPr>
              <w:ind w:left="900"/>
              <w:spacing w:after="0"/>
              <w:rPr>
                <w:sz w:val="20"/>
                <w:szCs w:val="20"/>
                <w:color w:val="auto"/>
              </w:rPr>
            </w:pPr>
            <w:r>
              <w:rPr>
                <w:rFonts w:ascii="Arial" w:cs="Arial" w:eastAsia="Arial" w:hAnsi="Arial"/>
                <w:sz w:val="21"/>
                <w:szCs w:val="21"/>
                <w:color w:val="auto"/>
              </w:rPr>
              <w:t>$ 5,000,000</w:t>
            </w:r>
          </w:p>
        </w:tc>
        <w:tc>
          <w:tcPr>
            <w:tcW w:w="1840" w:type="dxa"/>
            <w:vAlign w:val="bottom"/>
          </w:tcPr>
          <w:p>
            <w:pPr>
              <w:ind w:left="420"/>
              <w:spacing w:after="0"/>
              <w:rPr>
                <w:sz w:val="20"/>
                <w:szCs w:val="20"/>
                <w:color w:val="auto"/>
              </w:rPr>
            </w:pPr>
            <w:r>
              <w:rPr>
                <w:rFonts w:ascii="Arial" w:cs="Arial" w:eastAsia="Arial" w:hAnsi="Arial"/>
                <w:sz w:val="21"/>
                <w:szCs w:val="21"/>
                <w:color w:val="auto"/>
              </w:rPr>
              <w:t>$ 50,000</w:t>
            </w:r>
          </w:p>
        </w:tc>
      </w:tr>
      <w:tr>
        <w:trPr>
          <w:trHeight w:val="243"/>
        </w:trPr>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Fraudulent Instruction Coverage</w:t>
            </w:r>
          </w:p>
        </w:tc>
        <w:tc>
          <w:tcPr>
            <w:tcW w:w="2580" w:type="dxa"/>
            <w:vAlign w:val="bottom"/>
            <w:shd w:val="clear" w:color="auto" w:fill="CCEEFF"/>
          </w:tcPr>
          <w:p>
            <w:pPr>
              <w:ind w:left="900"/>
              <w:spacing w:after="0"/>
              <w:rPr>
                <w:sz w:val="20"/>
                <w:szCs w:val="20"/>
                <w:color w:val="auto"/>
              </w:rPr>
            </w:pPr>
            <w:r>
              <w:rPr>
                <w:rFonts w:ascii="Arial" w:cs="Arial" w:eastAsia="Arial" w:hAnsi="Arial"/>
                <w:sz w:val="21"/>
                <w:szCs w:val="21"/>
                <w:color w:val="auto"/>
              </w:rPr>
              <w:t>$ 5,000,000</w:t>
            </w:r>
          </w:p>
        </w:tc>
        <w:tc>
          <w:tcPr>
            <w:tcW w:w="1840" w:type="dxa"/>
            <w:vAlign w:val="bottom"/>
            <w:shd w:val="clear" w:color="auto" w:fill="CCEEFF"/>
          </w:tcPr>
          <w:p>
            <w:pPr>
              <w:ind w:left="420"/>
              <w:spacing w:after="0"/>
              <w:rPr>
                <w:sz w:val="20"/>
                <w:szCs w:val="20"/>
                <w:color w:val="auto"/>
              </w:rPr>
            </w:pPr>
            <w:r>
              <w:rPr>
                <w:rFonts w:ascii="Arial" w:cs="Arial" w:eastAsia="Arial" w:hAnsi="Arial"/>
                <w:sz w:val="21"/>
                <w:szCs w:val="21"/>
                <w:color w:val="auto"/>
              </w:rPr>
              <w:t>$ 50,000</w:t>
            </w:r>
          </w:p>
        </w:tc>
      </w:tr>
      <w:tr>
        <w:trPr>
          <w:trHeight w:val="243"/>
        </w:trPr>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80" w:type="dxa"/>
            <w:vAlign w:val="bottom"/>
          </w:tcPr>
          <w:p>
            <w:pPr>
              <w:ind w:left="360"/>
              <w:spacing w:after="0"/>
              <w:rPr>
                <w:sz w:val="20"/>
                <w:szCs w:val="20"/>
                <w:color w:val="auto"/>
              </w:rPr>
            </w:pPr>
            <w:r>
              <w:rPr>
                <w:rFonts w:ascii="Arial" w:cs="Arial" w:eastAsia="Arial" w:hAnsi="Arial"/>
                <w:sz w:val="18"/>
                <w:szCs w:val="18"/>
                <w:color w:val="auto"/>
              </w:rPr>
              <w:t>Remote Access PBX System Fraud Coverage</w:t>
            </w:r>
          </w:p>
        </w:tc>
        <w:tc>
          <w:tcPr>
            <w:tcW w:w="2580" w:type="dxa"/>
            <w:vAlign w:val="bottom"/>
          </w:tcPr>
          <w:p>
            <w:pPr>
              <w:ind w:left="900"/>
              <w:spacing w:after="0"/>
              <w:rPr>
                <w:sz w:val="20"/>
                <w:szCs w:val="20"/>
                <w:color w:val="auto"/>
              </w:rPr>
            </w:pPr>
            <w:r>
              <w:rPr>
                <w:rFonts w:ascii="Arial" w:cs="Arial" w:eastAsia="Arial" w:hAnsi="Arial"/>
                <w:sz w:val="21"/>
                <w:szCs w:val="21"/>
                <w:color w:val="auto"/>
              </w:rPr>
              <w:t>$ N/A</w:t>
            </w:r>
          </w:p>
        </w:tc>
        <w:tc>
          <w:tcPr>
            <w:tcW w:w="1840" w:type="dxa"/>
            <w:vAlign w:val="bottom"/>
          </w:tcPr>
          <w:p>
            <w:pPr>
              <w:ind w:left="420"/>
              <w:spacing w:after="0"/>
              <w:rPr>
                <w:sz w:val="20"/>
                <w:szCs w:val="20"/>
                <w:color w:val="auto"/>
              </w:rPr>
            </w:pPr>
            <w:r>
              <w:rPr>
                <w:rFonts w:ascii="Arial" w:cs="Arial" w:eastAsia="Arial" w:hAnsi="Arial"/>
                <w:sz w:val="21"/>
                <w:szCs w:val="21"/>
                <w:color w:val="auto"/>
              </w:rPr>
              <w:t>$ N/A</w:t>
            </w:r>
          </w:p>
        </w:tc>
      </w:tr>
      <w:tr>
        <w:trPr>
          <w:trHeight w:val="243"/>
        </w:trPr>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Restoration Expenses Coverage</w:t>
            </w:r>
          </w:p>
        </w:tc>
        <w:tc>
          <w:tcPr>
            <w:tcW w:w="2580" w:type="dxa"/>
            <w:vAlign w:val="bottom"/>
            <w:shd w:val="clear" w:color="auto" w:fill="CCEEFF"/>
          </w:tcPr>
          <w:p>
            <w:pPr>
              <w:ind w:left="900"/>
              <w:spacing w:after="0"/>
              <w:rPr>
                <w:sz w:val="20"/>
                <w:szCs w:val="20"/>
                <w:color w:val="auto"/>
              </w:rPr>
            </w:pPr>
            <w:r>
              <w:rPr>
                <w:rFonts w:ascii="Arial" w:cs="Arial" w:eastAsia="Arial" w:hAnsi="Arial"/>
                <w:sz w:val="21"/>
                <w:szCs w:val="21"/>
                <w:color w:val="auto"/>
              </w:rPr>
              <w:t>$ N/A</w:t>
            </w:r>
          </w:p>
        </w:tc>
        <w:tc>
          <w:tcPr>
            <w:tcW w:w="1840" w:type="dxa"/>
            <w:vAlign w:val="bottom"/>
            <w:shd w:val="clear" w:color="auto" w:fill="CCEEFF"/>
          </w:tcPr>
          <w:p>
            <w:pPr>
              <w:ind w:left="420"/>
              <w:spacing w:after="0"/>
              <w:rPr>
                <w:sz w:val="20"/>
                <w:szCs w:val="20"/>
                <w:color w:val="auto"/>
              </w:rPr>
            </w:pPr>
            <w:r>
              <w:rPr>
                <w:rFonts w:ascii="Arial" w:cs="Arial" w:eastAsia="Arial" w:hAnsi="Arial"/>
                <w:sz w:val="21"/>
                <w:szCs w:val="21"/>
                <w:color w:val="auto"/>
              </w:rPr>
              <w:t>$ N/A</w:t>
            </w:r>
          </w:p>
        </w:tc>
      </w:tr>
    </w:tbl>
    <w:p>
      <w:pPr>
        <w:spacing w:after="0" w:line="225"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following is added to </w:t>
      </w:r>
      <w:r>
        <w:rPr>
          <w:rFonts w:ascii="Arial" w:cs="Arial" w:eastAsia="Arial" w:hAnsi="Arial"/>
          <w:sz w:val="18"/>
          <w:szCs w:val="18"/>
          <w:b w:val="1"/>
          <w:bCs w:val="1"/>
          <w:color w:val="auto"/>
        </w:rPr>
        <w:t>INSURING AGREEMENTS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COMPUTER SYSTEMS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COMPUTER FRAUD COVERAGE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resulting directly from Computer Fraud.</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FRAUDULENT INSTRUCTION COVERAGE</w:t>
      </w:r>
    </w:p>
    <w:p>
      <w:pPr>
        <w:spacing w:after="0" w:line="23"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Loss resulting directly from the Insured having in good faith caused a transfer of funds as a result of a Fraudulent Instruction when the Insured, prior to causing the transfer of funds, used its reasonable best efforts to verify the identity of the person transmitting the instruction; provided that if the instruction is purported to be from a Customer, the Insured:</w:t>
      </w:r>
    </w:p>
    <w:p>
      <w:pPr>
        <w:spacing w:after="0" w:line="217" w:lineRule="exact"/>
        <w:rPr>
          <w:sz w:val="20"/>
          <w:szCs w:val="20"/>
          <w:color w:val="auto"/>
        </w:rPr>
      </w:pPr>
    </w:p>
    <w:p>
      <w:pPr>
        <w:ind w:left="1480" w:hanging="567"/>
        <w:spacing w:after="0"/>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performed a Callback Verification with respect to such instruction; and</w:t>
      </w:r>
    </w:p>
    <w:p>
      <w:pPr>
        <w:spacing w:after="0" w:line="252" w:lineRule="exact"/>
        <w:rPr>
          <w:rFonts w:ascii="Arial" w:cs="Arial" w:eastAsia="Arial" w:hAnsi="Arial"/>
          <w:sz w:val="18"/>
          <w:szCs w:val="18"/>
          <w:color w:val="auto"/>
        </w:rPr>
      </w:pPr>
    </w:p>
    <w:p>
      <w:pPr>
        <w:ind w:left="1480" w:hanging="567"/>
        <w:spacing w:after="0"/>
        <w:tabs>
          <w:tab w:leader="none" w:pos="14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followed an agreed upon Security Procedure set forth in a Funds Transfer Agreement applicable to the transaction and instruction.</w:t>
      </w:r>
    </w:p>
    <w:p>
      <w:pPr>
        <w:spacing w:after="0" w:line="237"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Such Fraudulent Instruction received and, if applicable, Callback Verification performed, must be either recorded, logged, or documented by the Insured.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REMOTE ACCESS PBX SYSTEM FRAUD COVERAGE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resulting directly from Remote Access PBX System Fraud.</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RESTORATION EXPENSES COVERAGE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Restoration Expenses incurred by the Insured and resulting from a Computer Violation by someone other than an Employee.</w:t>
      </w:r>
    </w:p>
    <w:p>
      <w:pPr>
        <w:spacing w:after="0" w:line="234"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following are added to </w:t>
      </w:r>
      <w:r>
        <w:rPr>
          <w:rFonts w:ascii="Arial" w:cs="Arial" w:eastAsia="Arial" w:hAnsi="Arial"/>
          <w:sz w:val="18"/>
          <w:szCs w:val="18"/>
          <w:b w:val="1"/>
          <w:bCs w:val="1"/>
          <w:color w:val="auto"/>
        </w:rPr>
        <w:t>CONDITIONS AND LIMITATIONS</w:t>
      </w:r>
      <w:r>
        <w:rPr>
          <w:rFonts w:ascii="Arial" w:cs="Arial" w:eastAsia="Arial" w:hAnsi="Arial"/>
          <w:sz w:val="18"/>
          <w:szCs w:val="18"/>
          <w:color w:val="auto"/>
        </w:rPr>
        <w:t>, Section 1. DEFINTIONS:</w:t>
      </w:r>
    </w:p>
    <w:p>
      <w:pPr>
        <w:spacing w:after="0" w:line="229" w:lineRule="exact"/>
        <w:rPr>
          <w:sz w:val="20"/>
          <w:szCs w:val="20"/>
          <w:color w:val="auto"/>
        </w:rPr>
      </w:pPr>
    </w:p>
    <w:p>
      <w:pPr>
        <w:ind w:left="920" w:right="420"/>
        <w:spacing w:after="0" w:line="277" w:lineRule="auto"/>
        <w:rPr>
          <w:sz w:val="20"/>
          <w:szCs w:val="20"/>
          <w:color w:val="auto"/>
        </w:rPr>
      </w:pPr>
      <w:r>
        <w:rPr>
          <w:rFonts w:ascii="Arial" w:cs="Arial" w:eastAsia="Arial" w:hAnsi="Arial"/>
          <w:sz w:val="18"/>
          <w:szCs w:val="18"/>
          <w:color w:val="auto"/>
        </w:rPr>
        <w:t>“Callback Verification” means a verbal conversation with the purported Customer, using a Pre-Determined Telephone Number, to verify the identity of the Customer and the authenticity of a funds transfer request.</w:t>
      </w:r>
    </w:p>
    <w:p>
      <w:pPr>
        <w:spacing w:after="0" w:line="170" w:lineRule="exact"/>
        <w:rPr>
          <w:sz w:val="20"/>
          <w:szCs w:val="20"/>
          <w:color w:val="auto"/>
        </w:rPr>
      </w:pPr>
    </w:p>
    <w:p>
      <w:pPr>
        <w:ind w:left="920" w:right="300"/>
        <w:spacing w:after="0" w:line="277" w:lineRule="auto"/>
        <w:rPr>
          <w:sz w:val="20"/>
          <w:szCs w:val="20"/>
          <w:color w:val="auto"/>
        </w:rPr>
      </w:pPr>
      <w:r>
        <w:rPr>
          <w:rFonts w:ascii="Arial" w:cs="Arial" w:eastAsia="Arial" w:hAnsi="Arial"/>
          <w:sz w:val="18"/>
          <w:szCs w:val="18"/>
          <w:color w:val="auto"/>
        </w:rPr>
        <w:t>“Computer Fraud” means an intentional, unauthorized and fraudulent entry of data or computer instructions directly into, or change of data or computer instructions within, a Computer System by a</w:t>
      </w:r>
    </w:p>
    <w:p>
      <w:pPr>
        <w:spacing w:after="0" w:line="103" w:lineRule="exact"/>
        <w:rPr>
          <w:sz w:val="20"/>
          <w:szCs w:val="20"/>
          <w:color w:val="auto"/>
        </w:rPr>
      </w:pPr>
    </w:p>
    <w:p>
      <w:pPr>
        <w:spacing w:after="0"/>
        <w:tabs>
          <w:tab w:leader="none" w:pos="105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2011 The Travelers Indemnity Company. All rights reserved.</w:t>
      </w:r>
      <w:r>
        <w:rPr>
          <w:sz w:val="20"/>
          <w:szCs w:val="20"/>
          <w:color w:val="auto"/>
        </w:rPr>
        <w:tab/>
      </w:r>
      <w:r>
        <w:rPr>
          <w:rFonts w:ascii="Arial" w:cs="Arial" w:eastAsia="Arial" w:hAnsi="Arial"/>
          <w:sz w:val="16"/>
          <w:szCs w:val="16"/>
          <w:color w:val="auto"/>
        </w:rPr>
        <w:t>Page 1 of 5</w:t>
      </w:r>
    </w:p>
    <w:p>
      <w:pPr>
        <w:sectPr>
          <w:pgSz w:w="11900" w:h="16838" w:orient="portrait"/>
          <w:cols w:equalWidth="0" w:num="1">
            <w:col w:w="11420"/>
          </w:cols>
          <w:pgMar w:left="240" w:top="274" w:right="239" w:bottom="1440" w:gutter="0" w:footer="0" w:header="0"/>
        </w:sectPr>
      </w:pPr>
    </w:p>
    <w:bookmarkStart w:id="26" w:name="page27"/>
    <w:bookmarkEnd w:id="26"/>
    <w:p>
      <w:pPr>
        <w:ind w:left="9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natural person or entity other than an Employee, including any such entry or change made via the internet or a Network, provided that such entry or change causes:</w:t>
      </w:r>
    </w:p>
    <w:p>
      <w:pPr>
        <w:spacing w:after="0" w:line="197" w:lineRule="exact"/>
        <w:rPr>
          <w:sz w:val="20"/>
          <w:szCs w:val="20"/>
          <w:color w:val="auto"/>
        </w:rPr>
      </w:pPr>
    </w:p>
    <w:p>
      <w:pPr>
        <w:ind w:left="1920" w:hanging="440"/>
        <w:spacing w:after="0"/>
        <w:tabs>
          <w:tab w:leader="none" w:pos="1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unauthorized or fictitious account to be debited or credited.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“Computer System” means:</w:t>
      </w:r>
    </w:p>
    <w:p>
      <w:pPr>
        <w:spacing w:after="0" w:line="252" w:lineRule="exact"/>
        <w:rPr>
          <w:sz w:val="20"/>
          <w:szCs w:val="20"/>
          <w:color w:val="auto"/>
        </w:rPr>
      </w:pPr>
    </w:p>
    <w:p>
      <w:pPr>
        <w:ind w:left="1920" w:hanging="440"/>
        <w:spacing w:after="0"/>
        <w:tabs>
          <w:tab w:leader="none" w:pos="19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computer; and</w:t>
      </w:r>
    </w:p>
    <w:p>
      <w:pPr>
        <w:spacing w:after="0" w:line="130" w:lineRule="exact"/>
        <w:rPr>
          <w:rFonts w:ascii="Arial" w:cs="Arial" w:eastAsia="Arial" w:hAnsi="Arial"/>
          <w:sz w:val="18"/>
          <w:szCs w:val="18"/>
          <w:color w:val="auto"/>
        </w:rPr>
      </w:pPr>
    </w:p>
    <w:p>
      <w:pPr>
        <w:ind w:left="1920" w:right="20" w:hanging="440"/>
        <w:spacing w:after="0" w:line="277" w:lineRule="auto"/>
        <w:tabs>
          <w:tab w:leader="none" w:pos="19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input, output, processing, storage or communication device, or any related network, operating system or application software, that is connected to, or used in connection with, such computer,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which is rented by, owned by, leased by, licensed to, or under the direct operational control of, the Insured.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“Computer Violation” means:</w:t>
      </w:r>
    </w:p>
    <w:p>
      <w:pPr>
        <w:spacing w:after="0" w:line="252" w:lineRule="exact"/>
        <w:rPr>
          <w:sz w:val="20"/>
          <w:szCs w:val="20"/>
          <w:color w:val="auto"/>
        </w:rPr>
      </w:pPr>
    </w:p>
    <w:p>
      <w:pPr>
        <w:ind w:left="1920" w:hanging="440"/>
        <w:spacing w:after="0"/>
        <w:tabs>
          <w:tab w:leader="none" w:pos="1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introduction of a Computer Virus into a Computer System; or</w:t>
      </w:r>
    </w:p>
    <w:p>
      <w:pPr>
        <w:spacing w:after="0" w:line="130" w:lineRule="exact"/>
        <w:rPr>
          <w:rFonts w:ascii="Arial" w:cs="Arial" w:eastAsia="Arial" w:hAnsi="Arial"/>
          <w:sz w:val="18"/>
          <w:szCs w:val="18"/>
          <w:color w:val="auto"/>
        </w:rPr>
      </w:pPr>
    </w:p>
    <w:p>
      <w:pPr>
        <w:ind w:left="1920" w:hanging="440"/>
        <w:spacing w:after="0" w:line="277" w:lineRule="auto"/>
        <w:tabs>
          <w:tab w:leader="none" w:pos="1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damage to, or destruction of, computer programs, software or other electronic data stored within a Computer System by a natural person, who has:</w:t>
      </w:r>
    </w:p>
    <w:p>
      <w:pPr>
        <w:spacing w:after="0" w:line="75" w:lineRule="exact"/>
        <w:rPr>
          <w:rFonts w:ascii="Arial" w:cs="Arial" w:eastAsia="Arial" w:hAnsi="Arial"/>
          <w:sz w:val="18"/>
          <w:szCs w:val="18"/>
          <w:color w:val="auto"/>
        </w:rPr>
      </w:pPr>
    </w:p>
    <w:p>
      <w:pPr>
        <w:ind w:left="2380" w:hanging="441"/>
        <w:spacing w:after="0"/>
        <w:tabs>
          <w:tab w:leader="none" w:pos="23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gained unauthorized access to such Computer System; or</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authorized access to such Computer System but uses such access to cause such damage or destruction.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“Computer Virus” means any malicious code which could destroy, alter, contaminate, or degrade the integrity, quality, or performance of:</w:t>
      </w:r>
    </w:p>
    <w:p>
      <w:pPr>
        <w:spacing w:after="0" w:line="264" w:lineRule="exact"/>
        <w:rPr>
          <w:sz w:val="20"/>
          <w:szCs w:val="20"/>
          <w:color w:val="auto"/>
        </w:rPr>
      </w:pPr>
    </w:p>
    <w:p>
      <w:pPr>
        <w:ind w:left="1920" w:hanging="440"/>
        <w:spacing w:after="0"/>
        <w:tabs>
          <w:tab w:leader="none" w:pos="1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electronic data used, or stored, in any Computer System or network;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computer network, any computer application software, or a computer operating system or related network.</w:t>
      </w:r>
    </w:p>
    <w:p>
      <w:pPr>
        <w:spacing w:after="0" w:line="225"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“Customer” means, only with respect to the Fraudulent Instructions Coverage of the Computer Systems Insuring Agreement, an entity or natural person which has a Funds Transfer Agreement with the Insured.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“Financial Institution” means:</w:t>
      </w:r>
    </w:p>
    <w:p>
      <w:pPr>
        <w:spacing w:after="0" w:line="252" w:lineRule="exact"/>
        <w:rPr>
          <w:sz w:val="20"/>
          <w:szCs w:val="20"/>
          <w:color w:val="auto"/>
        </w:rPr>
      </w:pPr>
    </w:p>
    <w:p>
      <w:pPr>
        <w:ind w:left="1920" w:hanging="440"/>
        <w:spacing w:after="0"/>
        <w:tabs>
          <w:tab w:leader="none" w:pos="1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bank, trust company, savings bank, credit union, savings and loan association, or similar thrift institution;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stock brokerage firm mutual fund, liquid assets fund or similar investment institution,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provided that Financial Institution does not include any such entity, institution or organization that is an Insured.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“Fraudulent Instruction” means an intentional, fraudulent and unauthorized instruction directed to the Insured, which is:</w:t>
      </w:r>
    </w:p>
    <w:p>
      <w:pPr>
        <w:spacing w:after="0" w:line="252" w:lineRule="exact"/>
        <w:rPr>
          <w:sz w:val="20"/>
          <w:szCs w:val="20"/>
          <w:color w:val="auto"/>
        </w:rPr>
      </w:pPr>
    </w:p>
    <w:p>
      <w:pPr>
        <w:ind w:left="1920" w:hanging="440"/>
        <w:spacing w:after="0"/>
        <w:tabs>
          <w:tab w:leader="none" w:pos="1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transmitted via telefacsimile, and:</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purports and reasonably appears to be from a Customer, a Financial Institution, or another office of the Insured;</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82"/>
        </w:numPr>
        <w:rPr>
          <w:rFonts w:ascii="Arial" w:cs="Arial" w:eastAsia="Arial" w:hAnsi="Arial"/>
          <w:sz w:val="17"/>
          <w:szCs w:val="17"/>
          <w:color w:val="auto"/>
        </w:rPr>
      </w:pPr>
      <w:r>
        <w:rPr>
          <w:rFonts w:ascii="Arial" w:cs="Arial" w:eastAsia="Arial" w:hAnsi="Arial"/>
          <w:sz w:val="17"/>
          <w:szCs w:val="17"/>
          <w:color w:val="auto"/>
        </w:rPr>
        <w:t>was in fact transmitted by someone other than a Customer, a Financial Institution, or another office of the Insured; and</w:t>
      </w:r>
    </w:p>
    <w:p>
      <w:pPr>
        <w:spacing w:after="0" w:line="142" w:lineRule="exact"/>
        <w:rPr>
          <w:rFonts w:ascii="Arial" w:cs="Arial" w:eastAsia="Arial" w:hAnsi="Arial"/>
          <w:sz w:val="17"/>
          <w:szCs w:val="17"/>
          <w:color w:val="auto"/>
        </w:rPr>
      </w:pPr>
    </w:p>
    <w:p>
      <w:pPr>
        <w:ind w:left="2380" w:hanging="441"/>
        <w:spacing w:after="0" w:line="277" w:lineRule="auto"/>
        <w:tabs>
          <w:tab w:leader="none" w:pos="23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purports and reasonably appears to contain the handwritten signature of a person authorized to initiate such transfer that proves to have been used by an unauthorized person;</w:t>
      </w:r>
    </w:p>
    <w:p>
      <w:pPr>
        <w:spacing w:after="0" w:line="103" w:lineRule="exact"/>
        <w:rPr>
          <w:sz w:val="20"/>
          <w:szCs w:val="20"/>
          <w:color w:val="auto"/>
        </w:rPr>
      </w:pPr>
    </w:p>
    <w:p>
      <w:pPr>
        <w:spacing w:after="0"/>
        <w:tabs>
          <w:tab w:leader="none" w:pos="6740" w:val="left"/>
          <w:tab w:leader="none" w:pos="7000" w:val="left"/>
        </w:tabs>
        <w:rPr>
          <w:sz w:val="20"/>
          <w:szCs w:val="20"/>
          <w:color w:val="auto"/>
        </w:rPr>
      </w:pPr>
      <w:r>
        <w:rPr>
          <w:rFonts w:ascii="Arial" w:cs="Arial" w:eastAsia="Arial" w:hAnsi="Arial"/>
          <w:sz w:val="18"/>
          <w:szCs w:val="18"/>
          <w:color w:val="auto"/>
        </w:rPr>
        <w:t>Page 2 of 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2014 The Travelers Indemnity Company. All rights reserved.</w:t>
      </w:r>
    </w:p>
    <w:p>
      <w:pPr>
        <w:sectPr>
          <w:pgSz w:w="11900" w:h="16838" w:orient="portrait"/>
          <w:cols w:equalWidth="0" w:num="1">
            <w:col w:w="11420"/>
          </w:cols>
          <w:pgMar w:left="240" w:top="274" w:right="239" w:bottom="1440" w:gutter="0" w:footer="0" w:header="0"/>
        </w:sectPr>
      </w:pPr>
    </w:p>
    <w:bookmarkStart w:id="27" w:name="page28"/>
    <w:bookmarkEnd w:id="27"/>
    <w:p>
      <w:pPr>
        <w:ind w:left="1920" w:hanging="440"/>
        <w:spacing w:after="0"/>
        <w:tabs>
          <w:tab w:leader="none" w:pos="1920"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transmitted verbally, via telephone, and purports to be from:</w:t>
      </w:r>
    </w:p>
    <w:p>
      <w:pPr>
        <w:spacing w:after="0" w:line="252" w:lineRule="exact"/>
        <w:rPr>
          <w:rFonts w:ascii="Arial" w:cs="Arial" w:eastAsia="Arial" w:hAnsi="Arial"/>
          <w:sz w:val="18"/>
          <w:szCs w:val="18"/>
          <w:color w:val="auto"/>
        </w:rPr>
      </w:pPr>
    </w:p>
    <w:p>
      <w:pPr>
        <w:ind w:left="2380" w:right="20" w:hanging="441"/>
        <w:spacing w:after="0" w:line="277" w:lineRule="auto"/>
        <w:tabs>
          <w:tab w:leader="none" w:pos="23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 officer, director, partner or employee of a Customer, who is authorized by the Customer to instruct the Insured to make such a transfer;</w:t>
      </w:r>
    </w:p>
    <w:p>
      <w:pPr>
        <w:spacing w:after="0" w:line="75" w:lineRule="exact"/>
        <w:rPr>
          <w:rFonts w:ascii="Arial" w:cs="Arial" w:eastAsia="Arial" w:hAnsi="Arial"/>
          <w:sz w:val="18"/>
          <w:szCs w:val="18"/>
          <w:color w:val="auto"/>
        </w:rPr>
      </w:pPr>
    </w:p>
    <w:p>
      <w:pPr>
        <w:ind w:left="2380" w:hanging="441"/>
        <w:spacing w:after="0"/>
        <w:tabs>
          <w:tab w:leader="none" w:pos="23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Customer who is a natural person; or</w:t>
      </w:r>
    </w:p>
    <w:p>
      <w:pPr>
        <w:spacing w:after="0" w:line="130" w:lineRule="exact"/>
        <w:rPr>
          <w:rFonts w:ascii="Arial" w:cs="Arial" w:eastAsia="Arial" w:hAnsi="Arial"/>
          <w:sz w:val="18"/>
          <w:szCs w:val="18"/>
          <w:color w:val="auto"/>
        </w:rPr>
      </w:pPr>
    </w:p>
    <w:p>
      <w:pPr>
        <w:jc w:val="both"/>
        <w:ind w:left="2380" w:hanging="441"/>
        <w:spacing w:after="0" w:line="264" w:lineRule="auto"/>
        <w:tabs>
          <w:tab w:leader="none" w:pos="23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 Employee in another office of the Insured, who was authorized by the Insured to instruct other Employees to transfer funds on deposit in a Customer’s account; and was received by an Employee specifically designated to receive and act upon such instructions,</w:t>
      </w:r>
    </w:p>
    <w:p>
      <w:pPr>
        <w:spacing w:after="0" w:line="7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but was in fact transmitted by someone other than a person described in item (2) of this definition; or</w:t>
      </w:r>
    </w:p>
    <w:p>
      <w:pPr>
        <w:spacing w:after="0" w:line="252" w:lineRule="exact"/>
        <w:rPr>
          <w:sz w:val="20"/>
          <w:szCs w:val="20"/>
          <w:color w:val="auto"/>
        </w:rPr>
      </w:pPr>
    </w:p>
    <w:p>
      <w:pPr>
        <w:ind w:left="1920" w:hanging="440"/>
        <w:spacing w:after="0" w:line="277" w:lineRule="auto"/>
        <w:tabs>
          <w:tab w:leader="none" w:pos="19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transmitted via electronic mail and purports and reasonably appears to be from a Customer of the Insured, but was in fact transmitted by someone other than such Customer.</w:t>
      </w:r>
    </w:p>
    <w:p>
      <w:pPr>
        <w:spacing w:after="0" w:line="170"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Fraudulent Instruction does not include instructions purportedly from a Customer unless the Funds Transfer Agreement authorizes the Insured to rely on the specific transmittal method actually used to make the instruction.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“Funds Transfer Agreement” means an original written agreement, signed by the Customer, that:</w:t>
      </w:r>
    </w:p>
    <w:p>
      <w:pPr>
        <w:spacing w:after="0" w:line="252" w:lineRule="exact"/>
        <w:rPr>
          <w:sz w:val="20"/>
          <w:szCs w:val="20"/>
          <w:color w:val="auto"/>
        </w:rPr>
      </w:pPr>
    </w:p>
    <w:p>
      <w:pPr>
        <w:ind w:left="1920" w:hanging="440"/>
        <w:spacing w:after="0"/>
        <w:tabs>
          <w:tab w:leader="none" w:pos="19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authorizes the Insured to rely on voice, telefacsimile, or electronic mail instructions to make funds transfers;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provides the Insured with the names of persons authorized to initiate funds transfers;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establishes a specific Security Procedure that the Insured is obligated to follow to verify the authenticity of a funds transfer request.</w:t>
      </w:r>
    </w:p>
    <w:p>
      <w:pPr>
        <w:spacing w:after="0" w:line="248" w:lineRule="exact"/>
        <w:rPr>
          <w:sz w:val="20"/>
          <w:szCs w:val="20"/>
          <w:color w:val="auto"/>
        </w:rPr>
      </w:pPr>
    </w:p>
    <w:p>
      <w:pPr>
        <w:jc w:val="both"/>
        <w:ind w:left="920"/>
        <w:spacing w:after="0" w:line="276" w:lineRule="auto"/>
        <w:rPr>
          <w:sz w:val="20"/>
          <w:szCs w:val="20"/>
          <w:color w:val="auto"/>
        </w:rPr>
      </w:pPr>
      <w:r>
        <w:rPr>
          <w:rFonts w:ascii="Arial" w:cs="Arial" w:eastAsia="Arial" w:hAnsi="Arial"/>
          <w:sz w:val="17"/>
          <w:szCs w:val="17"/>
          <w:color w:val="auto"/>
        </w:rPr>
        <w:t>“Network” means any and all services provided by or through the facilities of any electronic or computer communication system, including Fedwire, Clearing House Interbank Payment System (CHIPS), Society for Worldwide Interbank Financial Telecommunication (SWIFT), National Automated Clearing House Association (NACHA) and similar interbank payment or settlement systems, including any shared networks, internet access facilities, or other similar facilities for such systems in which the Insured participates, allowing the input, output, examination or transfer of data or programs from one computer to a Computer System.</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“Pre-Determined Telephone Number” means a telephone number that:</w:t>
      </w:r>
    </w:p>
    <w:p>
      <w:pPr>
        <w:spacing w:after="0" w:line="252" w:lineRule="exact"/>
        <w:rPr>
          <w:sz w:val="20"/>
          <w:szCs w:val="20"/>
          <w:color w:val="auto"/>
        </w:rPr>
      </w:pPr>
    </w:p>
    <w:p>
      <w:pPr>
        <w:ind w:left="1920" w:hanging="440"/>
        <w:spacing w:after="0"/>
        <w:tabs>
          <w:tab w:leader="none" w:pos="1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was provided by the Customer when the Customer opened the account with the Insured;</w:t>
      </w:r>
    </w:p>
    <w:p>
      <w:pPr>
        <w:spacing w:after="0" w:line="130" w:lineRule="exact"/>
        <w:rPr>
          <w:rFonts w:ascii="Arial" w:cs="Arial" w:eastAsia="Arial" w:hAnsi="Arial"/>
          <w:sz w:val="18"/>
          <w:szCs w:val="18"/>
          <w:color w:val="auto"/>
        </w:rPr>
      </w:pPr>
    </w:p>
    <w:p>
      <w:pPr>
        <w:ind w:left="1920" w:right="20" w:hanging="440"/>
        <w:spacing w:after="0" w:line="277" w:lineRule="auto"/>
        <w:tabs>
          <w:tab w:leader="none" w:pos="1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was provided in person by the Customer after the Customer opened the account with the Insured, while the Customer was physically present on the Insured’s premises and presenting a government-issued photo identification;</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was provided in a Funds Transfer Agreement;</w:t>
      </w:r>
    </w:p>
    <w:p>
      <w:pPr>
        <w:spacing w:after="0" w:line="130" w:lineRule="exact"/>
        <w:rPr>
          <w:rFonts w:ascii="Arial" w:cs="Arial" w:eastAsia="Arial" w:hAnsi="Arial"/>
          <w:sz w:val="18"/>
          <w:szCs w:val="18"/>
          <w:color w:val="auto"/>
        </w:rPr>
      </w:pPr>
    </w:p>
    <w:p>
      <w:pPr>
        <w:ind w:left="1920" w:hanging="440"/>
        <w:spacing w:after="0" w:line="308" w:lineRule="auto"/>
        <w:tabs>
          <w:tab w:leader="none" w:pos="19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replaced a telephone number previously provided for the Customer’s account, provided that confirmation of the legitimacy of the change was achieved through verbal contact with the Customer at the previous Pre-Determined Telephone Number; or</w:t>
      </w:r>
    </w:p>
    <w:p>
      <w:pPr>
        <w:spacing w:after="0" w:line="51" w:lineRule="exact"/>
        <w:rPr>
          <w:rFonts w:ascii="Arial" w:cs="Arial" w:eastAsia="Arial" w:hAnsi="Arial"/>
          <w:sz w:val="17"/>
          <w:szCs w:val="17"/>
          <w:color w:val="auto"/>
        </w:rPr>
      </w:pPr>
    </w:p>
    <w:p>
      <w:pPr>
        <w:ind w:left="1920" w:hanging="440"/>
        <w:spacing w:after="0" w:line="277" w:lineRule="auto"/>
        <w:tabs>
          <w:tab w:leader="none" w:pos="19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replaced a telephone number previously provided for the Customer’s account and was received by the Insured at least 30 days prior to the receipt of the Fraudulent Instruction.</w:t>
      </w:r>
    </w:p>
    <w:p>
      <w:pPr>
        <w:spacing w:after="0" w:line="170" w:lineRule="exact"/>
        <w:rPr>
          <w:sz w:val="20"/>
          <w:szCs w:val="20"/>
          <w:color w:val="auto"/>
        </w:rPr>
      </w:pPr>
    </w:p>
    <w:p>
      <w:pPr>
        <w:jc w:val="both"/>
        <w:ind w:left="920"/>
        <w:spacing w:after="0" w:line="302" w:lineRule="auto"/>
        <w:rPr>
          <w:sz w:val="20"/>
          <w:szCs w:val="20"/>
          <w:color w:val="auto"/>
        </w:rPr>
      </w:pPr>
      <w:r>
        <w:rPr>
          <w:rFonts w:ascii="Arial" w:cs="Arial" w:eastAsia="Arial" w:hAnsi="Arial"/>
          <w:sz w:val="16"/>
          <w:szCs w:val="16"/>
          <w:color w:val="auto"/>
        </w:rPr>
        <w:t>“Remote Access PBX System” means a computerized private branch exchange voice telephone switching system operated by and located on the premises of the Insured that provides internal telephone communications between stations located on a given network, as well as between the Insured and other public or private telephone networks, excluding however, those systems for which the Insured does not retain sole control over system administration (performing security functions or activating systems features controlled by hardware or software options).</w:t>
      </w:r>
    </w:p>
    <w:p>
      <w:pPr>
        <w:spacing w:after="0" w:line="87" w:lineRule="exact"/>
        <w:rPr>
          <w:sz w:val="20"/>
          <w:szCs w:val="20"/>
          <w:color w:val="auto"/>
        </w:rPr>
      </w:pPr>
    </w:p>
    <w:p>
      <w:pPr>
        <w:spacing w:after="0"/>
        <w:tabs>
          <w:tab w:leader="none" w:pos="1020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2011 The Travelers Indemnity Company. All rights reserved.</w:t>
      </w:r>
      <w:r>
        <w:rPr>
          <w:sz w:val="20"/>
          <w:szCs w:val="20"/>
          <w:color w:val="auto"/>
        </w:rPr>
        <w:tab/>
      </w:r>
      <w:r>
        <w:rPr>
          <w:rFonts w:ascii="Arial" w:cs="Arial" w:eastAsia="Arial" w:hAnsi="Arial"/>
          <w:sz w:val="16"/>
          <w:szCs w:val="16"/>
          <w:color w:val="auto"/>
        </w:rPr>
        <w:t>Page 3 of 5</w:t>
      </w:r>
    </w:p>
    <w:p>
      <w:pPr>
        <w:sectPr>
          <w:pgSz w:w="11900" w:h="16838" w:orient="portrait"/>
          <w:cols w:equalWidth="0" w:num="1">
            <w:col w:w="11420"/>
          </w:cols>
          <w:pgMar w:left="240" w:top="274" w:right="239" w:bottom="1440" w:gutter="0" w:footer="0" w:header="0"/>
        </w:sectPr>
      </w:pPr>
    </w:p>
    <w:bookmarkStart w:id="28" w:name="page29"/>
    <w:bookmarkEnd w:id="28"/>
    <w:p>
      <w:pPr>
        <w:ind w:left="920"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Remote Access PBX System Fraud means the intentional, unauthorized and fraudulent gaining of access to outgoing long distance telephone services from a location other than the Insured’s premises by either the fraudulent manipulation or unauthorized use of passwords or access codes designed to identify and authenticate users of or access to the Insured’s Remote Access PBX System by a natural person other than an identifiable Employee, resulting in charges for long distance toll calls which the Insured is legally obligated to pay a long distance carrier. Provided however, such charges will not be covered hereunder because of the Insured’s failure to:</w:t>
      </w:r>
    </w:p>
    <w:p>
      <w:pPr>
        <w:spacing w:after="0" w:line="200" w:lineRule="exact"/>
        <w:rPr>
          <w:sz w:val="20"/>
          <w:szCs w:val="20"/>
          <w:color w:val="auto"/>
        </w:rPr>
      </w:pPr>
    </w:p>
    <w:p>
      <w:pPr>
        <w:ind w:left="1920" w:right="120" w:hanging="440"/>
        <w:spacing w:after="0" w:line="277" w:lineRule="auto"/>
        <w:tabs>
          <w:tab w:leader="none" w:pos="19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incorporate a system password or access code feature of at least 8 characters with such passwords begin changed at least monthly; and</w:t>
      </w:r>
    </w:p>
    <w:p>
      <w:pPr>
        <w:spacing w:after="0" w:line="75" w:lineRule="exact"/>
        <w:rPr>
          <w:rFonts w:ascii="Arial" w:cs="Arial" w:eastAsia="Arial" w:hAnsi="Arial"/>
          <w:sz w:val="18"/>
          <w:szCs w:val="18"/>
          <w:color w:val="auto"/>
        </w:rPr>
      </w:pPr>
    </w:p>
    <w:p>
      <w:pPr>
        <w:ind w:left="1920" w:right="340" w:hanging="440"/>
        <w:spacing w:after="0" w:line="277" w:lineRule="auto"/>
        <w:tabs>
          <w:tab w:leader="none" w:pos="19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activate and continue the operation of a call-disconnect feature that automatically terminates a caller’s password or access code after 3 unsuccessful sign-on attempts.</w:t>
      </w:r>
    </w:p>
    <w:p>
      <w:pPr>
        <w:spacing w:after="0" w:line="170" w:lineRule="exact"/>
        <w:rPr>
          <w:sz w:val="20"/>
          <w:szCs w:val="20"/>
          <w:color w:val="auto"/>
        </w:rPr>
      </w:pPr>
    </w:p>
    <w:p>
      <w:pPr>
        <w:ind w:left="920" w:right="180"/>
        <w:spacing w:after="0" w:line="255" w:lineRule="auto"/>
        <w:rPr>
          <w:sz w:val="20"/>
          <w:szCs w:val="20"/>
          <w:color w:val="auto"/>
        </w:rPr>
      </w:pPr>
      <w:r>
        <w:rPr>
          <w:rFonts w:ascii="Arial" w:cs="Arial" w:eastAsia="Arial" w:hAnsi="Arial"/>
          <w:sz w:val="18"/>
          <w:szCs w:val="18"/>
          <w:color w:val="auto"/>
        </w:rPr>
        <w:t>“Restoration Expenses” means reasonable costs incurred by the Insured, with the Underwriter’s prior written consent, to restore, replace or reproduce damaged or destroyed computer programs, software or other electronic data stored within a Computer System, or which the Insured owns, holds or is responsible for, to the condition that existed immediately preceding a Computer Violation; provided that if it is determined by the Insured that such computer programs, software or other electronic data cannot reasonably be restored, replaced or reproduced, then Restoration Expenses means only the reasonable costs incurred by the Insured, with the Underwriter’s prior written consent, to reach such determination.</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Restoration Expenses do not include:</w:t>
      </w:r>
    </w:p>
    <w:p>
      <w:pPr>
        <w:spacing w:after="0" w:line="252" w:lineRule="exact"/>
        <w:rPr>
          <w:sz w:val="20"/>
          <w:szCs w:val="20"/>
          <w:color w:val="auto"/>
        </w:rPr>
      </w:pPr>
    </w:p>
    <w:p>
      <w:pPr>
        <w:ind w:left="1920" w:right="220" w:hanging="440"/>
        <w:spacing w:after="0" w:line="277" w:lineRule="auto"/>
        <w:tabs>
          <w:tab w:leader="none" w:pos="1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expenses incurred as a result of the reconstruction of computer programs, software or other electronic data which the Insured did not have a license to use;</w:t>
      </w:r>
    </w:p>
    <w:p>
      <w:pPr>
        <w:spacing w:after="0" w:line="75" w:lineRule="exact"/>
        <w:rPr>
          <w:rFonts w:ascii="Arial" w:cs="Arial" w:eastAsia="Arial" w:hAnsi="Arial"/>
          <w:sz w:val="18"/>
          <w:szCs w:val="18"/>
          <w:color w:val="auto"/>
        </w:rPr>
      </w:pPr>
    </w:p>
    <w:p>
      <w:pPr>
        <w:ind w:left="1920" w:right="180" w:hanging="440"/>
        <w:spacing w:after="0" w:line="264" w:lineRule="auto"/>
        <w:tabs>
          <w:tab w:leader="none" w:pos="1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expenses incurred to restore, replace or reproduce damaged or destroyed computer programs, software or other electronic data if such damage or destruction was caused by computer programs, software or other electronic data which the Insured did not have a license to use;</w:t>
      </w:r>
    </w:p>
    <w:p>
      <w:pPr>
        <w:spacing w:after="0" w:line="86" w:lineRule="exact"/>
        <w:rPr>
          <w:rFonts w:ascii="Arial" w:cs="Arial" w:eastAsia="Arial" w:hAnsi="Arial"/>
          <w:sz w:val="18"/>
          <w:szCs w:val="18"/>
          <w:color w:val="auto"/>
        </w:rPr>
      </w:pPr>
    </w:p>
    <w:p>
      <w:pPr>
        <w:ind w:left="1920" w:right="400" w:hanging="440"/>
        <w:spacing w:after="0" w:line="277" w:lineRule="auto"/>
        <w:tabs>
          <w:tab w:leader="none" w:pos="1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expenses incurred to design, update, improve or perfect the operation of performance of computer programs, software or other electronic data; or</w:t>
      </w:r>
    </w:p>
    <w:p>
      <w:pPr>
        <w:spacing w:after="0" w:line="75" w:lineRule="exact"/>
        <w:rPr>
          <w:rFonts w:ascii="Arial" w:cs="Arial" w:eastAsia="Arial" w:hAnsi="Arial"/>
          <w:sz w:val="18"/>
          <w:szCs w:val="18"/>
          <w:color w:val="auto"/>
        </w:rPr>
      </w:pPr>
    </w:p>
    <w:p>
      <w:pPr>
        <w:ind w:left="1920" w:right="480" w:hanging="440"/>
        <w:spacing w:after="0" w:line="277" w:lineRule="auto"/>
        <w:tabs>
          <w:tab w:leader="none" w:pos="1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expenses incurred to redo the work product, research or analysis that was the basis of, or resulted in, any computer programs, software or other electronic data stored.</w:t>
      </w:r>
    </w:p>
    <w:p>
      <w:pPr>
        <w:spacing w:after="0" w:line="170" w:lineRule="exact"/>
        <w:rPr>
          <w:sz w:val="20"/>
          <w:szCs w:val="20"/>
          <w:color w:val="auto"/>
        </w:rPr>
      </w:pPr>
    </w:p>
    <w:p>
      <w:pPr>
        <w:ind w:left="920" w:right="420"/>
        <w:spacing w:after="0" w:line="342" w:lineRule="auto"/>
        <w:rPr>
          <w:sz w:val="20"/>
          <w:szCs w:val="20"/>
          <w:color w:val="auto"/>
        </w:rPr>
      </w:pPr>
      <w:r>
        <w:rPr>
          <w:rFonts w:ascii="Arial" w:cs="Arial" w:eastAsia="Arial" w:hAnsi="Arial"/>
          <w:sz w:val="16"/>
          <w:szCs w:val="16"/>
          <w:color w:val="auto"/>
        </w:rPr>
        <w:t>“Security Procedure” means an authentication process, other than voice recognition, that requires the use of algorithms or other codes, identifying words or numbers, encryption, or similar security devices or procedures. The following are not considered a Security Procedure:</w:t>
      </w:r>
    </w:p>
    <w:p>
      <w:pPr>
        <w:spacing w:after="0" w:line="151" w:lineRule="exact"/>
        <w:rPr>
          <w:sz w:val="20"/>
          <w:szCs w:val="20"/>
          <w:color w:val="auto"/>
        </w:rPr>
      </w:pPr>
    </w:p>
    <w:p>
      <w:pPr>
        <w:ind w:left="1920" w:hanging="440"/>
        <w:spacing w:after="0"/>
        <w:tabs>
          <w:tab w:leader="none" w:pos="19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general statement that the Insured may establish security procedures;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statement that the Insured may perform a callback or other security procedure;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 statement that the Insured will only accept requests from persons named on the account.</w:t>
      </w:r>
    </w:p>
    <w:p>
      <w:pPr>
        <w:spacing w:after="0" w:line="248"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following are added to </w:t>
      </w:r>
      <w:r>
        <w:rPr>
          <w:rFonts w:ascii="Arial" w:cs="Arial" w:eastAsia="Arial" w:hAnsi="Arial"/>
          <w:sz w:val="18"/>
          <w:szCs w:val="18"/>
          <w:b w:val="1"/>
          <w:bCs w:val="1"/>
          <w:color w:val="auto"/>
        </w:rPr>
        <w:t>CONDITIONS AND LIMITATIONS</w:t>
      </w:r>
      <w:r>
        <w:rPr>
          <w:rFonts w:ascii="Arial" w:cs="Arial" w:eastAsia="Arial" w:hAnsi="Arial"/>
          <w:sz w:val="18"/>
          <w:szCs w:val="18"/>
          <w:color w:val="auto"/>
        </w:rPr>
        <w:t>, SECTION 2. EXCLUSIONS:</w:t>
      </w:r>
    </w:p>
    <w:p>
      <w:pPr>
        <w:spacing w:after="0" w:line="229"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loss, costs or expenses the Insured agrees to incur, or incurs on behalf of another person or entity, when the Insured is not legally obligated to incur such loss, costs or expenses under the Uniform Commercial Code or any other common, case or tort law, statute, rule or code anywhere in the world, including any rule or code of any clearing or similar organization; except when covered under the Fraudulent Instruction Coverage of the Computer Systems Insuring Agreement;</w:t>
      </w:r>
    </w:p>
    <w:p>
      <w:pPr>
        <w:spacing w:after="0" w:line="186" w:lineRule="exact"/>
        <w:rPr>
          <w:rFonts w:ascii="Arial" w:cs="Arial" w:eastAsia="Arial" w:hAnsi="Arial"/>
          <w:sz w:val="18"/>
          <w:szCs w:val="18"/>
          <w:color w:val="auto"/>
        </w:rPr>
      </w:pPr>
    </w:p>
    <w:p>
      <w:pPr>
        <w:ind w:left="460"/>
        <w:spacing w:after="0" w:line="257" w:lineRule="auto"/>
        <w:rPr>
          <w:rFonts w:ascii="Arial" w:cs="Arial" w:eastAsia="Arial" w:hAnsi="Arial"/>
          <w:sz w:val="18"/>
          <w:szCs w:val="18"/>
          <w:color w:val="auto"/>
        </w:rPr>
      </w:pPr>
      <w:r>
        <w:rPr>
          <w:rFonts w:ascii="Arial" w:cs="Arial" w:eastAsia="Arial" w:hAnsi="Arial"/>
          <w:sz w:val="18"/>
          <w:szCs w:val="18"/>
          <w:color w:val="auto"/>
        </w:rPr>
        <w:t>loss resulting directly or indirectly from entries or changes made by an individual authorized to have access to a Computer System, who acts in good faith on instructions or advices received by telegraph, teletype, human voice over a telephone or by any other means, unless such instructions or advices are given to that individual by a software contractor (or by a partner, officer or employee thereof) authorized by the Insured to design, develop, prepare, supply, service, write or implement programs for the Insured’s Computer System; except when covered under the Fraudulent Instruction Coverage of the Computer Systems Insuring Agreement;</w:t>
      </w:r>
    </w:p>
    <w:p>
      <w:pPr>
        <w:spacing w:after="0" w:line="121" w:lineRule="exact"/>
        <w:rPr>
          <w:sz w:val="20"/>
          <w:szCs w:val="20"/>
          <w:color w:val="auto"/>
        </w:rPr>
      </w:pPr>
    </w:p>
    <w:p>
      <w:pPr>
        <w:spacing w:after="0"/>
        <w:tabs>
          <w:tab w:leader="none" w:pos="6800" w:val="left"/>
        </w:tabs>
        <w:rPr>
          <w:sz w:val="20"/>
          <w:szCs w:val="20"/>
          <w:color w:val="auto"/>
        </w:rPr>
      </w:pPr>
      <w:r>
        <w:rPr>
          <w:rFonts w:ascii="Arial" w:cs="Arial" w:eastAsia="Arial" w:hAnsi="Arial"/>
          <w:sz w:val="18"/>
          <w:szCs w:val="18"/>
          <w:color w:val="auto"/>
        </w:rPr>
        <w:t>Page 4 of 5</w:t>
      </w:r>
      <w:r>
        <w:rPr>
          <w:sz w:val="20"/>
          <w:szCs w:val="20"/>
          <w:color w:val="auto"/>
        </w:rPr>
        <w:tab/>
      </w:r>
      <w:r>
        <w:rPr>
          <w:rFonts w:ascii="Arial" w:cs="Arial" w:eastAsia="Arial" w:hAnsi="Arial"/>
          <w:sz w:val="14"/>
          <w:szCs w:val="14"/>
          <w:color w:val="auto"/>
        </w:rPr>
        <w:t xml:space="preserve">© </w:t>
      </w:r>
      <w:r>
        <w:rPr>
          <w:rFonts w:ascii="Arial" w:cs="Arial" w:eastAsia="Arial" w:hAnsi="Arial"/>
          <w:sz w:val="16"/>
          <w:szCs w:val="16"/>
          <w:color w:val="auto"/>
        </w:rPr>
        <w:t>2014 The Travelers Indemnity Company. All rights reserved.</w:t>
      </w:r>
    </w:p>
    <w:p>
      <w:pPr>
        <w:sectPr>
          <w:pgSz w:w="11900" w:h="16838" w:orient="portrait"/>
          <w:cols w:equalWidth="0" w:num="1">
            <w:col w:w="11420"/>
          </w:cols>
          <w:pgMar w:left="240" w:top="274" w:right="239" w:bottom="1440" w:gutter="0" w:footer="0" w:header="0"/>
        </w:sectPr>
      </w:pPr>
    </w:p>
    <w:bookmarkStart w:id="29" w:name="page30"/>
    <w:bookmarkEnd w:id="29"/>
    <w:p>
      <w:pPr>
        <w:jc w:val="both"/>
        <w:ind w:left="4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Computer Systems Insuring Agreement, in addition to all of the other exclusions, loss caused by an employee or director of an automated clearing house (including a Federal Reserve Bank), service bureau, electronic communications system (including Fedwire, CHIPS and SWIFT) or merchant who has contracted with the Insured to perform electronic funds transfer services;</w:t>
      </w:r>
    </w:p>
    <w:p>
      <w:pPr>
        <w:spacing w:after="0" w:line="181"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loss resulting directly or indirectly from entries or changes made by an Employee of the Insured acting in good faith on any electronic communication, unless such instructions are purportedly sent by a customer, Financial Institution or automated clearing house, except when covered under the Fraudulent Instruction Coverage of the Computer Systems Insuring Agreement;</w:t>
      </w:r>
    </w:p>
    <w:p>
      <w:pPr>
        <w:spacing w:after="0" w:line="181"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loss resulting directly or indirectly from Computer Fraud or mechanical breakdown or failure to function properly of any Computer System, except when covered under Insuring Agreement (A), (C) or the Computer Systems Insuring Agreement;</w:t>
      </w:r>
    </w:p>
    <w:p>
      <w:pPr>
        <w:spacing w:after="0" w:line="170"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loss resulting from the unauthorized Network, Computer System or internet access to a customer account maintained by the Insured, through the use of fraudulently obtained customer login, identification, password or authentication information, except where such information has been obtained directly from unauthorized fraudulent access to a secure file containing such information on a Computer System, except when covered under the Fraudulent Instruction Coverage of the Computer Systems Insuring Agreement;</w:t>
      </w:r>
    </w:p>
    <w:p>
      <w:pPr>
        <w:spacing w:after="0" w:line="187"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loss resulting directly or indirectly from a Fraudulent Instruction except when covered under the Fraudulent Instruction Coverage of the Computer Systems Insuring Agreement;</w:t>
      </w:r>
    </w:p>
    <w:p>
      <w:pPr>
        <w:spacing w:after="0" w:line="170" w:lineRule="exact"/>
        <w:rPr>
          <w:sz w:val="20"/>
          <w:szCs w:val="20"/>
          <w:color w:val="auto"/>
        </w:rPr>
      </w:pPr>
    </w:p>
    <w:p>
      <w:pPr>
        <w:jc w:val="both"/>
        <w:ind w:left="460"/>
        <w:spacing w:after="0" w:line="308" w:lineRule="auto"/>
        <w:rPr>
          <w:sz w:val="20"/>
          <w:szCs w:val="20"/>
          <w:color w:val="auto"/>
        </w:rPr>
      </w:pPr>
      <w:r>
        <w:rPr>
          <w:rFonts w:ascii="Arial" w:cs="Arial" w:eastAsia="Arial" w:hAnsi="Arial"/>
          <w:sz w:val="17"/>
          <w:szCs w:val="17"/>
          <w:color w:val="auto"/>
        </w:rPr>
        <w:t>loss resulting directly or indirectly from the input of data into a Computer System, either on the premises of a customer of the Insured or under the control of such a customer, by a customer or other person who had authorized access to the customer’s authentication mechanism;</w:t>
      </w:r>
    </w:p>
    <w:p>
      <w:pPr>
        <w:spacing w:after="0" w:line="14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loss resulting directly or indirectly from the theft, disappearance, destruction, or disclosure of intangible property or confidential information, including trade secrets, confidential processing methods, formulas, patents, customer lists, computer programs, negatives, drawings, manuscripts, prints and other records of a similar nature;</w:t>
      </w:r>
    </w:p>
    <w:p>
      <w:pPr>
        <w:spacing w:after="0" w:line="181"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expenses arising from a data security breach or incident, including forensic audit expenses, fines, penalties, expenses to comply with federal and state laws, payment card industry data security standards (if applicable) or expenses related to notifying affected individuals when the affected individual’s personally identifiable customer, financial or medical information was stolen, accessed, downloaded or misappropriated while in the Insured’s care, custody or control; or</w:t>
      </w:r>
    </w:p>
    <w:p>
      <w:pPr>
        <w:spacing w:after="0" w:line="18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under the Fraudulent Instruction Coverage of the Computer Systems Insuring Agreement, in addition to all of the other exclusions, loss resulting directly or indirectly from the Insured’s assumption of liability by contract unless the liability arises from a loss that would be imposed on the Insured regardless of the existence of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Nothing herein contained shall be held to vary, alter, waive, or extend any of the terms, conditions, provisions, agreements or limitations of the above mentioned Bond or Policy, other than as above stated.</w:t>
      </w:r>
    </w:p>
    <w:p>
      <w:pPr>
        <w:spacing w:after="0" w:line="193" w:lineRule="exact"/>
        <w:rPr>
          <w:sz w:val="20"/>
          <w:szCs w:val="20"/>
          <w:color w:val="auto"/>
        </w:rPr>
      </w:pPr>
    </w:p>
    <w:p>
      <w:pPr>
        <w:ind w:left="71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46990</wp:posOffset>
            </wp:positionV>
            <wp:extent cx="24872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62" w:lineRule="exact"/>
        <w:rPr>
          <w:sz w:val="20"/>
          <w:szCs w:val="20"/>
          <w:color w:val="auto"/>
        </w:rPr>
      </w:pPr>
    </w:p>
    <w:p>
      <w:pPr>
        <w:ind w:left="8700"/>
        <w:spacing w:after="0"/>
        <w:rPr>
          <w:sz w:val="20"/>
          <w:szCs w:val="20"/>
          <w:color w:val="auto"/>
        </w:rPr>
      </w:pPr>
      <w:r>
        <w:rPr>
          <w:rFonts w:ascii="Arial" w:cs="Arial" w:eastAsia="Arial" w:hAnsi="Arial"/>
          <w:sz w:val="14"/>
          <w:szCs w:val="14"/>
          <w:color w:val="auto"/>
        </w:rPr>
        <w:t>Authorized Representative</w:t>
      </w:r>
    </w:p>
    <w:p>
      <w:pPr>
        <w:spacing w:after="0" w:line="11" w:lineRule="exact"/>
        <w:rPr>
          <w:sz w:val="20"/>
          <w:szCs w:val="20"/>
          <w:color w:val="auto"/>
        </w:rPr>
      </w:pPr>
    </w:p>
    <w:p>
      <w:pPr>
        <w:ind w:left="6860"/>
        <w:spacing w:after="0"/>
        <w:rPr>
          <w:sz w:val="20"/>
          <w:szCs w:val="20"/>
          <w:color w:val="auto"/>
        </w:rPr>
      </w:pPr>
      <w:r>
        <w:rPr>
          <w:rFonts w:ascii="Arial" w:cs="Arial" w:eastAsia="Arial" w:hAnsi="Arial"/>
          <w:sz w:val="21"/>
          <w:szCs w:val="21"/>
          <w:color w:val="auto"/>
        </w:rPr>
        <w:t>INSURED</w:t>
      </w:r>
    </w:p>
    <w:p>
      <w:pPr>
        <w:spacing w:after="0" w:line="131" w:lineRule="exact"/>
        <w:rPr>
          <w:sz w:val="20"/>
          <w:szCs w:val="20"/>
          <w:color w:val="auto"/>
        </w:rPr>
      </w:pPr>
    </w:p>
    <w:p>
      <w:pPr>
        <w:spacing w:after="0"/>
        <w:tabs>
          <w:tab w:leader="none" w:pos="1020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2011 The Travelers Indemnity Company. All rights reserved.</w:t>
      </w:r>
      <w:r>
        <w:rPr>
          <w:sz w:val="20"/>
          <w:szCs w:val="20"/>
          <w:color w:val="auto"/>
        </w:rPr>
        <w:tab/>
      </w:r>
      <w:r>
        <w:rPr>
          <w:rFonts w:ascii="Arial" w:cs="Arial" w:eastAsia="Arial" w:hAnsi="Arial"/>
          <w:sz w:val="16"/>
          <w:szCs w:val="16"/>
          <w:color w:val="auto"/>
        </w:rPr>
        <w:t>Page 5 of 5</w:t>
      </w:r>
    </w:p>
    <w:p>
      <w:pPr>
        <w:sectPr>
          <w:pgSz w:w="11900" w:h="16838" w:orient="portrait"/>
          <w:cols w:equalWidth="0" w:num="1">
            <w:col w:w="11420"/>
          </w:cols>
          <w:pgMar w:left="240" w:top="274" w:right="239" w:bottom="1440" w:gutter="0" w:footer="0" w:header="0"/>
        </w:sectPr>
      </w:pPr>
    </w:p>
    <w:bookmarkStart w:id="30" w:name="page31"/>
    <w:bookmarkEnd w:id="30"/>
    <w:p>
      <w:pPr>
        <w:ind w:left="1040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CERTIFICATE OF THE SECRETARY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jc w:val="center"/>
        <w:spacing w:after="0"/>
        <w:rPr>
          <w:sz w:val="20"/>
          <w:szCs w:val="20"/>
          <w:color w:val="auto"/>
        </w:rPr>
      </w:pPr>
      <w:r>
        <w:rPr>
          <w:rFonts w:ascii="Arial" w:cs="Arial" w:eastAsia="Arial" w:hAnsi="Arial"/>
          <w:sz w:val="20"/>
          <w:szCs w:val="20"/>
          <w:b w:val="1"/>
          <w:bCs w:val="1"/>
          <w:color w:val="auto"/>
        </w:rPr>
        <w:t>PENNANTPARK INVESTMENT CORPORATION</w:t>
      </w:r>
    </w:p>
    <w:p>
      <w:pPr>
        <w:jc w:val="center"/>
        <w:spacing w:after="0"/>
        <w:rPr>
          <w:sz w:val="20"/>
          <w:szCs w:val="20"/>
          <w:color w:val="auto"/>
        </w:rPr>
      </w:pPr>
      <w:r>
        <w:rPr>
          <w:rFonts w:ascii="Arial" w:cs="Arial" w:eastAsia="Arial" w:hAnsi="Arial"/>
          <w:sz w:val="20"/>
          <w:szCs w:val="20"/>
          <w:b w:val="1"/>
          <w:bCs w:val="1"/>
          <w:color w:val="auto"/>
        </w:rPr>
        <w:t>CERTIFYING RESOLUTIONS APPROVING</w:t>
      </w:r>
    </w:p>
    <w:p>
      <w:pPr>
        <w:jc w:val="center"/>
        <w:spacing w:after="0"/>
        <w:rPr>
          <w:sz w:val="20"/>
          <w:szCs w:val="20"/>
          <w:color w:val="auto"/>
        </w:rPr>
      </w:pPr>
      <w:r>
        <w:rPr>
          <w:rFonts w:ascii="Arial" w:cs="Arial" w:eastAsia="Arial" w:hAnsi="Arial"/>
          <w:sz w:val="20"/>
          <w:szCs w:val="20"/>
          <w:b w:val="1"/>
          <w:bCs w:val="1"/>
          <w:color w:val="auto"/>
        </w:rPr>
        <w:t>THE JOINT FIDELITY BOND</w:t>
      </w:r>
    </w:p>
    <w:p>
      <w:pPr>
        <w:spacing w:after="0" w:line="19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THE UNDERSIGNED</w:t>
      </w:r>
      <w:r>
        <w:rPr>
          <w:rFonts w:ascii="Arial" w:cs="Arial" w:eastAsia="Arial" w:hAnsi="Arial"/>
          <w:sz w:val="18"/>
          <w:szCs w:val="18"/>
          <w:color w:val="auto"/>
        </w:rPr>
        <w:t>, the duly appointed Secretary of PennantPark Investment Corporation, a Maryland corporation (the “Corporation”), an</w:t>
      </w:r>
      <w:r>
        <w:rPr>
          <w:rFonts w:ascii="Arial" w:cs="Arial" w:eastAsia="Arial" w:hAnsi="Arial"/>
          <w:sz w:val="18"/>
          <w:szCs w:val="18"/>
          <w:b w:val="1"/>
          <w:bCs w:val="1"/>
          <w:color w:val="auto"/>
        </w:rPr>
        <w:t xml:space="preserve"> </w:t>
      </w:r>
      <w:r>
        <w:rPr>
          <w:rFonts w:ascii="Arial" w:cs="Arial" w:eastAsia="Arial" w:hAnsi="Arial"/>
          <w:sz w:val="18"/>
          <w:szCs w:val="18"/>
          <w:color w:val="auto"/>
        </w:rPr>
        <w:t>externally managed, non-diversified investment company that has elected to be treated as a business development company under the Investment Company Act of 1940, as amended (the “1940 Act”), does hereby certify that the resolutions set forth below were approved by the Board of Directors of the Corporation (the “Board”), including a majority of the Directors who are not “interested persons” of the Corporation, as defined in Section 2(a)(19) of the 1940 Act (the “Independent Directors”), on May 3, 2016 at a meeting of the Directors:</w:t>
      </w:r>
    </w:p>
    <w:p>
      <w:pPr>
        <w:spacing w:after="0" w:line="15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at a meeting of the Board of the Corporation (the “Meeting”), the Board of the Corporation reviewed the materials presented at</w:t>
      </w:r>
      <w:r>
        <w:rPr>
          <w:rFonts w:ascii="Arial" w:cs="Arial" w:eastAsia="Arial" w:hAnsi="Arial"/>
          <w:sz w:val="20"/>
          <w:szCs w:val="20"/>
          <w:b w:val="1"/>
          <w:bCs w:val="1"/>
          <w:color w:val="auto"/>
        </w:rPr>
        <w:t xml:space="preserve"> </w:t>
      </w:r>
      <w:r>
        <w:rPr>
          <w:rFonts w:ascii="Arial" w:cs="Arial" w:eastAsia="Arial" w:hAnsi="Arial"/>
          <w:sz w:val="20"/>
          <w:szCs w:val="20"/>
          <w:color w:val="auto"/>
        </w:rPr>
        <w:t>the Meeting;</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NOW, THEREFORE, BE IT:</w:t>
      </w:r>
    </w:p>
    <w:p>
      <w:pPr>
        <w:spacing w:after="0" w:line="21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RESOLVED</w:t>
      </w:r>
      <w:r>
        <w:rPr>
          <w:rFonts w:ascii="Arial" w:cs="Arial" w:eastAsia="Arial" w:hAnsi="Arial"/>
          <w:sz w:val="20"/>
          <w:szCs w:val="20"/>
          <w:color w:val="auto"/>
        </w:rPr>
        <w:t>, that the Board of the Corporation determined that the Corporation, PennantPark Investment Advisers, LLC (the “Adviser”) and</w:t>
      </w:r>
      <w:r>
        <w:rPr>
          <w:rFonts w:ascii="Arial" w:cs="Arial" w:eastAsia="Arial" w:hAnsi="Arial"/>
          <w:sz w:val="20"/>
          <w:szCs w:val="20"/>
          <w:b w:val="1"/>
          <w:bCs w:val="1"/>
          <w:color w:val="auto"/>
        </w:rPr>
        <w:t xml:space="preserve"> </w:t>
      </w:r>
      <w:r>
        <w:rPr>
          <w:rFonts w:ascii="Arial" w:cs="Arial" w:eastAsia="Arial" w:hAnsi="Arial"/>
          <w:sz w:val="20"/>
          <w:szCs w:val="20"/>
          <w:color w:val="auto"/>
        </w:rPr>
        <w:t>PennantPark Investment Administration, LLC (the “Administrator”) each be covered as an “Insured” under a joint fidelity bond (the “Bond”) having an aggregate coverage of $5 million issued by St. Paul Fire and Marine Insurance Company, a reputable fidelity insurance company, against larceny and embezzlement and such other types of losses as are included in standard fidelity bonds, covering the officers and the other employees of the Corporation, the Adviser and the Administrator from time to time and containing such provisions as may be required by the rules promulgated under the 1940 Act;</w:t>
      </w:r>
    </w:p>
    <w:p>
      <w:pPr>
        <w:spacing w:after="0" w:line="18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proposed form and amount of the Bond considered at the Meeting be, and hereby are, approved after</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of all factors deemed relevant by the directors of the Corporation (the “Directors”), and separately approved by the Independent Directors, including, but not limited to, the amount of the Bond, the value of the aggregate assets of the Corporation to which any person covered under the Bond may have access, the estimated amount of the premium for such Bond, the type and terms of the arrangements made for the custody and safekeeping of the Corporation’s assets and the nature of the securities in the Corporation’s portfolio;</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color w:val="auto"/>
        </w:rPr>
        <w:t>FURTHER RESOLVED</w:t>
      </w:r>
      <w:r>
        <w:rPr>
          <w:rFonts w:ascii="Arial" w:cs="Arial" w:eastAsia="Arial" w:hAnsi="Arial"/>
          <w:sz w:val="19"/>
          <w:szCs w:val="19"/>
          <w:color w:val="auto"/>
        </w:rPr>
        <w:t>, that the payment by the Corporation of the premium for coverage under the Bond, in the amount described at the</w:t>
      </w:r>
      <w:r>
        <w:rPr>
          <w:rFonts w:ascii="Arial" w:cs="Arial" w:eastAsia="Arial" w:hAnsi="Arial"/>
          <w:sz w:val="19"/>
          <w:szCs w:val="19"/>
          <w:b w:val="1"/>
          <w:bCs w:val="1"/>
          <w:color w:val="auto"/>
        </w:rPr>
        <w:t xml:space="preserve"> </w:t>
      </w:r>
      <w:r>
        <w:rPr>
          <w:rFonts w:ascii="Arial" w:cs="Arial" w:eastAsia="Arial" w:hAnsi="Arial"/>
          <w:sz w:val="19"/>
          <w:szCs w:val="19"/>
          <w:color w:val="auto"/>
        </w:rPr>
        <w:t>Meeting, and the share of the premium to be allocated to the Corporation and to the Adviser/Administrator for the Bond, based upon their proportionate share of the sum of the premiums that would have been paid if such fidelity bond coverage had been purchased separately, be, and hereby are, approved by the Directors of the Corporation, including the Independent Directors of the Corporation, after having given due consideration to, among other things, the number of other parties insured under the Bond, the nature of the business activities of those other parties, the amount of the premium for the Bond, the ratable allocation of the premium among all parties named as insureds and the extent to which the share of the premium allocated to the Corporation under the Bond is less than the premium the Corporation would have had to pay had it maintained a single insured bond;</w:t>
      </w:r>
    </w:p>
    <w:p>
      <w:pPr>
        <w:spacing w:after="0" w:line="174"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FURTHER RESOLVED</w:t>
      </w:r>
      <w:r>
        <w:rPr>
          <w:rFonts w:ascii="Arial" w:cs="Arial" w:eastAsia="Arial" w:hAnsi="Arial"/>
          <w:sz w:val="20"/>
          <w:szCs w:val="20"/>
          <w:color w:val="auto"/>
        </w:rPr>
        <w:t>, that the proposed Joint Fidelity Bond Agreement among the Corporation, the Adviser and the Administrator</w:t>
      </w:r>
      <w:r>
        <w:rPr>
          <w:rFonts w:ascii="Arial" w:cs="Arial" w:eastAsia="Arial" w:hAnsi="Arial"/>
          <w:sz w:val="20"/>
          <w:szCs w:val="20"/>
          <w:b w:val="1"/>
          <w:bCs w:val="1"/>
          <w:color w:val="auto"/>
        </w:rPr>
        <w:t xml:space="preserve"> </w:t>
      </w:r>
      <w:r>
        <w:rPr>
          <w:rFonts w:ascii="Arial" w:cs="Arial" w:eastAsia="Arial" w:hAnsi="Arial"/>
          <w:sz w:val="20"/>
          <w:szCs w:val="20"/>
          <w:color w:val="auto"/>
        </w:rPr>
        <w:t>providing that in the event that any recovery is received under the Bond as a</w:t>
      </w:r>
    </w:p>
    <w:p>
      <w:pPr>
        <w:sectPr>
          <w:pgSz w:w="11900" w:h="16838" w:orient="portrait"/>
          <w:cols w:equalWidth="0" w:num="1">
            <w:col w:w="11420"/>
          </w:cols>
          <w:pgMar w:left="240" w:top="265" w:right="239" w:bottom="1440" w:gutter="0" w:footer="0" w:header="0"/>
        </w:sectPr>
      </w:pPr>
    </w:p>
    <w:bookmarkStart w:id="31" w:name="page32"/>
    <w:bookmarkEnd w:id="31"/>
    <w:p>
      <w:pPr>
        <w:jc w:val="both"/>
        <w:spacing w:after="0" w:line="26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 of a loss sustained by the Corporation and also by any other named Insured, the Corporation shall receive an equitable and proportionate share of the recovery, but in no event less than the amount it would have received had it provided and maintained a single insured bond with the minimum coverage required by paragraph (d)(1) of Rule 17g-1 under the 1940 Act, is approved, with such further changes therein as the Officers may determine to be necessary or desirable and proper, with the advice of the Corporation’s counsel, the execution of each Joint Fidelity Bond Agreement by such Officers to be conclusive evidence of such determination;</w:t>
      </w:r>
    </w:p>
    <w:p>
      <w:pPr>
        <w:spacing w:after="0" w:line="175"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FURTHER RESOLVED</w:t>
      </w:r>
      <w:r>
        <w:rPr>
          <w:rFonts w:ascii="Arial" w:cs="Arial" w:eastAsia="Arial" w:hAnsi="Arial"/>
          <w:sz w:val="20"/>
          <w:szCs w:val="20"/>
          <w:color w:val="auto"/>
        </w:rPr>
        <w:t>, that the Secretary of the Corporation be, and hereby is, designated as the party responsible for making the necessary</w:t>
      </w:r>
      <w:r>
        <w:rPr>
          <w:rFonts w:ascii="Arial" w:cs="Arial" w:eastAsia="Arial" w:hAnsi="Arial"/>
          <w:sz w:val="20"/>
          <w:szCs w:val="20"/>
          <w:b w:val="1"/>
          <w:bCs w:val="1"/>
          <w:color w:val="auto"/>
        </w:rPr>
        <w:t xml:space="preserve"> </w:t>
      </w:r>
      <w:r>
        <w:rPr>
          <w:rFonts w:ascii="Arial" w:cs="Arial" w:eastAsia="Arial" w:hAnsi="Arial"/>
          <w:sz w:val="20"/>
          <w:szCs w:val="20"/>
          <w:color w:val="auto"/>
        </w:rPr>
        <w:t>filings and giving the notices with respect to the Bond required by paragraph (g) of Rule 17g-1 under the 1940 Act;</w:t>
      </w:r>
    </w:p>
    <w:p>
      <w:pPr>
        <w:spacing w:after="0" w:line="164"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FURTHER RESOLVED</w:t>
      </w:r>
      <w:r>
        <w:rPr>
          <w:rFonts w:ascii="Arial" w:cs="Arial" w:eastAsia="Arial" w:hAnsi="Arial"/>
          <w:sz w:val="20"/>
          <w:szCs w:val="20"/>
          <w:color w:val="auto"/>
        </w:rPr>
        <w:t>, that the Officers be, and each of them hereby is, authorized to obtain and enter into a joint liability insurance policy</w:t>
      </w:r>
      <w:r>
        <w:rPr>
          <w:rFonts w:ascii="Arial" w:cs="Arial" w:eastAsia="Arial" w:hAnsi="Arial"/>
          <w:sz w:val="20"/>
          <w:szCs w:val="20"/>
          <w:b w:val="1"/>
          <w:bCs w:val="1"/>
          <w:color w:val="auto"/>
        </w:rPr>
        <w:t xml:space="preserve"> </w:t>
      </w:r>
      <w:r>
        <w:rPr>
          <w:rFonts w:ascii="Arial" w:cs="Arial" w:eastAsia="Arial" w:hAnsi="Arial"/>
          <w:sz w:val="20"/>
          <w:szCs w:val="20"/>
          <w:color w:val="auto"/>
        </w:rPr>
        <w:t>in the form and amount as presented at the Meeting for all losses, covering the Corporation, the Adviser and the Administrator and their respective directors and officers (each of whom shall be deemed a third party beneficiary thereof) generally against liabilities and expenses arising out of claims, actions or proceedings asserted or threatened against them in their respective capacities for or relating to the Corporation, the Adviser and the Administrator, as the case may be, subject to such ordinary exceptions as the Officer executing the same deems reasonable or appropriate;</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FURTHER RESOLVED</w:t>
      </w:r>
      <w:r>
        <w:rPr>
          <w:rFonts w:ascii="Arial" w:cs="Arial" w:eastAsia="Arial" w:hAnsi="Arial"/>
          <w:sz w:val="19"/>
          <w:szCs w:val="19"/>
          <w:color w:val="auto"/>
        </w:rPr>
        <w:t>, that the Directors of the Corporation, including the Independent Directors of the Corporation, hereby find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Corporation’s participation in the above-referenced joint liability insurance policy is in the best interest of the Corporation; and</w:t>
      </w:r>
    </w:p>
    <w:p>
      <w:pPr>
        <w:spacing w:after="0" w:line="142"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FURTHER RESOLVED</w:t>
      </w:r>
      <w:r>
        <w:rPr>
          <w:rFonts w:ascii="Arial" w:cs="Arial" w:eastAsia="Arial" w:hAnsi="Arial"/>
          <w:sz w:val="20"/>
          <w:szCs w:val="20"/>
          <w:color w:val="auto"/>
        </w:rPr>
        <w:t>, that the share of the premium to be allocated 65% to the Corporation and to PennantPark Floating Rate Capital Ltd.</w:t>
      </w:r>
      <w:r>
        <w:rPr>
          <w:rFonts w:ascii="Arial" w:cs="Arial" w:eastAsia="Arial" w:hAnsi="Arial"/>
          <w:sz w:val="20"/>
          <w:szCs w:val="20"/>
          <w:b w:val="1"/>
          <w:bCs w:val="1"/>
          <w:color w:val="auto"/>
        </w:rPr>
        <w:t xml:space="preserve"> </w:t>
      </w:r>
      <w:r>
        <w:rPr>
          <w:rFonts w:ascii="Arial" w:cs="Arial" w:eastAsia="Arial" w:hAnsi="Arial"/>
          <w:sz w:val="20"/>
          <w:szCs w:val="20"/>
          <w:color w:val="auto"/>
        </w:rPr>
        <w:t>and 35% to the Adviser/Administrator for the Bond and the applicable joint liability insurance policy, which is based upon each Corporation’s proportionate share of the sum of the premiums that would have been paid if such insurance coverage were purchased separately, be, and hereby is, determined to be fair and reasonable to the Corporation by the Directors of such Corporation, including the Independent Directors of such Corporation and that the appropriate allocation between each of the Corporations, with respect to the joint liability insurance policy, is obtained.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I have hereunto set my hand as such officer of the Corporation this 10th day of June, 2016.</w:t>
      </w:r>
    </w:p>
    <w:p>
      <w:pPr>
        <w:spacing w:after="0" w:line="249"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Thomas J. Friedmann</w:t>
      </w:r>
    </w:p>
    <w:p>
      <w:pPr>
        <w:spacing w:after="0" w:line="216"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Secretary</w:t>
      </w:r>
    </w:p>
    <w:p>
      <w:pPr>
        <w:sectPr>
          <w:pgSz w:w="11900" w:h="16838" w:orient="portrait"/>
          <w:cols w:equalWidth="0" w:num="1">
            <w:col w:w="11420"/>
          </w:cols>
          <w:pgMar w:left="240" w:top="27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FIDELITY BOND AGREEMENT</w:t>
      </w:r>
    </w:p>
    <w:p>
      <w:pPr>
        <w:spacing w:after="0" w:line="78"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9"/>
          <w:szCs w:val="19"/>
          <w:color w:val="auto"/>
        </w:rPr>
        <w:t>This JOINT FIDELITY BOND AGREEMENT is dated as of April 19, 2007 by and between PennantPark Investment Corporation (the “Corporation”), a Maryland corporation, PennantPark Investment Advisers, LLC (the “Adviser”), a Delaware limited liability company, and PennantPark Investment Administration, LLC (the “Administrator”), a Delaware limited liability company.</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WITNESSETH</w:t>
      </w:r>
      <w:r>
        <w:rPr>
          <w:rFonts w:ascii="Arial" w:cs="Arial" w:eastAsia="Arial" w:hAnsi="Arial"/>
          <w:sz w:val="20"/>
          <w:szCs w:val="20"/>
          <w:color w:val="auto"/>
        </w:rPr>
        <w:t>:</w:t>
      </w:r>
    </w:p>
    <w:p>
      <w:pPr>
        <w:spacing w:after="0" w:line="108"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Corporation, the Adviser, and the Administrator are joint named insureds (each, an “Insured” and collectively, the “Insureds”)</w:t>
      </w:r>
      <w:r>
        <w:rPr>
          <w:rFonts w:ascii="Arial" w:cs="Arial" w:eastAsia="Arial" w:hAnsi="Arial"/>
          <w:sz w:val="20"/>
          <w:szCs w:val="20"/>
          <w:b w:val="1"/>
          <w:bCs w:val="1"/>
          <w:color w:val="auto"/>
        </w:rPr>
        <w:t xml:space="preserve"> </w:t>
      </w:r>
      <w:r>
        <w:rPr>
          <w:rFonts w:ascii="Arial" w:cs="Arial" w:eastAsia="Arial" w:hAnsi="Arial"/>
          <w:sz w:val="20"/>
          <w:szCs w:val="20"/>
          <w:color w:val="auto"/>
        </w:rPr>
        <w:t>under a bond issued by Aon (the “Bond”);</w:t>
      </w:r>
    </w:p>
    <w:p>
      <w:pPr>
        <w:spacing w:after="0" w:line="56"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Corporation is required to provide and maintain a fidelity bond pursuant to Rule 17g-1 under the Investment Company Act of</w:t>
      </w:r>
      <w:r>
        <w:rPr>
          <w:rFonts w:ascii="Arial" w:cs="Arial" w:eastAsia="Arial" w:hAnsi="Arial"/>
          <w:sz w:val="20"/>
          <w:szCs w:val="20"/>
          <w:b w:val="1"/>
          <w:bCs w:val="1"/>
          <w:color w:val="auto"/>
        </w:rPr>
        <w:t xml:space="preserve"> </w:t>
      </w:r>
      <w:r>
        <w:rPr>
          <w:rFonts w:ascii="Arial" w:cs="Arial" w:eastAsia="Arial" w:hAnsi="Arial"/>
          <w:sz w:val="20"/>
          <w:szCs w:val="20"/>
          <w:color w:val="auto"/>
        </w:rPr>
        <w:t>1940, as amended (the “1940 Act”);</w:t>
      </w:r>
    </w:p>
    <w:p>
      <w:pPr>
        <w:spacing w:after="0" w:line="5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Rule 17g-1 under the 1940 Act requires that the Insureds enter into an agreement with each other, containing certain provisions</w:t>
      </w:r>
      <w:r>
        <w:rPr>
          <w:rFonts w:ascii="Arial" w:cs="Arial" w:eastAsia="Arial" w:hAnsi="Arial"/>
          <w:sz w:val="20"/>
          <w:szCs w:val="20"/>
          <w:b w:val="1"/>
          <w:bCs w:val="1"/>
          <w:color w:val="auto"/>
        </w:rPr>
        <w:t xml:space="preserve"> </w:t>
      </w:r>
      <w:r>
        <w:rPr>
          <w:rFonts w:ascii="Arial" w:cs="Arial" w:eastAsia="Arial" w:hAnsi="Arial"/>
          <w:sz w:val="20"/>
          <w:szCs w:val="20"/>
          <w:color w:val="auto"/>
        </w:rPr>
        <w:t>regarding the respective amounts to be received by them in the event recovery is received under the Bond as a result of a loss sustained by them; and</w:t>
      </w:r>
    </w:p>
    <w:p>
      <w:pPr>
        <w:spacing w:after="0" w:line="70"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this Agreement has been approved by the directors of the Corporation, including a majority of the directors who are not</w:t>
      </w:r>
      <w:r>
        <w:rPr>
          <w:rFonts w:ascii="Arial" w:cs="Arial" w:eastAsia="Arial" w:hAnsi="Arial"/>
          <w:sz w:val="20"/>
          <w:szCs w:val="20"/>
          <w:b w:val="1"/>
          <w:bCs w:val="1"/>
          <w:color w:val="auto"/>
        </w:rPr>
        <w:t xml:space="preserve"> </w:t>
      </w:r>
      <w:r>
        <w:rPr>
          <w:rFonts w:ascii="Arial" w:cs="Arial" w:eastAsia="Arial" w:hAnsi="Arial"/>
          <w:sz w:val="20"/>
          <w:szCs w:val="20"/>
          <w:color w:val="auto"/>
        </w:rPr>
        <w:t>“interested persons” of the Corporation (as defined in the 1940 Act).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in consideration of the premises and the mutual covenants contained herein, hereby agree as follows:</w:t>
      </w:r>
    </w:p>
    <w:p>
      <w:pPr>
        <w:spacing w:after="0" w:line="137" w:lineRule="exact"/>
        <w:rPr>
          <w:sz w:val="20"/>
          <w:szCs w:val="20"/>
          <w:color w:val="auto"/>
        </w:rPr>
      </w:pPr>
    </w:p>
    <w:p>
      <w:pPr>
        <w:ind w:firstLine="8"/>
        <w:spacing w:after="0" w:line="260" w:lineRule="auto"/>
        <w:tabs>
          <w:tab w:leader="none" w:pos="214" w:val="left"/>
        </w:tabs>
        <w:numPr>
          <w:ilvl w:val="0"/>
          <w:numId w:val="91"/>
        </w:numPr>
        <w:rPr>
          <w:rFonts w:ascii="Arial" w:cs="Arial" w:eastAsia="Arial" w:hAnsi="Arial"/>
          <w:sz w:val="20"/>
          <w:szCs w:val="20"/>
          <w:color w:val="auto"/>
        </w:rPr>
      </w:pPr>
      <w:r>
        <w:rPr>
          <w:rFonts w:ascii="Arial" w:cs="Arial" w:eastAsia="Arial" w:hAnsi="Arial"/>
          <w:sz w:val="20"/>
          <w:szCs w:val="20"/>
          <w:color w:val="auto"/>
        </w:rPr>
        <w:t>Each Insured agrees to maintain in effect, and will pay a portion of the premiums for, the Bond, which premium will be allocated prorata according to the relative premium that such Insured would pay for separate fidelity bond coverage.</w:t>
      </w:r>
    </w:p>
    <w:p>
      <w:pPr>
        <w:spacing w:after="0" w:line="68" w:lineRule="exact"/>
        <w:rPr>
          <w:rFonts w:ascii="Arial" w:cs="Arial" w:eastAsia="Arial" w:hAnsi="Arial"/>
          <w:sz w:val="20"/>
          <w:szCs w:val="20"/>
          <w:color w:val="auto"/>
        </w:rPr>
      </w:pPr>
    </w:p>
    <w:p>
      <w:pPr>
        <w:jc w:val="both"/>
        <w:ind w:firstLine="8"/>
        <w:spacing w:after="0" w:line="291" w:lineRule="auto"/>
        <w:tabs>
          <w:tab w:leader="none" w:pos="207"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 (1) of Rule 17g-1 under the 1940 Act.</w:t>
      </w:r>
    </w:p>
    <w:p>
      <w:pPr>
        <w:spacing w:after="0" w:line="43" w:lineRule="exact"/>
        <w:rPr>
          <w:rFonts w:ascii="Arial" w:cs="Arial" w:eastAsia="Arial" w:hAnsi="Arial"/>
          <w:sz w:val="18"/>
          <w:szCs w:val="18"/>
          <w:color w:val="auto"/>
        </w:rPr>
      </w:pPr>
    </w:p>
    <w:p>
      <w:pPr>
        <w:jc w:val="both"/>
        <w:ind w:firstLine="8"/>
        <w:spacing w:after="0" w:line="250" w:lineRule="auto"/>
        <w:tabs>
          <w:tab w:leader="none" w:pos="198" w:val="left"/>
        </w:tabs>
        <w:numPr>
          <w:ilvl w:val="0"/>
          <w:numId w:val="91"/>
        </w:numPr>
        <w:rPr>
          <w:rFonts w:ascii="Arial" w:cs="Arial" w:eastAsia="Arial" w:hAnsi="Arial"/>
          <w:sz w:val="20"/>
          <w:szCs w:val="20"/>
          <w:color w:val="auto"/>
        </w:rPr>
      </w:pPr>
      <w:r>
        <w:rPr>
          <w:rFonts w:ascii="Arial" w:cs="Arial" w:eastAsia="Arial" w:hAnsi="Arial"/>
          <w:sz w:val="20"/>
          <w:szCs w:val="20"/>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78" w:lineRule="exact"/>
        <w:rPr>
          <w:rFonts w:ascii="Arial" w:cs="Arial" w:eastAsia="Arial" w:hAnsi="Arial"/>
          <w:sz w:val="20"/>
          <w:szCs w:val="20"/>
          <w:color w:val="auto"/>
        </w:rPr>
      </w:pPr>
    </w:p>
    <w:p>
      <w:pPr>
        <w:ind w:left="200" w:hanging="192"/>
        <w:spacing w:after="0"/>
        <w:tabs>
          <w:tab w:leader="none" w:pos="2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This Agreement and the rights and duties hereunder shall not be assignable by any party hereto without written consent of the other party.</w:t>
      </w:r>
    </w:p>
    <w:p>
      <w:pPr>
        <w:spacing w:after="0" w:line="130" w:lineRule="exact"/>
        <w:rPr>
          <w:rFonts w:ascii="Arial" w:cs="Arial" w:eastAsia="Arial" w:hAnsi="Arial"/>
          <w:sz w:val="18"/>
          <w:szCs w:val="18"/>
          <w:color w:val="auto"/>
        </w:rPr>
      </w:pPr>
    </w:p>
    <w:p>
      <w:pPr>
        <w:ind w:right="20" w:firstLine="8"/>
        <w:spacing w:after="0" w:line="260" w:lineRule="auto"/>
        <w:tabs>
          <w:tab w:leader="none" w:pos="199"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This Agreement may be amended by the parties hereto only if such amendment is approved by the Board of Directors of the Corporation and such amendment is set forth in a written instrument executed by each of the parties hereto.</w:t>
      </w:r>
    </w:p>
    <w:p>
      <w:pPr>
        <w:spacing w:after="0" w:line="68" w:lineRule="exact"/>
        <w:rPr>
          <w:rFonts w:ascii="Arial" w:cs="Arial" w:eastAsia="Arial" w:hAnsi="Arial"/>
          <w:sz w:val="20"/>
          <w:szCs w:val="20"/>
          <w:color w:val="auto"/>
        </w:rPr>
      </w:pPr>
    </w:p>
    <w:p>
      <w:pPr>
        <w:ind w:left="200" w:hanging="192"/>
        <w:spacing w:after="0"/>
        <w:tabs>
          <w:tab w:leader="none" w:pos="200" w:val="left"/>
        </w:tabs>
        <w:numPr>
          <w:ilvl w:val="0"/>
          <w:numId w:val="91"/>
        </w:numPr>
        <w:rPr>
          <w:rFonts w:ascii="Arial" w:cs="Arial" w:eastAsia="Arial" w:hAnsi="Arial"/>
          <w:sz w:val="20"/>
          <w:szCs w:val="20"/>
          <w:color w:val="auto"/>
        </w:rPr>
      </w:pPr>
      <w:r>
        <w:rPr>
          <w:rFonts w:ascii="Arial" w:cs="Arial" w:eastAsia="Arial" w:hAnsi="Arial"/>
          <w:sz w:val="20"/>
          <w:szCs w:val="20"/>
          <w:color w:val="auto"/>
        </w:rPr>
        <w:t>This Agreement shall be construed in accordance with the laws of the State of New York.</w:t>
      </w:r>
    </w:p>
    <w:p>
      <w:pPr>
        <w:spacing w:after="0" w:line="108"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This agreement may be executed simultaneously in two or more counterparts, each of which shall be deemed an original, but all of which taken together shall constitute one and the same instrument.</w:t>
      </w:r>
    </w:p>
    <w:p>
      <w:pPr>
        <w:sectPr>
          <w:pgSz w:w="11900" w:h="16838" w:orient="portrait"/>
          <w:cols w:equalWidth="0" w:num="1">
            <w:col w:w="11420"/>
          </w:cols>
          <w:pgMar w:left="240" w:top="265" w:right="239" w:bottom="1440" w:gutter="0" w:footer="0" w:header="0"/>
        </w:sectPr>
      </w:pPr>
    </w:p>
    <w:bookmarkStart w:id="33" w:name="page34"/>
    <w:bookmarkEnd w:id="3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Agreement has been executed by the parties as of the date first set forth above.</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PENNANTPARK INVESTMENT CORPORATION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-24765</wp:posOffset>
            </wp:positionV>
            <wp:extent cx="31807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8071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Arthur Penn</w:t>
      </w:r>
    </w:p>
    <w:p>
      <w:pPr>
        <w:spacing w:after="0" w:line="20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PENNANTPARK INVESTMENT ADVISERS, LLC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-24765</wp:posOffset>
            </wp:positionV>
            <wp:extent cx="3187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8770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Arthur Penn</w:t>
      </w:r>
    </w:p>
    <w:p>
      <w:pPr>
        <w:spacing w:after="0" w:line="20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Member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PENNANTPARK INVESTMENT ADMINISTRATION, LLC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-24765</wp:posOffset>
            </wp:positionV>
            <wp:extent cx="30943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Aviv Efrat</w:t>
      </w:r>
    </w:p>
    <w:p>
      <w:pPr>
        <w:spacing w:after="0" w:line="20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sectPr>
      <w:pgSz w:w="11900" w:h="16838" w:orient="portrait"/>
      <w:cols w:equalWidth="0" w:num="1">
        <w:col w:w="10219"/>
      </w:cols>
      <w:pgMar w:left="240" w:top="2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abstractNum>
  <w:abstractNum w:abstractNumId="1">
    <w:nsid w:val="542289EC"/>
    <w:multiLevelType w:val="hybridMultilevel"/>
    <w:lvl w:ilvl="0">
      <w:lvlJc w:val="left"/>
      <w:lvlText w:val="%1."/>
      <w:numFmt w:val="decimal"/>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1)"/>
      <w:numFmt w:val="upperLetter"/>
      <w:start w:val="1"/>
    </w:lvl>
    <w:lvl w:ilvl="1">
      <w:lvlJc w:val="left"/>
      <w:lvlText w:val="(%2)"/>
      <w:numFmt w:val="lowerLetter"/>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1)"/>
      <w:numFmt w:val="upperLetter"/>
      <w:start w:val="3"/>
    </w:lvl>
  </w:abstractNum>
  <w:abstractNum w:abstractNumId="7">
    <w:nsid w:val="579478FE"/>
    <w:multiLevelType w:val="hybridMultilevel"/>
    <w:lvl w:ilvl="0">
      <w:lvlJc w:val="left"/>
      <w:lvlText w:val="(%1)"/>
      <w:numFmt w:val="decimal"/>
      <w:start w:val="1"/>
    </w:lvl>
  </w:abstractNum>
  <w:abstractNum w:abstractNumId="8">
    <w:nsid w:val="749ABB43"/>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9">
    <w:nsid w:val="3DC240FB"/>
    <w:multiLevelType w:val="hybridMultilevel"/>
    <w:lvl w:ilvl="0">
      <w:lvlJc w:val="left"/>
      <w:lvlText w:val="(%1)"/>
      <w:numFmt w:val="decimal"/>
      <w:start w:val="3"/>
    </w:lvl>
  </w:abstractNum>
  <w:abstractNum w:abstractNumId="10">
    <w:nsid w:val="1BA026FA"/>
    <w:multiLevelType w:val="hybridMultilevel"/>
    <w:lvl w:ilvl="0">
      <w:lvlJc w:val="left"/>
      <w:lvlText w:val="(%1)"/>
      <w:numFmt w:val="upperLetter"/>
      <w:start w:val="6"/>
    </w:lvl>
  </w:abstractNum>
  <w:abstractNum w:abstractNumId="11">
    <w:nsid w:val="79A1DEAA"/>
    <w:multiLevelType w:val="hybridMultilevel"/>
    <w:lvl w:ilvl="0">
      <w:lvlJc w:val="left"/>
      <w:lvlText w:val="(%1)"/>
      <w:numFmt w:val="upperLetter"/>
      <w:start w:val="6"/>
    </w:lvl>
    <w:lvl w:ilvl="1">
      <w:lvlJc w:val="left"/>
      <w:lvlText w:val="(%2)"/>
      <w:numFmt w:val="decimal"/>
      <w:start w:val="1"/>
    </w:lvl>
    <w:lvl w:ilvl="2">
      <w:lvlJc w:val="left"/>
      <w:lvlText w:val="(%3)"/>
      <w:numFmt w:val="lowerLetter"/>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1)"/>
      <w:numFmt w:val="upperLetter"/>
      <w:start w:val="7"/>
    </w:lvl>
  </w:abstractNum>
  <w:abstractNum w:abstractNumId="14">
    <w:nsid w:val="70C6A529"/>
    <w:multiLevelType w:val="hybridMultilevel"/>
    <w:lvl w:ilvl="0">
      <w:lvlJc w:val="left"/>
      <w:lvlText w:val="(%1)"/>
      <w:numFmt w:val="upperLetter"/>
      <w:start w:val="9"/>
    </w:lvl>
  </w:abstractNum>
  <w:abstractNum w:abstractNumId="15">
    <w:nsid w:val="520EEDD1"/>
    <w:multiLevelType w:val="hybridMultilevel"/>
    <w:lvl w:ilvl="0">
      <w:lvlJc w:val="left"/>
      <w:lvlText w:val="%1."/>
      <w:numFmt w:val="upperLetter"/>
      <w:start w:val="1"/>
    </w:lvl>
    <w:lvl w:ilvl="1">
      <w:lvlJc w:val="left"/>
      <w:lvlText w:val="(%2)"/>
      <w:numFmt w:val="decimal"/>
      <w:start w:val="1"/>
    </w:lvl>
  </w:abstractNum>
  <w:abstractNum w:abstractNumId="16">
    <w:nsid w:val="374A3FE6"/>
    <w:multiLevelType w:val="hybridMultilevel"/>
    <w:lvl w:ilvl="0">
      <w:lvlJc w:val="left"/>
      <w:lvlText w:val="(%1)"/>
      <w:numFmt w:val="decimal"/>
      <w:start w:val="2"/>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1."/>
      <w:numFmt w:val="upperLetter"/>
      <w:start w:val="2"/>
    </w:lvl>
    <w:lvl w:ilvl="1">
      <w:lvlJc w:val="left"/>
      <w:lvlText w:val="(%2)"/>
      <w:numFmt w:val="decimal"/>
      <w:start w:val="1"/>
    </w:lvl>
  </w:abstractNum>
  <w:abstractNum w:abstractNumId="19">
    <w:nsid w:val="649BB77C"/>
    <w:multiLevelType w:val="hybridMultilevel"/>
    <w:lvl w:ilvl="0">
      <w:lvlJc w:val="left"/>
      <w:lvlText w:val="%1."/>
      <w:numFmt w:val="upperLetter"/>
      <w:start w:val="4"/>
    </w:lvl>
  </w:abstractNum>
  <w:abstractNum w:abstractNumId="20">
    <w:nsid w:val="275AC794"/>
    <w:multiLevelType w:val="hybridMultilevel"/>
    <w:lvl w:ilvl="0">
      <w:lvlJc w:val="left"/>
      <w:lvlText w:val="(%1)"/>
      <w:numFmt w:val="lowerLetter"/>
      <w:start w:val="1"/>
    </w:lvl>
    <w:lvl w:ilvl="1">
      <w:lvlJc w:val="left"/>
      <w:lvlText w:val="(%2)"/>
      <w:numFmt w:val="decimal"/>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1)"/>
      <w:numFmt w:val="decimal"/>
      <w:start w:val="2"/>
    </w:lvl>
  </w:abstractNum>
  <w:abstractNum w:abstractNumId="23">
    <w:nsid w:val="180115BE"/>
    <w:multiLevelType w:val="hybridMultilevel"/>
    <w:lvl w:ilvl="0">
      <w:lvlJc w:val="left"/>
      <w:lvlText w:val="(%1)"/>
      <w:numFmt w:val="decimal"/>
      <w:start w:val="3"/>
    </w:lvl>
    <w:lvl w:ilvl="1">
      <w:lvlJc w:val="left"/>
      <w:lvlText w:val="(%2)"/>
      <w:numFmt w:val="lowerLetter"/>
      <w:start w:val="1"/>
    </w:lvl>
  </w:abstractNum>
  <w:abstractNum w:abstractNumId="24">
    <w:nsid w:val="235BA861"/>
    <w:multiLevelType w:val="hybridMultilevel"/>
    <w:lvl w:ilvl="0">
      <w:lvlJc w:val="left"/>
      <w:lvlText w:val="(%1)"/>
      <w:numFmt w:val="lowerLetter"/>
      <w:start w:val="2"/>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1)"/>
      <w:numFmt w:val="lowerLetter"/>
      <w:start w:val="4"/>
    </w:lvl>
  </w:abstractNum>
  <w:abstractNum w:abstractNumId="27">
    <w:nsid w:val="15B5AF5C"/>
    <w:multiLevelType w:val="hybridMultilevel"/>
    <w:lvl w:ilvl="0">
      <w:lvlJc w:val="left"/>
      <w:lvlText w:val="(%1)"/>
      <w:numFmt w:val="lowerLetter"/>
      <w:start w:val="1"/>
    </w:lvl>
  </w:abstractNum>
  <w:abstractNum w:abstractNumId="28">
    <w:nsid w:val="741226BB"/>
    <w:multiLevelType w:val="hybridMultilevel"/>
    <w:lvl w:ilvl="0">
      <w:lvlJc w:val="left"/>
      <w:lvlText w:val="(%1)"/>
      <w:numFmt w:val="lowerLetter"/>
      <w:start w:val="6"/>
    </w:lvl>
    <w:lvl w:ilvl="1">
      <w:lvlJc w:val="left"/>
      <w:lvlText w:val="(%2)"/>
      <w:numFmt w:val="decimal"/>
      <w:start w:val="1"/>
    </w:lvl>
  </w:abstractNum>
  <w:abstractNum w:abstractNumId="29">
    <w:nsid w:val="D34B6A8"/>
    <w:multiLevelType w:val="hybridMultilevel"/>
    <w:lvl w:ilvl="0">
      <w:lvlJc w:val="left"/>
      <w:lvlText w:val="(%1)"/>
      <w:numFmt w:val="lowerLetter"/>
      <w:start w:val="7"/>
    </w:lvl>
    <w:lvl w:ilvl="1">
      <w:lvlJc w:val="left"/>
      <w:lvlText w:val="(%2)"/>
      <w:numFmt w:val="upperLetter"/>
      <w:start w:val="4"/>
    </w:lvl>
  </w:abstractNum>
  <w:abstractNum w:abstractNumId="30">
    <w:nsid w:val="10233C99"/>
    <w:multiLevelType w:val="hybridMultilevel"/>
    <w:lvl w:ilvl="0">
      <w:lvlJc w:val="left"/>
      <w:lvlText w:val="%1"/>
      <w:numFmt w:val="lowerLetter"/>
      <w:start w:val="1"/>
    </w:lvl>
    <w:lvl w:ilvl="1">
      <w:lvlJc w:val="left"/>
      <w:lvlText w:val="(%2)."/>
      <w:numFmt w:val="upperLetter"/>
      <w:start w:val="9"/>
    </w:lvl>
  </w:abstractNum>
  <w:abstractNum w:abstractNumId="31">
    <w:nsid w:val="3F6AB60F"/>
    <w:multiLevelType w:val="hybridMultilevel"/>
    <w:lvl w:ilvl="0">
      <w:lvlJc w:val="left"/>
      <w:lvlText w:val="(%1)"/>
      <w:numFmt w:val="lowerLetter"/>
      <w:start w:val="9"/>
    </w:lvl>
    <w:lvl w:ilvl="1">
      <w:lvlJc w:val="left"/>
      <w:lvlText w:val="%2"/>
      <w:numFmt w:val="upperLetter"/>
      <w:start w:val="1"/>
    </w:lvl>
  </w:abstractNum>
  <w:abstractNum w:abstractNumId="32">
    <w:nsid w:val="61574095"/>
    <w:multiLevelType w:val="hybridMultilevel"/>
    <w:lvl w:ilvl="0">
      <w:lvlJc w:val="left"/>
      <w:lvlText w:val="(%1)"/>
      <w:numFmt w:val="decimal"/>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1"/>
      <w:numFmt w:val="lowerLetter"/>
      <w:start w:val="1"/>
    </w:lvl>
    <w:lvl w:ilvl="1">
      <w:lvlJc w:val="left"/>
      <w:lvlText w:val="(%2)"/>
      <w:numFmt w:val="decimal"/>
      <w:start w:val="2"/>
    </w:lvl>
  </w:abstractNum>
  <w:abstractNum w:abstractNumId="35">
    <w:nsid w:val="579BE4F1"/>
    <w:multiLevelType w:val="hybridMultilevel"/>
    <w:lvl w:ilvl="0">
      <w:lvlJc w:val="left"/>
      <w:lvlText w:val="(%1)"/>
      <w:numFmt w:val="lowerLetter"/>
      <w:start w:val="11"/>
    </w:lvl>
    <w:lvl w:ilvl="1">
      <w:lvlJc w:val="left"/>
      <w:lvlText w:val="%2"/>
      <w:numFmt w:val="decimal"/>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1)"/>
      <w:numFmt w:val="lowerLetter"/>
      <w:start w:val="1"/>
    </w:lvl>
  </w:abstractNum>
  <w:abstractNum w:abstractNumId="38">
    <w:nsid w:val="2F305DEF"/>
    <w:multiLevelType w:val="hybridMultilevel"/>
    <w:lvl w:ilvl="0">
      <w:lvlJc w:val="left"/>
      <w:lvlText w:val="(%1)"/>
      <w:numFmt w:val="lowerLetter"/>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1)"/>
      <w:numFmt w:val="lowerLetter"/>
      <w:start w:val="3"/>
    </w:lvl>
  </w:abstractNum>
  <w:abstractNum w:abstractNumId="41">
    <w:nsid w:val="4AD084E9"/>
    <w:multiLevelType w:val="hybridMultilevel"/>
    <w:lvl w:ilvl="0">
      <w:lvlJc w:val="left"/>
      <w:lvlText w:val="(%1)"/>
      <w:numFmt w:val="lowerLetter"/>
      <w:start w:val="5"/>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1)"/>
      <w:numFmt w:val="lowerLetter"/>
      <w:start w:val="1"/>
    </w:lvl>
  </w:abstractNum>
  <w:abstractNum w:abstractNumId="44">
    <w:nsid w:val="5DB70AE5"/>
    <w:multiLevelType w:val="hybridMultilevel"/>
    <w:lvl w:ilvl="0">
      <w:lvlJc w:val="left"/>
      <w:lvlText w:val="(%1)"/>
      <w:numFmt w:val="lowerLetter"/>
      <w:start w:val="1"/>
    </w:lvl>
  </w:abstractNum>
  <w:abstractNum w:abstractNumId="45">
    <w:nsid w:val="100F8FCA"/>
    <w:multiLevelType w:val="hybridMultilevel"/>
    <w:lvl w:ilvl="0">
      <w:lvlJc w:val="left"/>
      <w:lvlText w:val="(%1)"/>
      <w:numFmt w:val="lowerLetter"/>
      <w:start w:val="2"/>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1)"/>
      <w:numFmt w:val="lowerLetter"/>
      <w:start w:val="1"/>
    </w:lvl>
  </w:abstractNum>
  <w:abstractNum w:abstractNumId="48">
    <w:nsid w:val="5F5E7FD0"/>
    <w:multiLevelType w:val="hybridMultilevel"/>
    <w:lvl w:ilvl="0">
      <w:lvlJc w:val="left"/>
      <w:lvlText w:val="(%1)"/>
      <w:numFmt w:val="lowerLetter"/>
      <w:start w:val="3"/>
    </w:lvl>
  </w:abstractNum>
  <w:abstractNum w:abstractNumId="49">
    <w:nsid w:val="98A3148"/>
    <w:multiLevelType w:val="hybridMultilevel"/>
    <w:lvl w:ilvl="0">
      <w:lvlJc w:val="left"/>
      <w:lvlText w:val="(%1)"/>
      <w:numFmt w:val="lowerLetter"/>
      <w:start w:val="1"/>
    </w:lvl>
  </w:abstractNum>
  <w:abstractNum w:abstractNumId="50">
    <w:nsid w:val="799D0247"/>
    <w:multiLevelType w:val="hybridMultilevel"/>
    <w:lvl w:ilvl="0">
      <w:lvlJc w:val="left"/>
      <w:lvlText w:val="©"/>
      <w:numFmt w:val="bullet"/>
      <w:start w:val="1"/>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1."/>
      <w:numFmt w:val="decimal"/>
      <w:start w:val="1"/>
    </w:lvl>
  </w:abstractNum>
  <w:abstractNum w:abstractNumId="53">
    <w:nsid w:val="168E121F"/>
    <w:multiLevelType w:val="hybridMultilevel"/>
    <w:lvl w:ilvl="0">
      <w:lvlJc w:val="left"/>
      <w:lvlText w:val="%1."/>
      <w:numFmt w:val="decimal"/>
      <w:start w:val="2"/>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1."/>
      <w:numFmt w:val="decimal"/>
      <w:start w:val="1"/>
    </w:lvl>
  </w:abstractNum>
  <w:abstractNum w:abstractNumId="56">
    <w:nsid w:val="5DC79EA8"/>
    <w:multiLevelType w:val="hybridMultilevel"/>
    <w:lvl w:ilvl="0">
      <w:lvlJc w:val="left"/>
      <w:lvlText w:val="%1"/>
      <w:numFmt w:val="decimal"/>
      <w:start w:val="1"/>
    </w:lvl>
    <w:lvl w:ilvl="1">
      <w:lvlJc w:val="left"/>
      <w:lvlText w:val="(%2)"/>
      <w:numFmt w:val="upperLetter"/>
      <w:start w:val="1"/>
    </w:lvl>
  </w:abstractNum>
  <w:abstractNum w:abstractNumId="57">
    <w:nsid w:val="540A471C"/>
    <w:multiLevelType w:val="hybridMultilevel"/>
    <w:lvl w:ilvl="0">
      <w:lvlJc w:val="left"/>
      <w:lvlText w:val="%1."/>
      <w:numFmt w:val="decimal"/>
      <w:start w:val="2"/>
    </w:lvl>
    <w:lvl w:ilvl="1">
      <w:lvlJc w:val="left"/>
      <w:lvlText w:val="%2"/>
      <w:numFmt w:val="upperLetter"/>
      <w:start w:val="1"/>
    </w:lvl>
  </w:abstractNum>
  <w:abstractNum w:abstractNumId="58">
    <w:nsid w:val="7BD3EE7B"/>
    <w:multiLevelType w:val="hybridMultilevel"/>
    <w:lvl w:ilvl="0">
      <w:lvlJc w:val="left"/>
      <w:lvlText w:val="%1."/>
      <w:numFmt w:val="decimal"/>
      <w:start w:val="3"/>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1."/>
      <w:numFmt w:val="decimal"/>
      <w:start w:val="1"/>
    </w:lvl>
    <w:lvl w:ilvl="1">
      <w:lvlJc w:val="left"/>
      <w:lvlText w:val="(%2)"/>
      <w:numFmt w:val="lowerLetter"/>
      <w:start w:val="6"/>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1."/>
      <w:numFmt w:val="decimal"/>
      <w:start w:val="1"/>
    </w:lvl>
    <w:lvl w:ilvl="1">
      <w:lvlJc w:val="left"/>
      <w:lvlText w:val="(%2)"/>
      <w:numFmt w:val="lowerLetter"/>
      <w:start w:val="14"/>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1."/>
      <w:numFmt w:val="decimal"/>
      <w:start w:val="1"/>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7">
    <w:nsid w:val="3B0FD379"/>
    <w:multiLevelType w:val="hybridMultilevel"/>
    <w:lvl w:ilvl="0">
      <w:lvlJc w:val="left"/>
      <w:lvlText w:val="(%1)"/>
      <w:numFmt w:val="lowerRoman"/>
      <w:start w:val="3"/>
    </w:lvl>
  </w:abstractNum>
  <w:abstractNum w:abstractNumId="68">
    <w:nsid w:val="68EB2F63"/>
    <w:multiLevelType w:val="hybridMultilevel"/>
    <w:lvl w:ilvl="0">
      <w:lvlJc w:val="left"/>
      <w:lvlText w:val="%1."/>
      <w:numFmt w:val="decimal"/>
      <w:start w:val="2"/>
    </w:lvl>
  </w:abstractNum>
  <w:abstractNum w:abstractNumId="69">
    <w:nsid w:val="4962813B"/>
    <w:multiLevelType w:val="hybridMultilevel"/>
    <w:lvl w:ilvl="0">
      <w:lvlJc w:val="left"/>
      <w:lvlText w:val="%1."/>
      <w:numFmt w:val="decimal"/>
      <w:start w:val="1"/>
    </w:lvl>
  </w:abstractNum>
  <w:abstractNum w:abstractNumId="70">
    <w:nsid w:val="60B6DF70"/>
    <w:multiLevelType w:val="hybridMultilevel"/>
    <w:lvl w:ilvl="0">
      <w:lvlJc w:val="left"/>
      <w:lvlText w:val="%1."/>
      <w:numFmt w:val="decimal"/>
      <w:start w:val="1"/>
    </w:lvl>
  </w:abstractNum>
  <w:abstractNum w:abstractNumId="71">
    <w:nsid w:val="6A5EE64"/>
    <w:multiLevelType w:val="hybridMultilevel"/>
    <w:lvl w:ilvl="0">
      <w:lvlJc w:val="left"/>
      <w:lvlText w:val="(%1)"/>
      <w:numFmt w:val="upperLetter"/>
      <w:start w:val="1"/>
    </w:lvl>
  </w:abstractNum>
  <w:abstractNum w:abstractNumId="72">
    <w:nsid w:val="14330624"/>
    <w:multiLevelType w:val="hybridMultilevel"/>
    <w:lvl w:ilvl="0">
      <w:lvlJc w:val="left"/>
      <w:lvlText w:val="(%1)"/>
      <w:numFmt w:val="lowerLetter"/>
      <w:start w:val="1"/>
    </w:lvl>
  </w:abstractNum>
  <w:abstractNum w:abstractNumId="73">
    <w:nsid w:val="7FFFCA11"/>
    <w:multiLevelType w:val="hybridMultilevel"/>
    <w:lvl w:ilvl="0">
      <w:lvlJc w:val="left"/>
      <w:lvlText w:val="%1."/>
      <w:numFmt w:val="decimal"/>
      <w:start w:val="2"/>
    </w:lvl>
  </w:abstractNum>
  <w:abstractNum w:abstractNumId="74">
    <w:nsid w:val="1A27709E"/>
    <w:multiLevelType w:val="hybridMultilevel"/>
    <w:lvl w:ilvl="0">
      <w:lvlJc w:val="left"/>
      <w:lvlText w:val="%1."/>
      <w:numFmt w:val="decimal"/>
      <w:start w:val="1"/>
    </w:lvl>
  </w:abstractNum>
  <w:abstractNum w:abstractNumId="75">
    <w:nsid w:val="71EA1109"/>
    <w:multiLevelType w:val="hybridMultilevel"/>
    <w:lvl w:ilvl="0">
      <w:lvlJc w:val="left"/>
      <w:lvlText w:val="%1."/>
      <w:numFmt w:val="decimal"/>
      <w:start w:val="3"/>
    </w:lvl>
  </w:abstractNum>
  <w:abstractNum w:abstractNumId="76">
    <w:nsid w:val="100F59DC"/>
    <w:multiLevelType w:val="hybridMultilevel"/>
    <w:lvl w:ilvl="0">
      <w:lvlJc w:val="left"/>
      <w:lvlText w:val="(%1)"/>
      <w:numFmt w:val="decimal"/>
      <w:start w:val="1"/>
    </w:lvl>
  </w:abstractNum>
  <w:abstractNum w:abstractNumId="77">
    <w:nsid w:val="7FB7E0AA"/>
    <w:multiLevelType w:val="hybridMultilevel"/>
    <w:lvl w:ilvl="0">
      <w:lvlJc w:val="left"/>
      <w:lvlText w:val="(%1)"/>
      <w:numFmt w:val="decimal"/>
      <w:start w:val="1"/>
    </w:lvl>
  </w:abstractNum>
  <w:abstractNum w:abstractNumId="78">
    <w:nsid w:val="6EB5BD4"/>
    <w:multiLevelType w:val="hybridMultilevel"/>
    <w:lvl w:ilvl="0">
      <w:lvlJc w:val="left"/>
      <w:lvlText w:val="(%1)"/>
      <w:numFmt w:val="decimal"/>
      <w:start w:val="1"/>
    </w:lvl>
    <w:lvl w:ilvl="1">
      <w:lvlJc w:val="left"/>
      <w:lvlText w:val="(%2)"/>
      <w:numFmt w:val="lowerRoman"/>
      <w:start w:val="1"/>
    </w:lvl>
  </w:abstractNum>
  <w:abstractNum w:abstractNumId="79">
    <w:nsid w:val="6F6DD9AC"/>
    <w:multiLevelType w:val="hybridMultilevel"/>
    <w:lvl w:ilvl="0">
      <w:lvlJc w:val="left"/>
      <w:lvlText w:val="(%1)"/>
      <w:numFmt w:val="decimal"/>
      <w:start w:val="1"/>
    </w:lvl>
  </w:abstractNum>
  <w:abstractNum w:abstractNumId="80">
    <w:nsid w:val="94211F2"/>
    <w:multiLevelType w:val="hybridMultilevel"/>
    <w:lvl w:ilvl="0">
      <w:lvlJc w:val="left"/>
      <w:lvlText w:val="(%1)"/>
      <w:numFmt w:val="decimal"/>
      <w:start w:val="1"/>
    </w:lvl>
  </w:abstractNum>
  <w:abstractNum w:abstractNumId="81">
    <w:nsid w:val="885E1B"/>
    <w:multiLevelType w:val="hybridMultilevel"/>
    <w:lvl w:ilvl="0">
      <w:lvlJc w:val="left"/>
      <w:lvlText w:val="(%1)"/>
      <w:numFmt w:val="decimal"/>
      <w:start w:val="1"/>
    </w:lvl>
    <w:lvl w:ilvl="1">
      <w:lvlJc w:val="left"/>
      <w:lvlText w:val="(%2)"/>
      <w:numFmt w:val="lowerRoman"/>
      <w:start w:val="1"/>
    </w:lvl>
  </w:abstractNum>
  <w:abstractNum w:abstractNumId="82">
    <w:nsid w:val="76272110"/>
    <w:multiLevelType w:val="hybridMultilevel"/>
    <w:lvl w:ilvl="0">
      <w:lvlJc w:val="left"/>
      <w:lvlText w:val="(%1)"/>
      <w:numFmt w:val="decimal"/>
      <w:start w:val="2"/>
    </w:lvl>
    <w:lvl w:ilvl="1">
      <w:lvlJc w:val="left"/>
      <w:lvlText w:val="(%2)"/>
      <w:numFmt w:val="lowerRoman"/>
      <w:start w:val="1"/>
    </w:lvl>
  </w:abstractNum>
  <w:abstractNum w:abstractNumId="83">
    <w:nsid w:val="4C04A8AF"/>
    <w:multiLevelType w:val="hybridMultilevel"/>
    <w:lvl w:ilvl="0">
      <w:lvlJc w:val="left"/>
      <w:lvlText w:val="(%1)"/>
      <w:numFmt w:val="decimal"/>
      <w:start w:val="3"/>
    </w:lvl>
  </w:abstractNum>
  <w:abstractNum w:abstractNumId="84">
    <w:nsid w:val="1716703B"/>
    <w:multiLevelType w:val="hybridMultilevel"/>
    <w:lvl w:ilvl="0">
      <w:lvlJc w:val="left"/>
      <w:lvlText w:val="(%1)"/>
      <w:numFmt w:val="decimal"/>
      <w:start w:val="1"/>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1)"/>
      <w:numFmt w:val="decimal"/>
      <w:start w:val="1"/>
    </w:lvl>
  </w:abstractNum>
  <w:abstractNum w:abstractNumId="87">
    <w:nsid w:val="74DE0EE3"/>
    <w:multiLevelType w:val="hybridMultilevel"/>
    <w:lvl w:ilvl="0">
      <w:lvlJc w:val="left"/>
      <w:lvlText w:val="(%1)"/>
      <w:numFmt w:val="decimal"/>
      <w:start w:val="1"/>
    </w:lvl>
  </w:abstractNum>
  <w:abstractNum w:abstractNumId="88">
    <w:nsid w:val="68EBC550"/>
    <w:multiLevelType w:val="hybridMultilevel"/>
    <w:lvl w:ilvl="0">
      <w:lvlJc w:val="left"/>
      <w:lvlText w:val="%1"/>
      <w:numFmt w:val="decimal"/>
      <w:start w:val="1"/>
    </w:lvl>
    <w:lvl w:ilvl="1">
      <w:lvlJc w:val="left"/>
      <w:lvlText w:val="(%2)"/>
      <w:numFmt w:val="decimal"/>
      <w:start w:val="1"/>
    </w:lvl>
  </w:abstractNum>
  <w:abstractNum w:abstractNumId="89">
    <w:nsid w:val="2DF6D648"/>
    <w:multiLevelType w:val="hybridMultilevel"/>
    <w:lvl w:ilvl="0">
      <w:lvlJc w:val="left"/>
      <w:lvlText w:val="%1."/>
      <w:numFmt w:val="decimal"/>
      <w:start w:val="4"/>
    </w:lvl>
    <w:lvl w:ilvl="1">
      <w:lvlJc w:val="left"/>
      <w:lvlText w:val="%2"/>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2019-12-08T13:35:57Z</dcterms:created>
  <dcterms:modified xsi:type="dcterms:W3CDTF">2019-12-08T13:35:57Z</dcterms:modified>
</cp:coreProperties>
</file>