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05,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200"/>
        <w:spacing w:after="0"/>
        <w:rPr>
          <w:sz w:val="20"/>
          <w:szCs w:val="20"/>
          <w:color w:val="auto"/>
        </w:rPr>
      </w:pPr>
      <w:r>
        <w:rPr>
          <w:rFonts w:ascii="Arial" w:cs="Arial" w:eastAsia="Arial" w:hAnsi="Arial"/>
          <w:sz w:val="22"/>
          <w:szCs w:val="22"/>
          <w:color w:val="auto"/>
        </w:rPr>
        <w:t>On August 5, 2014, PennantPark Investment Corporation issued a press release announcing financial results for the third fiscal quarter ended June 30, 2014.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80"/>
        <w:spacing w:after="0" w:line="274"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report on Form 8-K.</w:t>
      </w:r>
    </w:p>
    <w:p>
      <w:pPr>
        <w:sectPr>
          <w:pgSz w:w="11900" w:h="16838" w:orient="portrait"/>
          <w:cols w:equalWidth="0" w:num="1">
            <w:col w:w="11200"/>
          </w:cols>
          <w:pgMar w:left="320" w:top="828" w:right="379" w:bottom="0" w:gutter="0" w:footer="0" w:header="0"/>
        </w:sectPr>
      </w:pPr>
    </w:p>
    <w:bookmarkStart w:id="1" w:name="page2"/>
    <w:bookmarkEnd w:id="1"/>
    <w:p>
      <w:pPr>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August 05,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40" w:type="dxa"/>
            <w:vAlign w:val="bottom"/>
          </w:tcPr>
          <w:p>
            <w:pPr>
              <w:spacing w:after="0"/>
              <w:rPr>
                <w:sz w:val="20"/>
                <w:szCs w:val="20"/>
                <w:color w:val="auto"/>
              </w:rPr>
            </w:pPr>
            <w:r>
              <w:rPr>
                <w:rFonts w:ascii="Arial" w:cs="Arial" w:eastAsia="Arial" w:hAnsi="Arial"/>
                <w:sz w:val="22"/>
                <w:szCs w:val="22"/>
                <w:color w:val="auto"/>
              </w:rPr>
              <w:t>Dated: August 05, 2014</w:t>
            </w:r>
          </w:p>
        </w:tc>
        <w:tc>
          <w:tcPr>
            <w:tcW w:w="6600" w:type="dxa"/>
            <w:vAlign w:val="bottom"/>
            <w:gridSpan w:val="3"/>
          </w:tcPr>
          <w:p>
            <w:pPr>
              <w:ind w:left="178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40" w:type="dxa"/>
            <w:vAlign w:val="bottom"/>
          </w:tcPr>
          <w:p>
            <w:pPr>
              <w:spacing w:after="0"/>
              <w:rPr>
                <w:sz w:val="24"/>
                <w:szCs w:val="24"/>
                <w:color w:val="auto"/>
              </w:rPr>
            </w:pPr>
          </w:p>
        </w:tc>
        <w:tc>
          <w:tcPr>
            <w:tcW w:w="6600" w:type="dxa"/>
            <w:vAlign w:val="bottom"/>
            <w:gridSpan w:val="3"/>
          </w:tcPr>
          <w:p>
            <w:pPr>
              <w:ind w:left="1780"/>
              <w:spacing w:after="0"/>
              <w:rPr>
                <w:sz w:val="20"/>
                <w:szCs w:val="20"/>
                <w:color w:val="auto"/>
              </w:rPr>
            </w:pPr>
            <w:r>
              <w:rPr>
                <w:rFonts w:ascii="Arial" w:cs="Arial" w:eastAsia="Arial" w:hAnsi="Arial"/>
                <w:sz w:val="22"/>
                <w:szCs w:val="22"/>
                <w:color w:val="auto"/>
              </w:rPr>
              <w:t>By: /s/ Aviv Efrat</w:t>
            </w:r>
          </w:p>
        </w:tc>
      </w:tr>
      <w:tr>
        <w:trPr>
          <w:trHeight w:val="20"/>
        </w:trPr>
        <w:tc>
          <w:tcPr>
            <w:tcW w:w="3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40" w:type="dxa"/>
            <w:vAlign w:val="bottom"/>
          </w:tcPr>
          <w:p>
            <w:pPr>
              <w:spacing w:after="0"/>
              <w:rPr>
                <w:sz w:val="21"/>
                <w:szCs w:val="21"/>
                <w:color w:val="auto"/>
              </w:rPr>
            </w:pPr>
          </w:p>
        </w:tc>
        <w:tc>
          <w:tcPr>
            <w:tcW w:w="6600" w:type="dxa"/>
            <w:vAlign w:val="bottom"/>
            <w:gridSpan w:val="3"/>
          </w:tcPr>
          <w:p>
            <w:pPr>
              <w:ind w:left="20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40" w:type="dxa"/>
            <w:vAlign w:val="bottom"/>
          </w:tcPr>
          <w:p>
            <w:pPr>
              <w:spacing w:after="0"/>
              <w:rPr>
                <w:sz w:val="23"/>
                <w:szCs w:val="23"/>
                <w:color w:val="auto"/>
              </w:rPr>
            </w:pPr>
          </w:p>
        </w:tc>
        <w:tc>
          <w:tcPr>
            <w:tcW w:w="6600" w:type="dxa"/>
            <w:vAlign w:val="bottom"/>
            <w:gridSpan w:val="3"/>
          </w:tcPr>
          <w:p>
            <w:pPr>
              <w:ind w:left="204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August 05,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8" w:right="559" w:bottom="1440" w:gutter="0" w:footer="0" w:header="0"/>
        </w:sectPr>
      </w:pPr>
    </w:p>
    <w:bookmarkStart w:id="2" w:name="page3"/>
    <w:bookmarkEnd w:id="2"/>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June 30, 2014</w:t>
      </w:r>
    </w:p>
    <w:p>
      <w:pPr>
        <w:spacing w:after="0" w:line="213"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NEW YORK, NY -- (Marketwired - August 05, 2014) - PennantPark Investment Corporation (NASDAQ: PNNT) announced today financial results for the third fiscal quarter ended June 30, 2014.</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HIGHLIGHTS</w:t>
      </w:r>
    </w:p>
    <w:p>
      <w:pPr>
        <w:spacing w:after="0" w:line="238" w:lineRule="auto"/>
        <w:rPr>
          <w:sz w:val="20"/>
          <w:szCs w:val="20"/>
          <w:color w:val="auto"/>
        </w:rPr>
      </w:pPr>
      <w:r>
        <w:rPr>
          <w:rFonts w:ascii="Arial" w:cs="Arial" w:eastAsia="Arial" w:hAnsi="Arial"/>
          <w:sz w:val="22"/>
          <w:szCs w:val="22"/>
          <w:color w:val="auto"/>
        </w:rPr>
        <w:t>Quarter ended June 30, 2014</w:t>
      </w:r>
    </w:p>
    <w:p>
      <w:pPr>
        <w:spacing w:after="0"/>
        <w:rPr>
          <w:sz w:val="20"/>
          <w:szCs w:val="20"/>
          <w:color w:val="auto"/>
        </w:rPr>
      </w:pPr>
      <w:r>
        <w:rPr>
          <w:rFonts w:ascii="Arial" w:cs="Arial" w:eastAsia="Arial" w:hAnsi="Arial"/>
          <w:sz w:val="22"/>
          <w:szCs w:val="22"/>
          <w:color w:val="auto"/>
        </w:rPr>
        <w:t>($ in millions, except per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1,198.4</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754.5</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11.33</w:t>
            </w:r>
          </w:p>
        </w:tc>
      </w:tr>
      <w:tr>
        <w:trPr>
          <w:trHeight w:val="405"/>
        </w:trPr>
        <w:tc>
          <w:tcPr>
            <w:tcW w:w="6740" w:type="dxa"/>
            <w:vAlign w:val="bottom"/>
          </w:tcPr>
          <w:p>
            <w:pPr>
              <w:ind w:left="220"/>
              <w:spacing w:after="0"/>
              <w:rPr>
                <w:sz w:val="20"/>
                <w:szCs w:val="20"/>
                <w:color w:val="auto"/>
              </w:rPr>
            </w:pPr>
            <w:r>
              <w:rPr>
                <w:rFonts w:ascii="Courier New" w:cs="Courier New" w:eastAsia="Courier New" w:hAnsi="Courier New"/>
                <w:sz w:val="18"/>
                <w:szCs w:val="18"/>
                <w:color w:val="auto"/>
              </w:rPr>
              <w:t>Credit Facility (cost $255.9)</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257.2</w:t>
            </w:r>
          </w:p>
        </w:tc>
      </w:tr>
      <w:tr>
        <w:trPr>
          <w:trHeight w:val="202"/>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2025 Notes (cost $71.3)</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72.5</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SBA debentures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12.3%</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GAAP net investment income per share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0.20</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gain incentive fee accrued but not payable per share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amendment costs per share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0.06</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Core net investment income per share (1)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191.8</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273.6</w:t>
            </w:r>
          </w:p>
        </w:tc>
      </w:tr>
      <w:tr>
        <w:trPr>
          <w:trHeight w:val="405"/>
        </w:trPr>
        <w:tc>
          <w:tcPr>
            <w:tcW w:w="674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38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 at quarter-end</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w:t>
            </w: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firstLine="8"/>
        <w:spacing w:after="0" w:line="248" w:lineRule="auto"/>
        <w:tabs>
          <w:tab w:leader="none" w:pos="306" w:val="left"/>
        </w:tabs>
        <w:numPr>
          <w:ilvl w:val="0"/>
          <w:numId w:val="2"/>
        </w:numPr>
        <w:rPr>
          <w:rFonts w:ascii="Arial" w:cs="Arial" w:eastAsia="Arial" w:hAnsi="Arial"/>
          <w:sz w:val="21"/>
          <w:szCs w:val="21"/>
          <w:color w:val="auto"/>
        </w:rPr>
      </w:pPr>
      <w:r>
        <w:rPr>
          <w:rFonts w:ascii="Arial" w:cs="Arial" w:eastAsia="Arial" w:hAnsi="Arial"/>
          <w:sz w:val="21"/>
          <w:szCs w:val="21"/>
          <w:color w:val="auto"/>
        </w:rPr>
        <w:t>Core net investment income is a non-GAAP financial measure. The Company believes that core net investment income provides useful information to investors and management because it reflects the Company's financial performance excluding both the charges related to incentive fee on net unrealized gains accrued under GAAP but not payable unless such net unrealized gains are realized and the costs associated with amending and restating our multi-currency, senior secured revolving credit facility, or the Credit Facility. The presentation of this additional information is not meant to be considered in isolation or as a substitute for financial results prepared in accordance with GAAP.</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AUGUST 6, 2014</w:t>
      </w:r>
    </w:p>
    <w:p>
      <w:pPr>
        <w:spacing w:after="0" w:line="212"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PennantPark Investment Corporation ("we," "our," "us" or "Company") will host a conference call at 10:00 a.m. (Eastern Time) on Wednesday, August 6, 2014 to discuss its financial results. All interested parties are welcome to participate. You can access the conference call by dialing (888) 437-9366 approximately 5-10 minutes prior to the call. International callers should dial (719) 325-2173. All callers should reference PennantPark Investment Corporation. An archived replay of the call will be available through August 20, 2014 by calling (888) 203-1112. International callers please dial (719) 457-0820. For all phone replays, please reference conference ID #9385976.</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As of June 30, 2014, our portfolio totaled $1,198.4 million and consisted of $310.2 million of senior secured loans, $486.1 million of second lien secured debt, $282.4 million of subordinated debt and $119.7 million of preferred and common equity investments. Our debt portfolio consisted of 39% fixed-rate and 61% variable-rate investments (including 53% with a London Interbank Offered Rate, or LIBOR, or prime floor). Our overall portfolio consisted of 66 companies with an average investment size of $18.2 million, had a weighted average yield on debt investments of 12.3% and was invested 26% in senior secured loans, 40% in second lien secured debt, 24% in subordinated debt and 10% in preferred and common equity investments.</w:t>
      </w:r>
    </w:p>
    <w:p>
      <w:pPr>
        <w:spacing w:after="0" w:line="150"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As of September 30, 2013, our portfolio totaled $1,078.2 million and consisted of $299.5 million of senior secured loans, $357.5 million of second lien secured debt, $302.5 million of subordinated debt and $118.7 million of preferred and common equity investments. Our debt portfolio consisted of 52% fixed-rate and 48% variable-rate investments (including 44% with a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 investments.</w:t>
      </w:r>
    </w:p>
    <w:p>
      <w:pPr>
        <w:spacing w:after="0" w:line="150"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For the three months ended June 30, 2014, we invested $191.8 million in three new and nine existing portfolio companies with a weighted average yield on debt investments of 11.7%. Sales and repayments of investments for the three months ended June 30, 2014 totaled $273.6 million. For the nine months ended June 30, 2014, we invested $561.8 million in 16 new and 22 existing</w:t>
      </w:r>
    </w:p>
    <w:p>
      <w:pPr>
        <w:sectPr>
          <w:pgSz w:w="11900" w:h="16938" w:orient="portrait"/>
          <w:cols w:equalWidth="0" w:num="1">
            <w:col w:w="11220"/>
          </w:cols>
          <w:pgMar w:left="320" w:top="111" w:right="359" w:bottom="0" w:gutter="0" w:footer="0" w:header="0"/>
        </w:sectPr>
      </w:pPr>
    </w:p>
    <w:bookmarkStart w:id="3" w:name="page4"/>
    <w:bookmarkEnd w:id="3"/>
    <w:p>
      <w:pPr>
        <w:ind w:right="280"/>
        <w:spacing w:after="0" w:line="251" w:lineRule="auto"/>
        <w:rPr>
          <w:sz w:val="20"/>
          <w:szCs w:val="20"/>
          <w:color w:val="auto"/>
        </w:rPr>
      </w:pPr>
      <w:r>
        <w:rPr>
          <w:rFonts w:ascii="Arial" w:cs="Arial" w:eastAsia="Arial" w:hAnsi="Arial"/>
          <w:sz w:val="22"/>
          <w:szCs w:val="22"/>
          <w:color w:val="auto"/>
        </w:rPr>
        <w:t>portfolio companies with a weighted average yield on debt investments of 12.1%. Sales and repayments of investments for the nine months ended June 30, 2014 totaled $534.4 million.</w:t>
      </w:r>
    </w:p>
    <w:p>
      <w:pPr>
        <w:spacing w:after="0" w:line="173" w:lineRule="exact"/>
        <w:rPr>
          <w:sz w:val="20"/>
          <w:szCs w:val="20"/>
          <w:color w:val="auto"/>
        </w:rPr>
      </w:pPr>
    </w:p>
    <w:p>
      <w:pPr>
        <w:ind w:right="140"/>
        <w:spacing w:after="0" w:line="249" w:lineRule="auto"/>
        <w:rPr>
          <w:sz w:val="20"/>
          <w:szCs w:val="20"/>
          <w:color w:val="auto"/>
        </w:rPr>
      </w:pPr>
      <w:r>
        <w:rPr>
          <w:rFonts w:ascii="Arial" w:cs="Arial" w:eastAsia="Arial" w:hAnsi="Arial"/>
          <w:sz w:val="21"/>
          <w:szCs w:val="21"/>
          <w:color w:val="auto"/>
        </w:rPr>
        <w:t>For the three months ended June 30, 2013, we invested $73.3 million in two new and five existing portfolio companies with a weighted average yield on debt investments of 12.9%. Sales and repayments of investments for the three months ended June 30, 2013 totaled $117.8 million. For the nine months ended June 30, 2013, we invested $317.2 million in eight new and 19 existing portfolio companies with a weighted average yield on debt investments of 12.9%. Sales and repayments of investments for the nine months ended June 30, 2013 totaled $271.2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nine months ended June 30, 2014 and 2013.</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Investment income for the three and nine months ended June 30, 2014 was $35.5 million and $107.8 million, respectively, and was attributable to $9.8 million and $30.0 million from senior secured loans, $13.3 million and $39.9 million from second lien secured debt investments, $11.6 million and $35.7 million from subordinated debt investments, and $0.8 million and $2.2 million from equity investments, respectively. This compares to investment income for the three and nine months ended June 30, 2013, which was $33.7 million and $97.7 million, respectively, and was attributable to $11.6 million and $29.6 million from senior secured loans, $7.9 million and $22.9 million from second lien secured debt investments, $14.2 million and $43.9 million from subordinated debt investments, and zero and $1.3 million from equity investments, respectively. The increase in investment income compared with the same period in the prior year was primarily due to the growth of our portfolio.</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Expenses for the three and nine months ended June 30, 2014 totaled $22.3 million and $56.6 million, respectively. Base management fee for the same periods totaled $6.1 million and $17.9 million, incentive fees totaled $5.4 million and $14.9 million (including $1.6 million on net realized gains accrued but not payable), debt related interest and expenses totaled $8.9 million and $18.6 million (including $3.9 million of Credit Facility debt issuance costs) and general and administrative expenses totaled $1.9 million and $5.2 million, respectively.</w:t>
      </w:r>
    </w:p>
    <w:p>
      <w:pPr>
        <w:spacing w:after="0" w:line="187"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This compares to expenses for the three and nine months ended June 30, 2013, which totaled $16.1 million and $47.8 million, respectively. Base management fee for the same periods totaled $5.4 million and $15.9 million, incentive fees totaled $4.4 million and $12.5 million, debt related interest and expenses (including the $0.3 million and $2.7 million of debt issuance costs associated with our 2025 Notes, respectively) totaled $4.6 million and $14.0 million and general and administrative expenses and excise tax totaled $1.7 million and $5.4 million, respectively. The increase in expenses was primarily due to both growing our portfolio and expanding our borrowing capacity under our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Net investment income totaled $13.2 million and $51.2 million, or $0.20 and $0.77 per share, for the three and nine months ended June 30, 2014, respectively. Net investment income totaled $17.7 million and $49.9 million, or $0.27 and $0.76 per share, for the three and nine months ended June 30, 2013, respectively. The decrease in net investment income for the three months ended June 30, 2014 compared to the same period in the prior year was due to debt issuance costs that were not incurred in the comparable period. The increase in net investment income for the nine months ended June 30, 2014 was due to the growth of our portfolio offset by higher financing costs and debt issuance costs.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Sales and repayments of investments for the three and nine months ended June 30, 2014 totaled $273.6 million and $534.4 million, respectively, and realized gains totaled $23.3 million and $29.0 million, respectively. Sales and repayments of investments for the three and nine months ended June 30, 2013 totaled $117.8 million and $271.2 million, respectively, and realized gains totaled $15.7 million and $14.7 million, respectively. The increase in realized gains was driven by exits of portfolio companies.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and 2025 Notes</w:t>
      </w:r>
    </w:p>
    <w:p>
      <w:pPr>
        <w:spacing w:after="0" w:line="212"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For the three and nine months ended June 30, 2014, we reported net unrealized (depreciation) appreciation on investments of $(1.1) million and $37.4 million, respectively. For the three and nine months ended June 30, 2013, we reported a net unrealized (depreciation) appreciation on investments of $(20.0) million and $5.2 million, respectively. As of June 30, 2014 and September 30, 2013, our net unrealized appreciation (depreciation) on investments totaled $24.0 million and $(13.3) million, respectively. Net change in unrealized (depreciation) appreciation on investments was a result of the overall variation in the leveraged finance markets as well as the relevant unobservable inputs used in deriving our valuations.</w:t>
      </w:r>
    </w:p>
    <w:p>
      <w:pPr>
        <w:spacing w:after="0" w:line="150"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For the three and nine months ended June 30, 2014, we reported net unrealized (appreciation) on our Credit Facility and our 6.25% senior notes due in 2025, or the 2025 Notes, of $(3.4) million and $(5.4) million, respectively. For the three and nine months ended June 30, 2013, we reported a net unrealized depreciation (appreciation) on our Credit Facility and the 2025 Notes,</w:t>
      </w:r>
    </w:p>
    <w:p>
      <w:pPr>
        <w:sectPr>
          <w:pgSz w:w="11900" w:h="16838" w:orient="portrait"/>
          <w:cols w:equalWidth="0" w:num="1">
            <w:col w:w="11220"/>
          </w:cols>
          <w:pgMar w:left="320" w:top="118" w:right="359" w:bottom="0" w:gutter="0" w:footer="0" w:header="0"/>
        </w:sectPr>
      </w:pPr>
    </w:p>
    <w:bookmarkStart w:id="4" w:name="page5"/>
    <w:bookmarkEnd w:id="4"/>
    <w:p>
      <w:pPr>
        <w:ind w:right="40"/>
        <w:spacing w:after="0" w:line="251" w:lineRule="auto"/>
        <w:rPr>
          <w:sz w:val="20"/>
          <w:szCs w:val="20"/>
          <w:color w:val="auto"/>
        </w:rPr>
      </w:pPr>
      <w:r>
        <w:rPr>
          <w:rFonts w:ascii="Arial" w:cs="Arial" w:eastAsia="Arial" w:hAnsi="Arial"/>
          <w:sz w:val="22"/>
          <w:szCs w:val="22"/>
          <w:color w:val="auto"/>
        </w:rPr>
        <w:t>of $0.4 million and $(0.5) million, respectively. Net change in unrealized appreciation on the Credit Facility and 2025 Notes over the prior year was due to changes in the capital markets.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Net increase in net assets resulting from operations totaled $31.9 million and $112.1 million, or $0.48 and $1.68 per share, for the three and nine months ended June 30, 2014, respectively. This compares to a net increase in net assets resulting from operations of $13.8 million and $69.3 million, or $0.21 and $1.05 per share, for the three and nine months ended June 30, 2013, respectively. The increase compared to the prior year was due to realized gains, the continued growth of our portfolio and appreciation of our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and proceeds from the rotation of our portfolio and proceeds from public and private offerings of securities to finance our investment objectives.</w:t>
      </w:r>
    </w:p>
    <w:p>
      <w:pPr>
        <w:spacing w:after="0" w:line="187"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On June 25, 2014, we amended and restated our multi-currency Credit Facility to increase the amount available for borrowing from $445 million to $545 million, reduce the interest rate spread above LIBOR from 2.75% to 2.25%, reduce the undrawn commitment fee from 0.50% to 0.375% and extend the maturity date from February 21, 2016 to June 25, 2019. This multi-currency Credit Facility is with certain lenders and SunTrust Bank, acting as administrative agent, and JPMorgan Chase Bank, N.A., acting as syndication agent for the lenders.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21"/>
          <w:szCs w:val="21"/>
          <w:color w:val="auto"/>
        </w:rPr>
        <w:t>As of June 30, 2014 and September 30, 2013, there was $255.9 million and $145.5 million (including a temporary draw of $28.0 million), respectively, in outstanding borrowings under the Credit Facility, with a weighted average interest rate at the time of 2.52% and 3.33%, exclusive of the fee on undrawn commitments of 0.375% and 0.50%, respectively.</w:t>
      </w:r>
    </w:p>
    <w:p>
      <w:pPr>
        <w:spacing w:after="0" w:line="169"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As of June 30, 2014 and September 30, 2013, we had $71.3 million of 2025 Notes outstanding with a fixed interest rate of 6.25% per year.</w:t>
      </w:r>
    </w:p>
    <w:p>
      <w:pPr>
        <w:spacing w:after="0" w:line="175" w:lineRule="exact"/>
        <w:rPr>
          <w:sz w:val="20"/>
          <w:szCs w:val="20"/>
          <w:color w:val="auto"/>
        </w:rPr>
      </w:pPr>
    </w:p>
    <w:p>
      <w:pPr>
        <w:ind w:right="340"/>
        <w:spacing w:after="0" w:line="249" w:lineRule="auto"/>
        <w:rPr>
          <w:sz w:val="20"/>
          <w:szCs w:val="20"/>
          <w:color w:val="auto"/>
        </w:rPr>
      </w:pPr>
      <w:r>
        <w:rPr>
          <w:rFonts w:ascii="Arial" w:cs="Arial" w:eastAsia="Arial" w:hAnsi="Arial"/>
          <w:sz w:val="21"/>
          <w:szCs w:val="21"/>
          <w:color w:val="auto"/>
        </w:rPr>
        <w:t>As of June 30, 2014 and September 30, 2013, our consolidated subsidiaries, PennantPark SBIC LP and its general partner, PennantPark SBIC GP, LLC, and PennantPark SBIC II LP and its general partner, PennantPark SBIC GP II, LLC, had $225.0 million and $150.0 million in debt commitments, respectively, and $150.0 million was drawn for each period. The Small Business Administration, or SBA, debentures' upfront fees of 3.43% consist of a commitment fee of 1.00% and an issuance discount of 2.43%. Both fees will be amortized over the lives of the loans.</w:t>
      </w:r>
    </w:p>
    <w:p>
      <w:pPr>
        <w:spacing w:after="0" w:line="178"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Our annualized weighted average cost of debt for the nine months ended June 30, 2014 and 2013, inclusive of the fee on the undrawn commitment on the Credit Facility and amortized upfront fees on SBA debentures but excluding debt issuance costs, was 3.94% and 4.15%, respectively.</w:t>
      </w:r>
    </w:p>
    <w:p>
      <w:pPr>
        <w:spacing w:after="0" w:line="186"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Our operating activities used cash of $48.4 million for the nine months ended June 30, 2014, primarily for net purchases of investments. Our financing activities provided cash of $54.5 million for the same period, primarily from net borrowings under our Credit Facility.</w:t>
      </w:r>
    </w:p>
    <w:p>
      <w:pPr>
        <w:spacing w:after="0" w:line="186"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Our operating activities provided cash of $11.1 million for the nine months ended June 30, 2013, primarily from operating income. Our financing activities used cash of $2.4 million for the same period, primarily to repay certain amounts outstanding under our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160"/>
        <w:spacing w:after="0" w:line="275" w:lineRule="auto"/>
        <w:rPr>
          <w:sz w:val="20"/>
          <w:szCs w:val="20"/>
          <w:color w:val="auto"/>
        </w:rPr>
      </w:pPr>
      <w:r>
        <w:rPr>
          <w:rFonts w:ascii="Arial" w:cs="Arial" w:eastAsia="Arial" w:hAnsi="Arial"/>
          <w:sz w:val="19"/>
          <w:szCs w:val="19"/>
          <w:color w:val="auto"/>
        </w:rPr>
        <w:t>During the three and nine months ended June 30, 2014, we declared to stockholders distributions of $0.28 and $0.84 per share, respectively, for total distributions of $18.6 million and $55.9 million, respectively. For the same periods in the prior year, we declared distributions of $0.28 and $0.84 per share, respectively, for total distributions of $18.6 million and $55.8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Securities and Exchange Commission, or the SEC.</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pacing w:after="0" w:line="396"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332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ectPr>
          <w:pgSz w:w="11900" w:h="16838" w:orient="portrait"/>
          <w:cols w:equalWidth="0" w:num="1">
            <w:col w:w="11220"/>
          </w:cols>
          <w:pgMar w:left="320" w:top="118" w:right="35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w w:val="96"/>
              </w:rPr>
              <w:t>June 30, 2014   September 30, 2013</w:t>
            </w:r>
          </w:p>
        </w:tc>
      </w:tr>
      <w:tr>
        <w:trPr>
          <w:trHeight w:val="203"/>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(unaudited)</w:t>
            </w: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(cost--$1,028,125,032</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$928,078,589, respectively)</w:t>
            </w: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$ 1,089,476,729</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968,471,042</w:t>
            </w:r>
          </w:p>
        </w:tc>
      </w:tr>
      <w:tr>
        <w:trPr>
          <w:trHeight w:val="202"/>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(cost--$108,188,540 and</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$99,021,141, respectively)</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71,939,735</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76,735,800</w:t>
            </w: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affiliated investments</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(cost--$38,107,245 and $64,418,155,</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36,991,091</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32,968,711</w:t>
            </w:r>
          </w:p>
        </w:tc>
      </w:tr>
      <w:tr>
        <w:trPr>
          <w:trHeight w:val="203"/>
        </w:trPr>
        <w:tc>
          <w:tcPr>
            <w:tcW w:w="41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of investments (cost--</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$1,174,420,817 and $1,091,517,885,</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1,198,407,555</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1,078,175,553</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(cost--</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$64,349,609 and $58,440,829,</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64,390,787</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58,440,829</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14,000,558</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10,894,893</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financing costs and other</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13,375,704</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5,815,817</w:t>
            </w:r>
          </w:p>
        </w:tc>
      </w:tr>
      <w:tr>
        <w:trPr>
          <w:trHeight w:val="203"/>
        </w:trPr>
        <w:tc>
          <w:tcPr>
            <w:tcW w:w="41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1,290,174,604</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1,153,327,092</w:t>
            </w:r>
          </w:p>
        </w:tc>
      </w:tr>
      <w:tr>
        <w:trPr>
          <w:trHeight w:val="203"/>
        </w:trPr>
        <w:tc>
          <w:tcPr>
            <w:tcW w:w="41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18,639,330</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18,619,812</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52,544,704</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20,396,263</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7,241,667</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$255,898,700 and $145,500,000,</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257,187,294</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145,500,000</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SBA debentures payable (cost--</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$150,000,000)</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150,000,000</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150,000,000</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2025 Notes payable (cost--$71,250,000)</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72,532,500</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68,400,000</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6,131,963</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5,419,557</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Performance-based incentive fee payable</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5,370,391</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4,274,881</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debt</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3,033,648</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1,810,466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2,410,422</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2,009,806</w:t>
            </w:r>
          </w:p>
        </w:tc>
      </w:tr>
      <w:tr>
        <w:trPr>
          <w:trHeight w:val="203"/>
        </w:trPr>
        <w:tc>
          <w:tcPr>
            <w:tcW w:w="41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535,701,811</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455,820,893</w:t>
            </w:r>
          </w:p>
        </w:tc>
      </w:tr>
      <w:tr>
        <w:trPr>
          <w:trHeight w:val="203"/>
        </w:trPr>
        <w:tc>
          <w:tcPr>
            <w:tcW w:w="41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Common stock, 66,569,036 and 66,499,327</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2"/>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respectively.Par value $0.001 per</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and 100,000,000 shares</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authorized.</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66,569</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66,499</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756,809,951</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756,017,096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in excess of net</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6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(9,406,519)</w:t>
            </w:r>
          </w:p>
        </w:tc>
        <w:tc>
          <w:tcPr>
            <w:tcW w:w="36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(4,675,217)</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 on</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(14,454,032)</w:t>
            </w:r>
          </w:p>
        </w:tc>
        <w:tc>
          <w:tcPr>
            <w:tcW w:w="36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(43,409,847)</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appreciation</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 investments</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24,027,916</w:t>
            </w:r>
          </w:p>
        </w:tc>
        <w:tc>
          <w:tcPr>
            <w:tcW w:w="36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(13,342,332)</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(appreciation)</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 debt</w:t>
            </w:r>
          </w:p>
        </w:tc>
        <w:tc>
          <w:tcPr>
            <w:tcW w:w="16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(2,571,092)</w:t>
            </w:r>
          </w:p>
        </w:tc>
        <w:tc>
          <w:tcPr>
            <w:tcW w:w="3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2,850,000</w:t>
            </w:r>
          </w:p>
        </w:tc>
      </w:tr>
      <w:tr>
        <w:trPr>
          <w:trHeight w:val="203"/>
        </w:trPr>
        <w:tc>
          <w:tcPr>
            <w:tcW w:w="41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754,472,793</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697,506,199</w:t>
            </w:r>
          </w:p>
        </w:tc>
      </w:tr>
      <w:tr>
        <w:trPr>
          <w:trHeight w:val="203"/>
        </w:trPr>
        <w:tc>
          <w:tcPr>
            <w:tcW w:w="41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$ 1,290,174,604</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1,153,327,092</w:t>
            </w:r>
          </w:p>
        </w:tc>
      </w:tr>
      <w:tr>
        <w:trPr>
          <w:trHeight w:val="203"/>
        </w:trPr>
        <w:tc>
          <w:tcPr>
            <w:tcW w:w="41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11.33</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10.49</w:t>
            </w:r>
          </w:p>
        </w:tc>
      </w:tr>
      <w:tr>
        <w:trPr>
          <w:trHeight w:val="203"/>
        </w:trPr>
        <w:tc>
          <w:tcPr>
            <w:tcW w:w="41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219"/>
        <w:spacing w:after="0" w:line="236" w:lineRule="auto"/>
        <w:rPr>
          <w:sz w:val="20"/>
          <w:szCs w:val="20"/>
          <w:color w:val="auto"/>
        </w:rPr>
      </w:pPr>
      <w:r>
        <w:rPr>
          <w:rFonts w:ascii="Courier New" w:cs="Courier New" w:eastAsia="Courier New" w:hAnsi="Courier New"/>
          <w:sz w:val="18"/>
          <w:szCs w:val="18"/>
          <w:color w:val="auto"/>
        </w:rPr>
        <w:t>PENNANTPARK INVESTMENT CORPORATION AND SUBSIDIARIES CONSOLIDATED STATEMENTS OF OPERATIONS (Unaudited)</w:t>
      </w:r>
    </w:p>
    <w:p>
      <w:pPr>
        <w:sectPr>
          <w:pgSz w:w="11900" w:h="16838" w:orient="portrait"/>
          <w:cols w:equalWidth="0" w:num="1">
            <w:col w:w="10139"/>
          </w:cols>
          <w:pgMar w:left="320" w:top="136" w:right="1440" w:bottom="0" w:gutter="0" w:footer="0" w:header="0"/>
        </w:sectPr>
      </w:pPr>
    </w:p>
    <w:p>
      <w:pPr>
        <w:spacing w:after="0" w:line="203" w:lineRule="exact"/>
        <w:rPr>
          <w:sz w:val="20"/>
          <w:szCs w:val="20"/>
          <w:color w:val="auto"/>
        </w:rPr>
      </w:pPr>
    </w:p>
    <w:p>
      <w:pPr>
        <w:jc w:val="center"/>
        <w:ind w:left="2220"/>
        <w:spacing w:after="0"/>
        <w:rPr>
          <w:sz w:val="20"/>
          <w:szCs w:val="20"/>
          <w:color w:val="auto"/>
        </w:rPr>
      </w:pPr>
      <w:r>
        <w:rPr>
          <w:rFonts w:ascii="Courier New" w:cs="Courier New" w:eastAsia="Courier New" w:hAnsi="Courier New"/>
          <w:sz w:val="18"/>
          <w:szCs w:val="18"/>
          <w:color w:val="auto"/>
        </w:rPr>
        <w:t>Three Months Ended</w:t>
      </w:r>
    </w:p>
    <w:p>
      <w:pPr>
        <w:jc w:val="center"/>
        <w:ind w:left="2220"/>
        <w:spacing w:after="0" w:line="238" w:lineRule="auto"/>
        <w:rPr>
          <w:sz w:val="20"/>
          <w:szCs w:val="20"/>
          <w:color w:val="auto"/>
        </w:rPr>
      </w:pPr>
      <w:r>
        <w:rPr>
          <w:rFonts w:ascii="Courier New" w:cs="Courier New" w:eastAsia="Courier New" w:hAnsi="Courier New"/>
          <w:sz w:val="18"/>
          <w:szCs w:val="18"/>
          <w:color w:val="auto"/>
        </w:rPr>
        <w:t>June 30,</w:t>
      </w:r>
    </w:p>
    <w:p>
      <w:pPr>
        <w:spacing w:after="0" w:line="5" w:lineRule="exact"/>
        <w:rPr>
          <w:sz w:val="20"/>
          <w:szCs w:val="20"/>
          <w:color w:val="auto"/>
        </w:rPr>
      </w:pPr>
    </w:p>
    <w:p>
      <w:pPr>
        <w:jc w:val="center"/>
        <w:ind w:left="2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2640"/>
        <w:spacing w:after="0"/>
        <w:tabs>
          <w:tab w:leader="none" w:pos="1040" w:val="left"/>
        </w:tabs>
        <w:rPr>
          <w:sz w:val="20"/>
          <w:szCs w:val="20"/>
          <w:color w:val="auto"/>
        </w:rPr>
      </w:pPr>
      <w:r>
        <w:rPr>
          <w:rFonts w:ascii="Courier New" w:cs="Courier New" w:eastAsia="Courier New" w:hAnsi="Courier New"/>
          <w:sz w:val="18"/>
          <w:szCs w:val="18"/>
          <w:color w:val="auto"/>
        </w:rPr>
        <w:t>2014</w:t>
      </w:r>
      <w:r>
        <w:rPr>
          <w:sz w:val="20"/>
          <w:szCs w:val="20"/>
          <w:color w:val="auto"/>
        </w:rPr>
        <w:tab/>
      </w:r>
      <w:r>
        <w:rPr>
          <w:rFonts w:ascii="Courier New" w:cs="Courier New" w:eastAsia="Courier New" w:hAnsi="Courier New"/>
          <w:sz w:val="18"/>
          <w:szCs w:val="18"/>
          <w:color w:val="auto"/>
        </w:rPr>
        <w:t>2013</w:t>
      </w:r>
    </w:p>
    <w:p>
      <w:pPr>
        <w:jc w:val="center"/>
        <w:ind w:left="2220"/>
        <w:spacing w:after="0" w:line="238" w:lineRule="auto"/>
        <w:tabs>
          <w:tab w:leader="none" w:pos="200" w:val="left"/>
        </w:tabs>
        <w:rPr>
          <w:sz w:val="20"/>
          <w:szCs w:val="20"/>
          <w:color w:val="auto"/>
        </w:rPr>
      </w:pPr>
      <w:r>
        <w:rPr>
          <w:rFonts w:ascii="Courier New" w:cs="Courier New" w:eastAsia="Courier New" w:hAnsi="Courier New"/>
          <w:sz w:val="18"/>
          <w:szCs w:val="18"/>
          <w:color w:val="auto"/>
        </w:rPr>
        <w:t>------------</w:t>
        <w:tab/>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8"/>
          <w:szCs w:val="18"/>
          <w:color w:val="auto"/>
        </w:rPr>
        <w:t>Nine Months Ended</w:t>
      </w:r>
    </w:p>
    <w:p>
      <w:pPr>
        <w:jc w:val="center"/>
        <w:ind w:right="2239"/>
        <w:spacing w:after="0" w:line="238" w:lineRule="auto"/>
        <w:rPr>
          <w:sz w:val="20"/>
          <w:szCs w:val="20"/>
          <w:color w:val="auto"/>
        </w:rPr>
      </w:pPr>
      <w:r>
        <w:rPr>
          <w:rFonts w:ascii="Courier New" w:cs="Courier New" w:eastAsia="Courier New" w:hAnsi="Courier New"/>
          <w:sz w:val="18"/>
          <w:szCs w:val="18"/>
          <w:color w:val="auto"/>
        </w:rPr>
        <w:t>June 30,</w:t>
      </w:r>
    </w:p>
    <w:p>
      <w:pPr>
        <w:spacing w:after="0" w:line="5"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819"/>
        <w:spacing w:after="0"/>
        <w:tabs>
          <w:tab w:leader="none" w:pos="1020" w:val="left"/>
        </w:tabs>
        <w:rPr>
          <w:sz w:val="20"/>
          <w:szCs w:val="20"/>
          <w:color w:val="auto"/>
        </w:rPr>
      </w:pPr>
      <w:r>
        <w:rPr>
          <w:rFonts w:ascii="Courier New" w:cs="Courier New" w:eastAsia="Courier New" w:hAnsi="Courier New"/>
          <w:sz w:val="18"/>
          <w:szCs w:val="18"/>
          <w:color w:val="auto"/>
        </w:rPr>
        <w:t>2014</w:t>
      </w:r>
      <w:r>
        <w:rPr>
          <w:sz w:val="20"/>
          <w:szCs w:val="20"/>
          <w:color w:val="auto"/>
        </w:rPr>
        <w:tab/>
      </w:r>
      <w:r>
        <w:rPr>
          <w:rFonts w:ascii="Courier New" w:cs="Courier New" w:eastAsia="Courier New" w:hAnsi="Courier New"/>
          <w:sz w:val="18"/>
          <w:szCs w:val="18"/>
          <w:color w:val="auto"/>
        </w:rPr>
        <w:t>2013</w:t>
      </w:r>
    </w:p>
    <w:p>
      <w:pPr>
        <w:jc w:val="center"/>
        <w:ind w:right="2239"/>
        <w:spacing w:after="0" w:line="238" w:lineRule="auto"/>
        <w:tabs>
          <w:tab w:leader="none" w:pos="180" w:val="left"/>
        </w:tabs>
        <w:rPr>
          <w:sz w:val="20"/>
          <w:szCs w:val="20"/>
          <w:color w:val="auto"/>
        </w:rPr>
      </w:pPr>
      <w:r>
        <w:rPr>
          <w:rFonts w:ascii="Courier New" w:cs="Courier New" w:eastAsia="Courier New" w:hAnsi="Courier New"/>
          <w:sz w:val="18"/>
          <w:szCs w:val="18"/>
          <w:color w:val="auto"/>
        </w:rPr>
        <w:t>------------</w:t>
        <w:tab/>
        <w:t>------------</w:t>
      </w:r>
    </w:p>
    <w:p>
      <w:pPr>
        <w:spacing w:after="0" w:line="5" w:lineRule="exact"/>
        <w:rPr>
          <w:sz w:val="20"/>
          <w:szCs w:val="20"/>
          <w:color w:val="auto"/>
        </w:rPr>
      </w:pPr>
    </w:p>
    <w:p>
      <w:pPr>
        <w:sectPr>
          <w:pgSz w:w="11900" w:h="16838" w:orient="portrait"/>
          <w:cols w:equalWidth="0" w:num="2">
            <w:col w:w="4960" w:space="200"/>
            <w:col w:w="4979"/>
          </w:cols>
          <w:pgMar w:left="32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Investment income</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from:</w:t>
      </w:r>
    </w:p>
    <w:p>
      <w:pPr>
        <w:sectPr>
          <w:pgSz w:w="11900" w:h="16838" w:orient="portrait"/>
          <w:cols w:equalWidth="0" w:num="1">
            <w:col w:w="10139"/>
          </w:cols>
          <w:pgMar w:left="320" w:top="136" w:right="1440"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Non-controlled, non-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$ 29,949,064</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$ 26,693,069</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$ 90,772,466</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$ 80,520,256</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1,463,884</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3,941,167</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6,314,911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9,184,121</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Non-controlled,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1,456,621</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2,140,854</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4,174,234</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4,471,618</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227,800</w:t>
            </w:r>
          </w:p>
        </w:tc>
      </w:tr>
      <w:tr>
        <w:trPr>
          <w:trHeight w:val="202"/>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Controlled,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2,447,354</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949,583</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6,071,987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3,336,040</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158,333</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459,166</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investment</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35,475,256</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33,724,673</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107,792,764</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97,739,835</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6,131,963</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5,412,461</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17,906,316</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15,869,172</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incentive fee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5,370,391</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4,413,711</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14,866,434</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12,518,209</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 on debt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5,034,567</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4,212,450</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14,707,313</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11,292,224</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services expenses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930,809</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1,157,748</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2,771,359</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3,485,607</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929,254</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520,970</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2,470,350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2,000,919</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taxes and debt</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costs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18,396,984</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15,717,340</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52,721,772</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45,166,131</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 expense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32,500</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40,548</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(82,396)</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issuance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3,850,000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320,000</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3,850,000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2,757,500</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22,278,984</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16,069,840</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56,612,320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47,841,235</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13,196,272</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17,654,833</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51,180,444</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49,898,600</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gain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on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debt:</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realized gain on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23,267,131</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15,682,708</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28,955,815</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14,723,076</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 on: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non-affiliated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(8,997,766)</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(23,484,170)</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21,000,422</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8,805,377</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non-controlled,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7,860,989</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3,504,661</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16,369,826</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(3,580,500)</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(3,377,315)</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427,500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(5,421,092)</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(547,500)</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 on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debt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(4,514,092)</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(19,552,009)</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31,949,156</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4,677,377</w:t>
            </w:r>
          </w:p>
        </w:tc>
      </w:tr>
      <w:tr>
        <w:trPr>
          <w:trHeight w:val="202"/>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gain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from</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debt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18,753,039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(3,869,301)</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60,904,971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19,400,453</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ind w:left="120"/>
              <w:spacing w:after="0"/>
              <w:rPr>
                <w:sz w:val="20"/>
                <w:szCs w:val="20"/>
                <w:color w:val="auto"/>
              </w:rPr>
            </w:pPr>
            <w:r>
              <w:rPr>
                <w:rFonts w:ascii="Courier New" w:cs="Courier New" w:eastAsia="Courier New" w:hAnsi="Courier New"/>
                <w:sz w:val="18"/>
                <w:szCs w:val="18"/>
                <w:color w:val="auto"/>
              </w:rPr>
              <w:t>assets resulting</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operations</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$ 31,949,311</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$ 13,785,532</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$112,085,415</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$ 69,299,053</w:t>
            </w:r>
          </w:p>
        </w:tc>
      </w:tr>
      <w:tr>
        <w:trPr>
          <w:trHeight w:val="203"/>
        </w:trPr>
        <w:tc>
          <w:tcPr>
            <w:tcW w:w="216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from operations per</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0.48</w:t>
            </w:r>
          </w:p>
        </w:tc>
        <w:tc>
          <w:tcPr>
            <w:tcW w:w="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0.21</w:t>
            </w:r>
          </w:p>
        </w:tc>
        <w:tc>
          <w:tcPr>
            <w:tcW w:w="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w:t>
            </w:r>
          </w:p>
        </w:tc>
        <w:tc>
          <w:tcPr>
            <w:tcW w:w="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w:t>
            </w:r>
          </w:p>
        </w:tc>
      </w:tr>
      <w:tr>
        <w:trPr>
          <w:trHeight w:val="203"/>
        </w:trPr>
        <w:tc>
          <w:tcPr>
            <w:tcW w:w="216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per common</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0.20</w:t>
            </w:r>
          </w:p>
        </w:tc>
        <w:tc>
          <w:tcPr>
            <w:tcW w:w="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0.27</w:t>
            </w:r>
          </w:p>
        </w:tc>
        <w:tc>
          <w:tcPr>
            <w:tcW w:w="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0.77</w:t>
            </w:r>
          </w:p>
        </w:tc>
        <w:tc>
          <w:tcPr>
            <w:tcW w:w="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0.76</w:t>
            </w:r>
          </w:p>
        </w:tc>
      </w:tr>
      <w:tr>
        <w:trPr>
          <w:trHeight w:val="203"/>
        </w:trPr>
        <w:tc>
          <w:tcPr>
            <w:tcW w:w="216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All forward-looking statements speak only as of the date of this press release.</w:t>
      </w:r>
    </w:p>
    <w:p>
      <w:pPr>
        <w:spacing w:after="0" w:line="159"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We may use words such as "anticipates, " "believes, " "expects, " "intends, " "seeks, " "plans, "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20"/>
      </w:cols>
      <w:pgMar w:left="320" w:top="1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2020-05-05T15:07:13Z</dcterms:created>
  <dcterms:modified xsi:type="dcterms:W3CDTF">2020-05-05T15:07:13Z</dcterms:modified>
</cp:coreProperties>
</file>