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October 10, 2018</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Investment Corporation</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814-00736</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20-8250744</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8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0" w:lineRule="exact"/>
        <w:rPr>
          <w:sz w:val="24"/>
          <w:szCs w:val="24"/>
          <w:color w:val="auto"/>
        </w:rPr>
      </w:pPr>
    </w:p>
    <w:p>
      <w:pPr>
        <w:spacing w:after="0" w:line="22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Written communications pursuant to Rule 425 under the Securities Act (17 CFR 230.425)</w:t>
      </w:r>
    </w:p>
    <w:p>
      <w:pPr>
        <w:spacing w:after="0" w:line="23"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Soliciting material pursuant to Rule 14a-12 under the Exchange Act (17 CFR 240.14a-12)</w:t>
      </w:r>
    </w:p>
    <w:p>
      <w:pPr>
        <w:spacing w:after="0" w:line="9"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13e-4(c) under the Exchange Act (17 CFR 240.13e-4(c))</w:t>
      </w:r>
    </w:p>
    <w:p>
      <w:pPr>
        <w:spacing w:after="0" w:line="200" w:lineRule="exact"/>
        <w:rPr>
          <w:sz w:val="24"/>
          <w:szCs w:val="24"/>
          <w:color w:val="auto"/>
        </w:rPr>
      </w:pPr>
    </w:p>
    <w:p>
      <w:pPr>
        <w:spacing w:after="0" w:line="22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518160</wp:posOffset>
            </wp:positionV>
            <wp:extent cx="713613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On October 10, 2018, PennantPark Investment Corporation issued a press release announcing its scheduled earnings release for the fiscal year ended September 30, 2018. A copy of the press release is furnished as Exhibit 99.1 to this report, pursuant to Item 7.01 and Regulation FD.</w:t>
      </w:r>
    </w:p>
    <w:p>
      <w:pPr>
        <w:spacing w:after="0" w:line="12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this Current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Current Report on Form 8-K shall not be deemed incorporated by reference in any filing under the Securities Act of 1933, as amended, or under the Exchange Act, except as shall be expressly set forth by specific reference in such filing.</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198"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460" w:right="9320" w:hanging="452"/>
        <w:spacing w:after="0" w:line="276" w:lineRule="auto"/>
        <w:tabs>
          <w:tab w:leader="none" w:pos="265"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Financial statements: </w:t>
      </w:r>
      <w:r>
        <w:rPr>
          <w:rFonts w:ascii="Arial" w:cs="Arial" w:eastAsia="Arial" w:hAnsi="Arial"/>
          <w:sz w:val="17"/>
          <w:szCs w:val="17"/>
          <w:color w:val="auto"/>
        </w:rPr>
        <w:t>None</w:t>
      </w:r>
    </w:p>
    <w:p>
      <w:pPr>
        <w:ind w:left="460" w:right="8420" w:hanging="452"/>
        <w:spacing w:after="0" w:line="250" w:lineRule="auto"/>
        <w:tabs>
          <w:tab w:leader="none" w:pos="27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460" w:right="8800" w:hanging="452"/>
        <w:spacing w:after="0" w:line="250" w:lineRule="auto"/>
        <w:tabs>
          <w:tab w:leader="none" w:pos="25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280" w:hanging="272"/>
        <w:spacing w:after="0"/>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 xml:space="preserve">99.1 </w:t>
      </w:r>
      <w:hyperlink w:anchor="page5">
        <w:r>
          <w:rPr>
            <w:rFonts w:ascii="Arial" w:cs="Arial" w:eastAsia="Arial" w:hAnsi="Arial"/>
            <w:sz w:val="18"/>
            <w:szCs w:val="18"/>
            <w:u w:val="single" w:color="auto"/>
            <w:color w:val="0000EE"/>
          </w:rPr>
          <w:t>Press Release of PennantPark Investment Corporation dated October 10,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Pursuant to the requirements of the Exchange Act,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7660" w:type="dxa"/>
            <w:vAlign w:val="bottom"/>
            <w:gridSpan w:val="3"/>
          </w:tcPr>
          <w:p>
            <w:pPr>
              <w:ind w:left="1880"/>
              <w:spacing w:after="0"/>
              <w:rPr>
                <w:sz w:val="20"/>
                <w:szCs w:val="20"/>
                <w:color w:val="auto"/>
              </w:rPr>
            </w:pPr>
            <w:r>
              <w:rPr>
                <w:rFonts w:ascii="Arial" w:cs="Arial" w:eastAsia="Arial" w:hAnsi="Arial"/>
                <w:sz w:val="18"/>
                <w:szCs w:val="18"/>
                <w:b w:val="1"/>
                <w:bCs w:val="1"/>
                <w:color w:val="auto"/>
              </w:rPr>
              <w:t>PennantPark Investment Corporation</w:t>
            </w:r>
          </w:p>
        </w:tc>
      </w:tr>
      <w:tr>
        <w:trPr>
          <w:trHeight w:val="608"/>
        </w:trPr>
        <w:tc>
          <w:tcPr>
            <w:tcW w:w="3580" w:type="dxa"/>
            <w:vAlign w:val="bottom"/>
          </w:tcPr>
          <w:p>
            <w:pPr>
              <w:spacing w:after="0"/>
              <w:rPr>
                <w:sz w:val="20"/>
                <w:szCs w:val="20"/>
                <w:color w:val="auto"/>
              </w:rPr>
            </w:pPr>
            <w:r>
              <w:rPr>
                <w:rFonts w:ascii="Arial" w:cs="Arial" w:eastAsia="Arial" w:hAnsi="Arial"/>
                <w:sz w:val="18"/>
                <w:szCs w:val="18"/>
                <w:color w:val="auto"/>
              </w:rPr>
              <w:t>Date: October 10, 2018</w:t>
            </w:r>
          </w:p>
        </w:tc>
        <w:tc>
          <w:tcPr>
            <w:tcW w:w="7660" w:type="dxa"/>
            <w:vAlign w:val="bottom"/>
            <w:gridSpan w:val="3"/>
          </w:tcPr>
          <w:p>
            <w:pPr>
              <w:ind w:left="1880"/>
              <w:spacing w:after="0"/>
              <w:rPr>
                <w:sz w:val="20"/>
                <w:szCs w:val="20"/>
                <w:color w:val="auto"/>
              </w:rPr>
            </w:pPr>
            <w:r>
              <w:rPr>
                <w:rFonts w:ascii="Arial" w:cs="Arial" w:eastAsia="Arial" w:hAnsi="Arial"/>
                <w:sz w:val="18"/>
                <w:szCs w:val="18"/>
                <w:color w:val="auto"/>
              </w:rPr>
              <w:t>By: /s/ Aviv Efrat</w:t>
            </w:r>
          </w:p>
        </w:tc>
      </w:tr>
      <w:tr>
        <w:trPr>
          <w:trHeight w:val="222"/>
        </w:trPr>
        <w:tc>
          <w:tcPr>
            <w:tcW w:w="358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 Efrat</w:t>
            </w:r>
          </w:p>
        </w:tc>
        <w:tc>
          <w:tcPr>
            <w:tcW w:w="4140" w:type="dxa"/>
            <w:vAlign w:val="bottom"/>
          </w:tcPr>
          <w:p>
            <w:pPr>
              <w:spacing w:after="0"/>
              <w:rPr>
                <w:sz w:val="19"/>
                <w:szCs w:val="19"/>
                <w:color w:val="auto"/>
              </w:rPr>
            </w:pPr>
          </w:p>
        </w:tc>
      </w:tr>
      <w:tr>
        <w:trPr>
          <w:trHeight w:val="230"/>
        </w:trPr>
        <w:tc>
          <w:tcPr>
            <w:tcW w:w="35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Chief Financial Officer &amp; Treasurer</w:t>
            </w:r>
          </w:p>
        </w:tc>
      </w:tr>
      <w:tr>
        <w:trPr>
          <w:trHeight w:val="442"/>
        </w:trPr>
        <w:tc>
          <w:tcPr>
            <w:tcW w:w="3580" w:type="dxa"/>
            <w:vAlign w:val="bottom"/>
            <w:tcBorders>
              <w:bottom w:val="single" w:sz="8" w:color="808080"/>
            </w:tcBorders>
          </w:tcPr>
          <w:p>
            <w:pPr>
              <w:spacing w:after="0"/>
              <w:rPr>
                <w:sz w:val="24"/>
                <w:szCs w:val="24"/>
                <w:color w:val="auto"/>
              </w:rPr>
            </w:pPr>
          </w:p>
        </w:tc>
        <w:tc>
          <w:tcPr>
            <w:tcW w:w="220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spacing w:after="0"/>
              <w:rPr>
                <w:sz w:val="24"/>
                <w:szCs w:val="24"/>
                <w:color w:val="auto"/>
              </w:rPr>
            </w:pPr>
          </w:p>
        </w:tc>
        <w:tc>
          <w:tcPr>
            <w:tcW w:w="41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740" w:type="dxa"/>
            <w:vAlign w:val="bottom"/>
          </w:tcPr>
          <w:p>
            <w:pPr>
              <w:ind w:left="2680"/>
              <w:spacing w:after="0"/>
              <w:rPr>
                <w:sz w:val="20"/>
                <w:szCs w:val="20"/>
                <w:color w:val="auto"/>
              </w:rPr>
            </w:pPr>
            <w:r>
              <w:rPr>
                <w:rFonts w:ascii="Arial" w:cs="Arial" w:eastAsia="Arial" w:hAnsi="Arial"/>
                <w:sz w:val="18"/>
                <w:szCs w:val="18"/>
                <w:b w:val="1"/>
                <w:bCs w:val="1"/>
                <w:color w:val="auto"/>
              </w:rPr>
              <w:t>Exhibit Index</w:t>
            </w:r>
          </w:p>
        </w:tc>
      </w:tr>
      <w:tr>
        <w:trPr>
          <w:trHeight w:val="392"/>
        </w:trPr>
        <w:tc>
          <w:tcPr>
            <w:tcW w:w="1400" w:type="dxa"/>
            <w:vAlign w:val="bottom"/>
            <w:gridSpan w:val="2"/>
          </w:tcPr>
          <w:p>
            <w:pPr>
              <w:spacing w:after="0"/>
              <w:rPr>
                <w:sz w:val="20"/>
                <w:szCs w:val="20"/>
                <w:color w:val="auto"/>
              </w:rPr>
            </w:pPr>
            <w:r>
              <w:rPr>
                <w:rFonts w:ascii="Arial" w:cs="Arial" w:eastAsia="Arial" w:hAnsi="Arial"/>
                <w:sz w:val="18"/>
                <w:szCs w:val="18"/>
                <w:b w:val="1"/>
                <w:bCs w:val="1"/>
                <w:color w:val="auto"/>
              </w:rPr>
              <w:t>Exhibit Number</w:t>
            </w:r>
          </w:p>
        </w:tc>
        <w:tc>
          <w:tcPr>
            <w:tcW w:w="5760" w:type="dxa"/>
            <w:vAlign w:val="bottom"/>
            <w:gridSpan w:val="3"/>
          </w:tcPr>
          <w:p>
            <w:pPr>
              <w:ind w:left="140"/>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1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r>
      <w:tr>
        <w:trPr>
          <w:trHeight w:val="453"/>
        </w:trPr>
        <w:tc>
          <w:tcPr>
            <w:tcW w:w="1260" w:type="dxa"/>
            <w:vAlign w:val="bottom"/>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99.1</w:t>
              </w:r>
            </w:hyperlink>
          </w:p>
        </w:tc>
        <w:tc>
          <w:tcPr>
            <w:tcW w:w="140" w:type="dxa"/>
            <w:vAlign w:val="bottom"/>
          </w:tcPr>
          <w:p>
            <w:pPr>
              <w:spacing w:after="0"/>
              <w:rPr>
                <w:sz w:val="24"/>
                <w:szCs w:val="24"/>
                <w:color w:val="auto"/>
              </w:rPr>
            </w:pPr>
          </w:p>
        </w:tc>
        <w:tc>
          <w:tcPr>
            <w:tcW w:w="5760" w:type="dxa"/>
            <w:vAlign w:val="bottom"/>
            <w:gridSpan w:val="3"/>
          </w:tcPr>
          <w:p>
            <w:pPr>
              <w:ind w:left="140"/>
              <w:spacing w:after="0"/>
              <w:rPr>
                <w:rFonts w:ascii="Arial" w:cs="Arial" w:eastAsia="Arial" w:hAnsi="Arial"/>
                <w:sz w:val="18"/>
                <w:szCs w:val="18"/>
                <w:u w:val="single" w:color="auto"/>
                <w:color w:val="0000EE"/>
                <w:w w:val="88"/>
              </w:rPr>
            </w:pPr>
            <w:hyperlink w:anchor="page5">
              <w:r>
                <w:rPr>
                  <w:rFonts w:ascii="Arial" w:cs="Arial" w:eastAsia="Arial" w:hAnsi="Arial"/>
                  <w:sz w:val="18"/>
                  <w:szCs w:val="18"/>
                  <w:u w:val="single" w:color="auto"/>
                  <w:color w:val="0000EE"/>
                  <w:w w:val="88"/>
                </w:rPr>
                <w:t>Press Release of PennantPark Investment Corporation dated October 10, 2018</w:t>
              </w:r>
            </w:hyperlink>
          </w:p>
        </w:tc>
      </w:tr>
    </w:tbl>
    <w:p>
      <w:pPr>
        <w:sectPr>
          <w:pgSz w:w="11900" w:h="16838" w:orient="portrait"/>
          <w:cols w:equalWidth="0" w:num="1">
            <w:col w:w="10139"/>
          </w:cols>
          <w:pgMar w:left="320" w:top="337"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2914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587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Investment Corporation Schedules Earnings Release of Fiscal Year 2018 Results</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NEW YORK, Oct. 10, 2018 (GLOBE NEWSWIRE) -- PennantPark Investment Corporation (the "Company") (NASDAQ: PNNT) announced that it will report results for the fiscal year ended September 30, 2018 on Thursday, November 15, 2018 after the close of the financial markets.</w:t>
      </w:r>
    </w:p>
    <w:p>
      <w:pPr>
        <w:spacing w:after="0" w:line="186" w:lineRule="exact"/>
        <w:rPr>
          <w:sz w:val="20"/>
          <w:szCs w:val="20"/>
          <w:color w:val="auto"/>
        </w:rPr>
      </w:pPr>
    </w:p>
    <w:p>
      <w:pPr>
        <w:jc w:val="both"/>
        <w:ind w:right="20"/>
        <w:spacing w:after="0" w:line="235" w:lineRule="auto"/>
        <w:rPr>
          <w:sz w:val="20"/>
          <w:szCs w:val="20"/>
          <w:color w:val="auto"/>
        </w:rPr>
      </w:pPr>
      <w:r>
        <w:rPr>
          <w:rFonts w:ascii="Arial" w:cs="Arial" w:eastAsia="Arial" w:hAnsi="Arial"/>
          <w:sz w:val="22"/>
          <w:szCs w:val="22"/>
          <w:color w:val="auto"/>
        </w:rPr>
        <w:t>The Company will also host a conference call at 10:00 a.m. (Eastern Time) on Friday, November 16, 2018 to discuss its financial results. All interested parties are welcome to participate. You can access the conference call by dialing toll-free (888) 204-4368 approximately 5-10 minutes prior to the call. International callers should dial (929) 477-0402. All callers should reference PennantPark Investment Corporation. An archived replay of the call will be available through November 30, 2018 by calling toll-free (888) 203-1112. International callers please dial (719) 457-0820. For all phone replays, please reference conference ID #4229439.</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CORPORATION</w:t>
      </w:r>
    </w:p>
    <w:p>
      <w:pPr>
        <w:spacing w:after="0" w:line="206" w:lineRule="exact"/>
        <w:rPr>
          <w:sz w:val="20"/>
          <w:szCs w:val="20"/>
          <w:color w:val="auto"/>
        </w:rPr>
      </w:pPr>
    </w:p>
    <w:p>
      <w:pPr>
        <w:ind w:right="20"/>
        <w:spacing w:after="0"/>
        <w:rPr>
          <w:sz w:val="20"/>
          <w:szCs w:val="20"/>
          <w:color w:val="auto"/>
        </w:rPr>
      </w:pPr>
      <w:r>
        <w:rPr>
          <w:rFonts w:ascii="Arial" w:cs="Arial" w:eastAsia="Arial" w:hAnsi="Arial"/>
          <w:sz w:val="22"/>
          <w:szCs w:val="22"/>
          <w:color w:val="auto"/>
        </w:rPr>
        <w:t>PennantPark Investment Corporation is a business development company which invests primarily in U.S. middle-market companies in the form of first lien secured debt, second lien secured debt, subordinated debt and equity investments. PennantPark Investment Corporation is managed by PennantPark Investment Advisers, LLC.</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12" w:lineRule="exact"/>
        <w:rPr>
          <w:sz w:val="20"/>
          <w:szCs w:val="20"/>
          <w:color w:val="auto"/>
        </w:rPr>
      </w:pPr>
    </w:p>
    <w:p>
      <w:pPr>
        <w:ind w:right="60"/>
        <w:spacing w:after="0" w:line="277"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Aviv Efrat</w:t>
      </w:r>
    </w:p>
    <w:p>
      <w:pPr>
        <w:spacing w:after="0" w:line="230" w:lineRule="auto"/>
        <w:rPr>
          <w:sz w:val="20"/>
          <w:szCs w:val="20"/>
          <w:color w:val="auto"/>
        </w:rPr>
      </w:pPr>
      <w:r>
        <w:rPr>
          <w:rFonts w:ascii="Arial" w:cs="Arial" w:eastAsia="Arial" w:hAnsi="Arial"/>
          <w:sz w:val="22"/>
          <w:szCs w:val="22"/>
          <w:color w:val="auto"/>
        </w:rPr>
        <w:t>PennantPark Investment Corporation</w:t>
      </w:r>
    </w:p>
    <w:p>
      <w:pPr>
        <w:spacing w:after="0" w:line="1" w:lineRule="exact"/>
        <w:rPr>
          <w:sz w:val="20"/>
          <w:szCs w:val="20"/>
          <w:color w:val="auto"/>
        </w:rPr>
      </w:pPr>
    </w:p>
    <w:p>
      <w:pPr>
        <w:ind w:right="9240" w:firstLine="8"/>
        <w:spacing w:after="0" w:line="308" w:lineRule="auto"/>
        <w:tabs>
          <w:tab w:leader="none" w:pos="522" w:val="left"/>
        </w:tabs>
        <w:numPr>
          <w:ilvl w:val="0"/>
          <w:numId w:val="3"/>
        </w:numPr>
        <w:rPr>
          <w:rFonts w:ascii="Arial" w:cs="Arial" w:eastAsia="Arial" w:hAnsi="Arial"/>
          <w:sz w:val="19"/>
          <w:szCs w:val="19"/>
          <w:color w:val="auto"/>
        </w:rPr>
      </w:pPr>
      <w:r>
        <w:rPr>
          <w:rFonts w:ascii="Arial" w:cs="Arial" w:eastAsia="Arial" w:hAnsi="Arial"/>
          <w:sz w:val="19"/>
          <w:szCs w:val="19"/>
          <w:color w:val="auto"/>
        </w:rPr>
        <w:t>905-1000 www.pennantpark.com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2020-05-05T15:07:35Z</dcterms:created>
  <dcterms:modified xsi:type="dcterms:W3CDTF">2020-05-05T15:07:35Z</dcterms:modified>
</cp:coreProperties>
</file>