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265430</wp:posOffset>
            </wp:positionV>
            <wp:extent cx="1491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1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2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 ENDED JUNE 30, 2008</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right="1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1" w:lineRule="exact"/>
        <w:rPr>
          <w:sz w:val="24"/>
          <w:szCs w:val="24"/>
          <w:color w:val="auto"/>
        </w:rPr>
      </w:pPr>
    </w:p>
    <w:p>
      <w:pPr>
        <w:ind w:left="460"/>
        <w:spacing w:after="0"/>
        <w:tabs>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-10160</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194945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800"/>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tbl>
      <w:tblPr>
        <w:tblLayout w:type="fixed"/>
        <w:tblInd w:w="164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5060" w:type="dxa"/>
            <w:vAlign w:val="bottom"/>
          </w:tcPr>
          <w:p>
            <w:pPr>
              <w:jc w:val="center"/>
              <w:ind w:right="1765"/>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r>
      <w:tr>
        <w:trPr>
          <w:trHeight w:val="379"/>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rPr>
              <w:t>MARYLAND</w:t>
            </w:r>
          </w:p>
        </w:tc>
        <w:tc>
          <w:tcPr>
            <w:tcW w:w="5060" w:type="dxa"/>
            <w:vAlign w:val="bottom"/>
          </w:tcPr>
          <w:p>
            <w:pPr>
              <w:jc w:val="right"/>
              <w:ind w:right="25"/>
              <w:spacing w:after="0"/>
              <w:rPr>
                <w:sz w:val="20"/>
                <w:szCs w:val="20"/>
                <w:color w:val="auto"/>
              </w:rPr>
            </w:pPr>
            <w:r>
              <w:rPr>
                <w:rFonts w:ascii="Arial" w:cs="Arial" w:eastAsia="Arial" w:hAnsi="Arial"/>
                <w:sz w:val="18"/>
                <w:szCs w:val="18"/>
                <w:b w:val="1"/>
                <w:bCs w:val="1"/>
                <w:color w:val="auto"/>
              </w:rPr>
              <w:t>20-8250744</w:t>
            </w:r>
          </w:p>
        </w:tc>
      </w:tr>
      <w:tr>
        <w:trPr>
          <w:trHeight w:val="149"/>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(State or other jurisdiction of</w:t>
            </w:r>
          </w:p>
        </w:tc>
        <w:tc>
          <w:tcPr>
            <w:tcW w:w="5060" w:type="dxa"/>
            <w:vAlign w:val="bottom"/>
          </w:tcPr>
          <w:p>
            <w:pPr>
              <w:jc w:val="center"/>
              <w:ind w:left="3925"/>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4"/>
              </w:rPr>
              <w:t>incorporation or organization)</w:t>
            </w:r>
          </w:p>
        </w:tc>
        <w:tc>
          <w:tcPr>
            <w:tcW w:w="5060" w:type="dxa"/>
            <w:vAlign w:val="bottom"/>
          </w:tcPr>
          <w:p>
            <w:pPr>
              <w:jc w:val="center"/>
              <w:ind w:left="3925"/>
              <w:spacing w:after="0"/>
              <w:rPr>
                <w:sz w:val="20"/>
                <w:szCs w:val="20"/>
                <w:color w:val="auto"/>
              </w:rPr>
            </w:pPr>
            <w:r>
              <w:rPr>
                <w:rFonts w:ascii="Arial" w:cs="Arial" w:eastAsia="Arial" w:hAnsi="Arial"/>
                <w:sz w:val="13"/>
                <w:szCs w:val="13"/>
                <w:b w:val="1"/>
                <w:bCs w:val="1"/>
                <w:color w:val="auto"/>
                <w:w w:val="96"/>
              </w:rPr>
              <w:t>Identification No.)</w:t>
            </w:r>
          </w:p>
        </w:tc>
      </w:tr>
      <w:tr>
        <w:trPr>
          <w:trHeight w:val="40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6"/>
              </w:rPr>
              <w:t>590 Madison Avenue, 15</w:t>
            </w:r>
            <w:r>
              <w:rPr>
                <w:rFonts w:ascii="Arial" w:cs="Arial" w:eastAsia="Arial" w:hAnsi="Arial"/>
                <w:sz w:val="22"/>
                <w:szCs w:val="22"/>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5060" w:type="dxa"/>
            <w:vAlign w:val="bottom"/>
          </w:tcPr>
          <w:p>
            <w:pPr>
              <w:spacing w:after="0"/>
              <w:rPr>
                <w:sz w:val="24"/>
                <w:szCs w:val="24"/>
                <w:color w:val="auto"/>
              </w:rPr>
            </w:pPr>
          </w:p>
        </w:tc>
      </w:tr>
      <w:tr>
        <w:trPr>
          <w:trHeight w:val="231"/>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N.Y.</w:t>
            </w:r>
          </w:p>
        </w:tc>
        <w:tc>
          <w:tcPr>
            <w:tcW w:w="5060" w:type="dxa"/>
            <w:vAlign w:val="bottom"/>
          </w:tcPr>
          <w:p>
            <w:pPr>
              <w:jc w:val="right"/>
              <w:ind w:right="245"/>
              <w:spacing w:after="0"/>
              <w:rPr>
                <w:sz w:val="20"/>
                <w:szCs w:val="20"/>
                <w:color w:val="auto"/>
              </w:rPr>
            </w:pPr>
            <w:r>
              <w:rPr>
                <w:rFonts w:ascii="Arial" w:cs="Arial" w:eastAsia="Arial" w:hAnsi="Arial"/>
                <w:sz w:val="18"/>
                <w:szCs w:val="18"/>
                <w:b w:val="1"/>
                <w:bCs w:val="1"/>
                <w:color w:val="auto"/>
              </w:rPr>
              <w:t>10022</w:t>
            </w:r>
          </w:p>
        </w:tc>
      </w:tr>
      <w:tr>
        <w:trPr>
          <w:trHeight w:val="174"/>
        </w:trPr>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060" w:type="dxa"/>
            <w:vAlign w:val="bottom"/>
          </w:tcPr>
          <w:p>
            <w:pPr>
              <w:jc w:val="center"/>
              <w:ind w:left="3925"/>
              <w:spacing w:after="0"/>
              <w:rPr>
                <w:sz w:val="20"/>
                <w:szCs w:val="20"/>
                <w:color w:val="auto"/>
              </w:rPr>
            </w:pPr>
            <w:r>
              <w:rPr>
                <w:rFonts w:ascii="Arial" w:cs="Arial" w:eastAsia="Arial" w:hAnsi="Arial"/>
                <w:sz w:val="13"/>
                <w:szCs w:val="13"/>
                <w:b w:val="1"/>
                <w:bCs w:val="1"/>
                <w:color w:val="auto"/>
                <w:w w:val="96"/>
              </w:rPr>
              <w:t>(Zip Code)</w:t>
            </w:r>
          </w:p>
        </w:tc>
      </w:tr>
      <w:tr>
        <w:trPr>
          <w:trHeight w:val="352"/>
        </w:trPr>
        <w:tc>
          <w:tcPr>
            <w:tcW w:w="2380" w:type="dxa"/>
            <w:vAlign w:val="bottom"/>
          </w:tcPr>
          <w:p>
            <w:pPr>
              <w:spacing w:after="0"/>
              <w:rPr>
                <w:sz w:val="24"/>
                <w:szCs w:val="24"/>
                <w:color w:val="auto"/>
              </w:rPr>
            </w:pPr>
          </w:p>
        </w:tc>
        <w:tc>
          <w:tcPr>
            <w:tcW w:w="5060" w:type="dxa"/>
            <w:vAlign w:val="bottom"/>
          </w:tcPr>
          <w:p>
            <w:pPr>
              <w:jc w:val="center"/>
              <w:ind w:right="1785"/>
              <w:spacing w:after="0"/>
              <w:rPr>
                <w:sz w:val="20"/>
                <w:szCs w:val="20"/>
                <w:color w:val="auto"/>
              </w:rPr>
            </w:pPr>
            <w:r>
              <w:rPr>
                <w:rFonts w:ascii="Arial" w:cs="Arial" w:eastAsia="Arial" w:hAnsi="Arial"/>
                <w:sz w:val="18"/>
                <w:szCs w:val="18"/>
                <w:b w:val="1"/>
                <w:bCs w:val="1"/>
                <w:color w:val="auto"/>
                <w:w w:val="90"/>
              </w:rPr>
              <w:t>(212)-905-1000</w:t>
            </w:r>
          </w:p>
        </w:tc>
      </w:tr>
      <w:tr>
        <w:trPr>
          <w:trHeight w:val="174"/>
        </w:trPr>
        <w:tc>
          <w:tcPr>
            <w:tcW w:w="2380" w:type="dxa"/>
            <w:vAlign w:val="bottom"/>
          </w:tcPr>
          <w:p>
            <w:pPr>
              <w:spacing w:after="0"/>
              <w:rPr>
                <w:sz w:val="15"/>
                <w:szCs w:val="15"/>
                <w:color w:val="auto"/>
              </w:rPr>
            </w:pPr>
          </w:p>
        </w:tc>
        <w:tc>
          <w:tcPr>
            <w:tcW w:w="5060" w:type="dxa"/>
            <w:vAlign w:val="bottom"/>
          </w:tcPr>
          <w:p>
            <w:pPr>
              <w:jc w:val="center"/>
              <w:ind w:right="1765"/>
              <w:spacing w:after="0"/>
              <w:rPr>
                <w:sz w:val="20"/>
                <w:szCs w:val="20"/>
                <w:color w:val="auto"/>
              </w:rPr>
            </w:pPr>
            <w:r>
              <w:rPr>
                <w:rFonts w:ascii="Arial" w:cs="Arial" w:eastAsia="Arial" w:hAnsi="Arial"/>
                <w:sz w:val="13"/>
                <w:szCs w:val="13"/>
                <w:b w:val="1"/>
                <w:bCs w:val="1"/>
                <w:color w:val="auto"/>
                <w:w w:val="93"/>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4" w:lineRule="exact"/>
        <w:rPr>
          <w:sz w:val="24"/>
          <w:szCs w:val="24"/>
          <w:color w:val="auto"/>
        </w:rPr>
      </w:pPr>
    </w:p>
    <w:p>
      <w:pPr>
        <w:ind w:firstLine="449"/>
        <w:spacing w:after="0" w:line="22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37" w:lineRule="exact"/>
        <w:rPr>
          <w:sz w:val="24"/>
          <w:szCs w:val="24"/>
          <w:color w:val="auto"/>
        </w:rPr>
      </w:pPr>
    </w:p>
    <w:p>
      <w:pPr>
        <w:ind w:right="180" w:firstLine="449"/>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99" w:lineRule="exact"/>
        <w:rPr>
          <w:sz w:val="24"/>
          <w:szCs w:val="24"/>
          <w:color w:val="auto"/>
        </w:rPr>
      </w:pPr>
    </w:p>
    <w:p>
      <w:pPr>
        <w:ind w:left="2960"/>
        <w:spacing w:after="0" w:line="207" w:lineRule="exact"/>
        <w:tabs>
          <w:tab w:leader="none" w:pos="4940" w:val="left"/>
          <w:tab w:leader="none" w:pos="6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issuer’s common stock, $0.001 par value, outstanding as of August 5, 2008 was 21,068,772.</w:t>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80" w:type="dxa"/>
            <w:vAlign w:val="bottom"/>
            <w:gridSpan w:val="6"/>
          </w:tcPr>
          <w:p>
            <w:pPr>
              <w:jc w:val="center"/>
              <w:ind w:right="2740"/>
              <w:spacing w:after="0"/>
              <w:rPr>
                <w:sz w:val="20"/>
                <w:szCs w:val="20"/>
                <w:color w:val="auto"/>
              </w:rPr>
            </w:pPr>
            <w:r>
              <w:rPr>
                <w:rFonts w:ascii="Arial" w:cs="Arial" w:eastAsia="Arial" w:hAnsi="Arial"/>
                <w:sz w:val="18"/>
                <w:szCs w:val="18"/>
                <w:b w:val="1"/>
                <w:bCs w:val="1"/>
                <w:color w:val="auto"/>
                <w:w w:val="99"/>
              </w:rPr>
              <w:t>PART I. FINANCIAL INFORMATION</w:t>
            </w:r>
          </w:p>
        </w:tc>
        <w:tc>
          <w:tcPr>
            <w:tcW w:w="300" w:type="dxa"/>
            <w:vAlign w:val="bottom"/>
          </w:tcPr>
          <w:p>
            <w:pPr>
              <w:spacing w:after="0"/>
              <w:rPr>
                <w:sz w:val="18"/>
                <w:szCs w:val="18"/>
                <w:color w:val="auto"/>
              </w:rPr>
            </w:pPr>
          </w:p>
        </w:tc>
      </w:tr>
      <w:tr>
        <w:trPr>
          <w:trHeight w:val="222"/>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Item 1.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10500" w:type="dxa"/>
            <w:vAlign w:val="bottom"/>
            <w:gridSpan w:val="9"/>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Assets and Liabilities as of June 30, 2008 (unaudited) and September 30, 2007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84"/>
        </w:trPr>
        <w:tc>
          <w:tcPr>
            <w:tcW w:w="440" w:type="dxa"/>
            <w:vAlign w:val="bottom"/>
          </w:tcPr>
          <w:p>
            <w:pPr>
              <w:spacing w:after="0"/>
              <w:rPr>
                <w:sz w:val="15"/>
                <w:szCs w:val="15"/>
                <w:color w:val="auto"/>
              </w:rPr>
            </w:pPr>
          </w:p>
        </w:tc>
        <w:tc>
          <w:tcPr>
            <w:tcW w:w="10500" w:type="dxa"/>
            <w:vAlign w:val="bottom"/>
            <w:gridSpan w:val="9"/>
          </w:tcPr>
          <w:p>
            <w:pPr>
              <w:spacing w:after="0" w:line="184"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Statements of Operations for the three and nine months ended June 30, 2008 (unaudited) and for the three months ended June 30, 2007 (unaudited)</w:t>
              </w:r>
            </w:hyperlink>
          </w:p>
        </w:tc>
        <w:tc>
          <w:tcPr>
            <w:tcW w:w="300" w:type="dxa"/>
            <w:vAlign w:val="bottom"/>
          </w:tcPr>
          <w:p>
            <w:pPr>
              <w:spacing w:after="0"/>
              <w:rPr>
                <w:sz w:val="15"/>
                <w:szCs w:val="15"/>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and for the period from January 11, 2007 (inception) through June 30, 2007 (unaudited)</w:t>
              </w:r>
            </w:hyperlink>
          </w:p>
        </w:tc>
        <w:tc>
          <w:tcPr>
            <w:tcW w:w="398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10500" w:type="dxa"/>
            <w:vAlign w:val="bottom"/>
            <w:gridSpan w:val="9"/>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Statements of Changes in Net Assets for the nine months ended June 30, 2008 (unaudited) and for the period from January 11, 2007 (inception)</w:t>
              </w:r>
            </w:hyperlink>
          </w:p>
        </w:tc>
        <w:tc>
          <w:tcPr>
            <w:tcW w:w="30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through September 30, 2007</w:t>
              </w:r>
            </w:hyperlink>
          </w:p>
        </w:tc>
        <w:tc>
          <w:tcPr>
            <w:tcW w:w="7900" w:type="dxa"/>
            <w:vAlign w:val="bottom"/>
            <w:tcBorders>
              <w:top w:val="single" w:sz="8" w:color="0000EE"/>
            </w:tcBorders>
            <w:gridSpan w:val="4"/>
          </w:tcPr>
          <w:p>
            <w:pPr>
              <w:spacing w:after="0"/>
              <w:rPr>
                <w:sz w:val="17"/>
                <w:szCs w:val="17"/>
                <w:color w:val="auto"/>
              </w:rPr>
            </w:pPr>
          </w:p>
        </w:tc>
        <w:tc>
          <w:tcPr>
            <w:tcW w:w="3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99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Statements of Cash Flows for the nine months ended June 30, 2008 (unaudited) and for the period from January 11, 2007 (inception) through</w:t>
              </w:r>
            </w:hyperlink>
          </w:p>
        </w:tc>
        <w:tc>
          <w:tcPr>
            <w:tcW w:w="5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80" w:type="dxa"/>
            <w:vAlign w:val="bottom"/>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2007 (unaudited)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9"/>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Schedules of Investments as of June 30, 2008 (unaudited) and September 30, 2007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0" w:type="dxa"/>
            <w:vAlign w:val="bottom"/>
          </w:tcPr>
          <w:p>
            <w:pPr>
              <w:spacing w:after="0"/>
              <w:rPr>
                <w:sz w:val="18"/>
                <w:szCs w:val="18"/>
                <w:color w:val="auto"/>
              </w:rPr>
            </w:pPr>
          </w:p>
        </w:tc>
        <w:tc>
          <w:tcPr>
            <w:tcW w:w="10500" w:type="dxa"/>
            <w:vAlign w:val="bottom"/>
            <w:gridSpan w:val="9"/>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Notes to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4"/>
          </w:tcPr>
          <w:p>
            <w:pPr>
              <w:spacing w:after="0" w:line="184" w:lineRule="exact"/>
              <w:rPr>
                <w:sz w:val="20"/>
                <w:szCs w:val="20"/>
                <w:color w:val="auto"/>
              </w:rPr>
            </w:pPr>
            <w:r>
              <w:rPr>
                <w:rFonts w:ascii="Arial" w:cs="Arial" w:eastAsia="Arial" w:hAnsi="Arial"/>
                <w:sz w:val="18"/>
                <w:szCs w:val="18"/>
                <w:color w:val="0000EE"/>
                <w:w w:val="89"/>
              </w:rPr>
              <w:t>Report of Independent Registered Public Accounting Firm</w:t>
            </w:r>
          </w:p>
        </w:tc>
        <w:tc>
          <w:tcPr>
            <w:tcW w:w="6380" w:type="dxa"/>
            <w:vAlign w:val="bottom"/>
            <w:gridSpan w:val="5"/>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8"/>
                <w:szCs w:val="18"/>
                <w:color w:val="auto"/>
              </w:rPr>
              <w:t>23</w:t>
            </w:r>
          </w:p>
        </w:tc>
      </w:tr>
      <w:tr>
        <w:trPr>
          <w:trHeight w:val="222"/>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Item 2.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Item 3. 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Item 4. 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80" w:type="dxa"/>
            <w:vAlign w:val="bottom"/>
            <w:gridSpan w:val="6"/>
          </w:tcPr>
          <w:p>
            <w:pPr>
              <w:jc w:val="center"/>
              <w:ind w:right="2740"/>
              <w:spacing w:after="0"/>
              <w:rPr>
                <w:sz w:val="20"/>
                <w:szCs w:val="20"/>
                <w:color w:val="auto"/>
              </w:rPr>
            </w:pPr>
            <w:r>
              <w:rPr>
                <w:rFonts w:ascii="Arial" w:cs="Arial" w:eastAsia="Arial" w:hAnsi="Arial"/>
                <w:sz w:val="18"/>
                <w:szCs w:val="18"/>
                <w:b w:val="1"/>
                <w:bCs w:val="1"/>
                <w:color w:val="auto"/>
              </w:rPr>
              <w:t>PART II. OTHER INFORMATION</w:t>
            </w:r>
          </w:p>
        </w:tc>
        <w:tc>
          <w:tcPr>
            <w:tcW w:w="300" w:type="dxa"/>
            <w:vAlign w:val="bottom"/>
          </w:tcPr>
          <w:p>
            <w:pPr>
              <w:spacing w:after="0"/>
              <w:rPr>
                <w:sz w:val="18"/>
                <w:szCs w:val="18"/>
                <w:color w:val="auto"/>
              </w:rPr>
            </w:pP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1. 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1A. 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2. 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3. Defaults Upon Senior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4. Submission of Matters to a Vote of Security Holders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Item 5.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Item 6. 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10940" w:type="dxa"/>
            <w:vAlign w:val="bottom"/>
            <w:gridSpan w:val="10"/>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240"/>
          </w:cols>
          <w:pgMar w:left="32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filing this Report in compliance with Rule 13a-13 promulgated by the SEC. In this Report, “PennantPark Investment”, “we”, “our” and “us” refer to PennantPark Investment Corporation unless the context otherwise requires.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320" w:top="459"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June 30, 2008</w:t>
            </w:r>
          </w:p>
        </w:tc>
        <w:tc>
          <w:tcPr>
            <w:tcW w:w="120" w:type="dxa"/>
            <w:vAlign w:val="bottom"/>
          </w:tcPr>
          <w:p>
            <w:pPr>
              <w:spacing w:after="0"/>
              <w:rPr>
                <w:sz w:val="13"/>
                <w:szCs w:val="1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8"/>
              </w:rPr>
              <w:t>September 30,</w:t>
            </w:r>
          </w:p>
        </w:tc>
      </w:t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9"/>
              </w:rPr>
              <w:t>(Unaudited)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4"/>
                <w:szCs w:val="14"/>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Non-controlled, non-affiliated investments, at fair value (cost—$435,256,061 and $298,789,297,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369,991,408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274,679,030</w:t>
            </w:r>
          </w:p>
        </w:tc>
        <w:tc>
          <w:tcPr>
            <w:tcW w:w="60" w:type="dxa"/>
            <w:vAlign w:val="bottom"/>
            <w:shd w:val="clear" w:color="auto" w:fill="CCEEFF"/>
          </w:tcPr>
          <w:p>
            <w:pPr>
              <w:spacing w:after="0"/>
              <w:rPr>
                <w:sz w:val="18"/>
                <w:szCs w:val="18"/>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Non-controlled, affiliated investments, at fair value (cost—$16,534,481 and $16,092,573, respectively)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15,715,395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16,337,578</w:t>
            </w:r>
          </w:p>
        </w:tc>
        <w:tc>
          <w:tcPr>
            <w:tcW w:w="60" w:type="dxa"/>
            <w:vAlign w:val="bottom"/>
          </w:tcPr>
          <w:p>
            <w:pPr>
              <w:spacing w:after="0"/>
              <w:rPr>
                <w:sz w:val="19"/>
                <w:szCs w:val="19"/>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at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385,706,803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291,016,608</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Cash equivalents (cost—$41,030,236 and $258,016,351, respectively)</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41,030,236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257,959,635</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4,517,850</w:t>
            </w:r>
          </w:p>
        </w:tc>
        <w:tc>
          <w:tcPr>
            <w:tcW w:w="60" w:type="dxa"/>
            <w:vAlign w:val="bottom"/>
            <w:shd w:val="clear" w:color="auto" w:fill="CCEEFF"/>
          </w:tcPr>
          <w:p>
            <w:pPr>
              <w:spacing w:after="0"/>
              <w:rPr>
                <w:sz w:val="18"/>
                <w:szCs w:val="18"/>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1,524,999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1,513,583</w:t>
            </w:r>
          </w:p>
        </w:tc>
        <w:tc>
          <w:tcPr>
            <w:tcW w:w="60" w:type="dxa"/>
            <w:vAlign w:val="bottom"/>
          </w:tcPr>
          <w:p>
            <w:pPr>
              <w:spacing w:after="0"/>
              <w:rPr>
                <w:sz w:val="19"/>
                <w:szCs w:val="19"/>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432,286,051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555,007,676</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Payable for cash equivalents purchased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252,759,931</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16,583,921</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3,989,948</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Credit facility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204,100,000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10,000,000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170,989</w:t>
            </w:r>
          </w:p>
        </w:tc>
        <w:tc>
          <w:tcPr>
            <w:tcW w:w="60" w:type="dxa"/>
            <w:vAlign w:val="bottom"/>
            <w:shd w:val="clear" w:color="auto" w:fill="CCEEFF"/>
          </w:tcPr>
          <w:p>
            <w:pPr>
              <w:spacing w:after="0"/>
              <w:rPr>
                <w:sz w:val="18"/>
                <w:szCs w:val="18"/>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1,109,793</w:t>
            </w:r>
          </w:p>
        </w:tc>
        <w:tc>
          <w:tcPr>
            <w:tcW w:w="60" w:type="dxa"/>
            <w:vAlign w:val="bottom"/>
          </w:tcPr>
          <w:p>
            <w:pPr>
              <w:spacing w:after="0"/>
              <w:rPr>
                <w:sz w:val="19"/>
                <w:szCs w:val="19"/>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205,459,212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284,614,582</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par value $0.001 per share, 100,000,000 shares authorized and 21,068,772 shares issued and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294,586,604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294,586,604</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(980,265)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(196,769)</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Accumulated net realized loss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(716,830)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(95,832)</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(66,083,739)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(23,921,978)</w:t>
            </w:r>
          </w:p>
        </w:tc>
      </w:tr>
      <w:tr>
        <w:trPr>
          <w:trHeight w:val="230"/>
        </w:trPr>
        <w:tc>
          <w:tcPr>
            <w:tcW w:w="894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226,826,839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tcPr>
          <w:p>
            <w:pPr>
              <w:spacing w:after="0"/>
              <w:rPr>
                <w:sz w:val="20"/>
                <w:szCs w:val="20"/>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432,286,051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555,007,676</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Period from</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January 11, 2007</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Three</w:t>
            </w:r>
          </w:p>
        </w:tc>
        <w:tc>
          <w:tcPr>
            <w:tcW w:w="80" w:type="dxa"/>
            <w:vAlign w:val="bottom"/>
          </w:tcPr>
          <w:p>
            <w:pPr>
              <w:spacing w:after="0"/>
              <w:rPr>
                <w:sz w:val="12"/>
                <w:szCs w:val="12"/>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Three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3"/>
              </w:rPr>
              <w:t>Nine months</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(inception)</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9"/>
              </w:rPr>
              <w:t>months ended</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ended</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through</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June 30, 2008</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June 30, 2007</w:t>
            </w:r>
          </w:p>
        </w:tc>
        <w:tc>
          <w:tcPr>
            <w:tcW w:w="12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2"/>
              </w:rPr>
              <w:t>June 30, 2008</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June 30, 2007</w:t>
            </w: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9,080,471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5,425,279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27,016,694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132,154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132,154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111,924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337,832</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1,063,257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8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9,662,381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5,425,279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28,379,911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6,198,262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1,829,909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1,048,503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5,195,750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Interest and other credit facility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1,656,140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862,433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4,422,543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1,603,408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Administrative services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44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658,178</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Expenses before base management fee waiver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5,721,240</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2,379,686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15,678,748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ind w:left="440"/>
              <w:spacing w:after="0"/>
              <w:rPr>
                <w:sz w:val="20"/>
                <w:szCs w:val="20"/>
                <w:color w:val="auto"/>
              </w:rPr>
            </w:pPr>
            <w:r>
              <w:rPr>
                <w:rFonts w:ascii="Arial" w:cs="Arial" w:eastAsia="Arial" w:hAnsi="Arial"/>
                <w:sz w:val="18"/>
                <w:szCs w:val="18"/>
                <w:color w:val="auto"/>
              </w:rPr>
              <w:t>Base management fee waiver</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(262,126)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(262,126)</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44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5,721,240</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2,217,560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15,258,017</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3,241,763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3,941,141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3,207,719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13,121,894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b w:val="1"/>
                <w:bCs w:val="1"/>
                <w:color w:val="auto"/>
              </w:rPr>
              <w:t>Realized and unrealized gain (loss) on investments and cash equivalents: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(401,624)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(620,998)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Non-controlled, non-affiliated investments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10,700,808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(5,117,039)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(41,097,670)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(5,118,740)</w:t>
            </w:r>
          </w:p>
        </w:tc>
        <w:tc>
          <w:tcPr>
            <w:tcW w:w="0" w:type="dxa"/>
            <w:vAlign w:val="bottom"/>
          </w:tcPr>
          <w:p>
            <w:pPr>
              <w:spacing w:after="0"/>
              <w:rPr>
                <w:sz w:val="1"/>
                <w:szCs w:val="1"/>
                <w:color w:val="auto"/>
              </w:rPr>
            </w:pPr>
          </w:p>
        </w:tc>
      </w:tr>
      <w:tr>
        <w:trPr>
          <w:trHeight w:val="216"/>
        </w:trPr>
        <w:tc>
          <w:tcPr>
            <w:tcW w:w="6640" w:type="dxa"/>
            <w:vAlign w:val="bottom"/>
          </w:tcPr>
          <w:p>
            <w:pPr>
              <w:ind w:left="880"/>
              <w:spacing w:after="0"/>
              <w:rPr>
                <w:sz w:val="20"/>
                <w:szCs w:val="20"/>
                <w:color w:val="auto"/>
              </w:rPr>
            </w:pPr>
            <w:r>
              <w:rPr>
                <w:rFonts w:ascii="Arial" w:cs="Arial" w:eastAsia="Arial" w:hAnsi="Arial"/>
                <w:sz w:val="18"/>
                <w:szCs w:val="18"/>
                <w:color w:val="auto"/>
              </w:rPr>
              <w:t>Non-controlled, affiliated investments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964,139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(1,064,091)</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unrealized appreciation (depreciation)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11,664,947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(5,117,039)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(42,161,761)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(5,118,740)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w w:val="98"/>
              </w:rPr>
              <w:t>Net realized and unrealized gain (loss) from investments and cash equivalents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11,263,323</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(5,151,765)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(42,782,759)</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(5,134,091)</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15,204,464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(1,944,046)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(29,660,865)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(2,177,592)</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Gain (loss) per common share (see note 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0.72</w:t>
            </w:r>
          </w:p>
        </w:tc>
        <w:tc>
          <w:tcPr>
            <w:tcW w:w="3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Period from</w:t>
            </w:r>
          </w:p>
        </w:tc>
      </w:tr>
      <w:tr>
        <w:trPr>
          <w:trHeight w:val="148"/>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January 11,</w:t>
            </w:r>
          </w:p>
        </w:tc>
      </w:tr>
      <w:tr>
        <w:trPr>
          <w:trHeight w:val="148"/>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2"/>
                <w:szCs w:val="12"/>
                <w:color w:val="auto"/>
              </w:rPr>
            </w:pPr>
          </w:p>
        </w:tc>
      </w:tr>
      <w:tr>
        <w:trPr>
          <w:trHeight w:val="148"/>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Nine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(inception)</w:t>
            </w:r>
          </w:p>
        </w:tc>
      </w:tr>
      <w:tr>
        <w:trPr>
          <w:trHeight w:val="149"/>
        </w:trPr>
        <w:tc>
          <w:tcPr>
            <w:tcW w:w="8940" w:type="dxa"/>
            <w:vAlign w:val="bottom"/>
          </w:tcPr>
          <w:p>
            <w:pPr>
              <w:spacing w:after="0"/>
              <w:rPr>
                <w:sz w:val="12"/>
                <w:szCs w:val="12"/>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8"/>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through</w:t>
            </w:r>
          </w:p>
        </w:tc>
      </w:tr>
      <w:tr>
        <w:trPr>
          <w:trHeight w:val="148"/>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June 30, 2008</w:t>
            </w:r>
          </w:p>
        </w:tc>
        <w:tc>
          <w:tcPr>
            <w:tcW w:w="120" w:type="dxa"/>
            <w:vAlign w:val="bottom"/>
          </w:tcPr>
          <w:p>
            <w:pPr>
              <w:spacing w:after="0"/>
              <w:rPr>
                <w:sz w:val="12"/>
                <w:szCs w:val="12"/>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September 30,</w:t>
            </w:r>
          </w:p>
        </w:tc>
      </w:t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8"/>
              </w:rPr>
              <w:t>(unaudited)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14"/>
                <w:szCs w:val="14"/>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Decrease in net assets from operations: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13,121,894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7,304,496</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(81,769)</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Net change in unrealized depreciation on investments and cash equivalents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(42,161,761)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(23,921,978)</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(29,660,865)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(16,699,251)</w:t>
            </w:r>
          </w:p>
        </w:tc>
      </w:tr>
      <w:tr>
        <w:trPr>
          <w:trHeight w:val="290"/>
        </w:trPr>
        <w:tc>
          <w:tcPr>
            <w:tcW w:w="8940" w:type="dxa"/>
            <w:vAlign w:val="bottom"/>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from net investment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(13,905,390)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(7,545,458)</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(28,356)</w:t>
            </w:r>
          </w:p>
        </w:tc>
      </w:tr>
      <w:tr>
        <w:trPr>
          <w:trHeight w:val="74"/>
        </w:trPr>
        <w:tc>
          <w:tcPr>
            <w:tcW w:w="89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dividends and distributions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(13,905,390)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(7,573,814)</w:t>
            </w:r>
          </w:p>
        </w:tc>
      </w:tr>
      <w:tr>
        <w:trPr>
          <w:trHeight w:val="289"/>
        </w:trPr>
        <w:tc>
          <w:tcPr>
            <w:tcW w:w="894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315,375,000</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Offering costs related to public share offerings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(21,309,375)</w:t>
            </w: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Reinvestment of dividends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600,534</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294,666,159</w:t>
            </w:r>
          </w:p>
        </w:tc>
        <w:tc>
          <w:tcPr>
            <w:tcW w:w="60" w:type="dxa"/>
            <w:vAlign w:val="bottom"/>
          </w:tcPr>
          <w:p>
            <w:pPr>
              <w:spacing w:after="0"/>
              <w:rPr>
                <w:sz w:val="19"/>
                <w:szCs w:val="19"/>
                <w:color w:val="auto"/>
              </w:rPr>
            </w:pPr>
          </w:p>
        </w:tc>
      </w:tr>
      <w:tr>
        <w:trPr>
          <w:trHeight w:val="217"/>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(decrease) increase in net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(43,566,255)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270,393,094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226,826,839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270,393,094</w:t>
            </w:r>
          </w:p>
        </w:tc>
        <w:tc>
          <w:tcPr>
            <w:tcW w:w="6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Shares issued from subscriptions</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21,025,000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from reinvestment of dividend</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60" w:type="dxa"/>
            <w:vAlign w:val="bottom"/>
            <w:shd w:val="clear" w:color="auto" w:fill="CCEEFF"/>
          </w:tcPr>
          <w:p>
            <w:pPr>
              <w:spacing w:after="0"/>
              <w:rPr>
                <w:sz w:val="18"/>
                <w:szCs w:val="18"/>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Total increase in capital shares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21,068,772</w:t>
            </w:r>
          </w:p>
        </w:tc>
        <w:tc>
          <w:tcPr>
            <w:tcW w:w="60" w:type="dxa"/>
            <w:vAlign w:val="bottom"/>
          </w:tcPr>
          <w:p>
            <w:pPr>
              <w:spacing w:after="0"/>
              <w:rPr>
                <w:sz w:val="19"/>
                <w:szCs w:val="19"/>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9"/>
              </w:rPr>
              <w:t>Nine</w:t>
            </w:r>
          </w:p>
        </w:tc>
        <w:tc>
          <w:tcPr>
            <w:tcW w:w="1480" w:type="dxa"/>
            <w:vAlign w:val="bottom"/>
            <w:gridSpan w:val="3"/>
          </w:tcPr>
          <w:p>
            <w:pPr>
              <w:spacing w:after="0"/>
              <w:rPr>
                <w:sz w:val="20"/>
                <w:szCs w:val="20"/>
                <w:color w:val="auto"/>
              </w:rPr>
            </w:pPr>
            <w:r>
              <w:rPr>
                <w:rFonts w:ascii="Arial" w:cs="Arial" w:eastAsia="Arial" w:hAnsi="Arial"/>
                <w:sz w:val="13"/>
                <w:szCs w:val="13"/>
                <w:b w:val="1"/>
                <w:bCs w:val="1"/>
                <w:color w:val="auto"/>
                <w:w w:val="98"/>
              </w:rPr>
              <w:t>Period from January 11,</w:t>
            </w:r>
          </w:p>
        </w:tc>
        <w:tc>
          <w:tcPr>
            <w:tcW w:w="0" w:type="dxa"/>
            <w:vAlign w:val="bottom"/>
          </w:tcPr>
          <w:p>
            <w:pPr>
              <w:spacing w:after="0"/>
              <w:rPr>
                <w:sz w:val="1"/>
                <w:szCs w:val="1"/>
                <w:color w:val="auto"/>
              </w:rPr>
            </w:pPr>
          </w:p>
        </w:tc>
      </w:tr>
      <w:tr>
        <w:trPr>
          <w:trHeight w:val="148"/>
        </w:trPr>
        <w:tc>
          <w:tcPr>
            <w:tcW w:w="7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89"/>
              </w:rPr>
              <w:t>months ended</w:t>
            </w:r>
          </w:p>
        </w:tc>
        <w:tc>
          <w:tcPr>
            <w:tcW w:w="160" w:type="dxa"/>
            <w:vAlign w:val="bottom"/>
          </w:tcPr>
          <w:p>
            <w:pPr>
              <w:spacing w:after="0"/>
              <w:rPr>
                <w:sz w:val="12"/>
                <w:szCs w:val="1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8"/>
              </w:rPr>
              <w:t>2007 (inception)</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4"/>
              </w:rPr>
              <w:t>June 30, 2008</w:t>
            </w:r>
          </w:p>
        </w:tc>
        <w:tc>
          <w:tcPr>
            <w:tcW w:w="14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6"/>
              </w:rPr>
              <w:t>through June 30, 2007</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Net decrease in net assets resulting from operations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(29,660,865)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(2,177,592)</w:t>
            </w:r>
          </w:p>
        </w:tc>
        <w:tc>
          <w:tcPr>
            <w:tcW w:w="0" w:type="dxa"/>
            <w:vAlign w:val="bottom"/>
          </w:tcPr>
          <w:p>
            <w:pPr>
              <w:spacing w:after="0"/>
              <w:rPr>
                <w:sz w:val="1"/>
                <w:szCs w:val="1"/>
                <w:color w:val="auto"/>
              </w:rPr>
            </w:pPr>
          </w:p>
        </w:tc>
      </w:tr>
      <w:tr>
        <w:trPr>
          <w:trHeight w:val="208"/>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Adjustments to reconcile net decrease in net assets resulting from operations to net cash used by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Change in net unrealized depreciation on investments and cash equivalents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42,161,761</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5,118,740</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 on investments and cash equivalents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620,998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(835,822)</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Purchase of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(149,312,146)</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(372,854,779)</w:t>
            </w: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Payment-in-kind interest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(1,735,282)</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14,410,296</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92,676,996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Increase in receivable for investments sold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(13,574,352)</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493,837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(3,030,837)</w:t>
            </w: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(11,416)</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(297,430)</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payables for cash equivalents purchased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(252,759,931)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281,783,538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Decrease in payables for investments purchased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(16,583,921)</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unfunded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(3,989,948)</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Decrease in interest payable on credit facility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(36,043)</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accrued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114,473</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1300"/>
              <w:spacing w:after="0"/>
              <w:rPr>
                <w:sz w:val="20"/>
                <w:szCs w:val="20"/>
                <w:color w:val="auto"/>
              </w:rPr>
            </w:pPr>
            <w:r>
              <w:rPr>
                <w:rFonts w:ascii="Arial" w:cs="Arial" w:eastAsia="Arial" w:hAnsi="Arial"/>
                <w:sz w:val="18"/>
                <w:szCs w:val="18"/>
                <w:color w:val="auto"/>
              </w:rPr>
              <w:t>Net cash used by operating activities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(397,124,009)</w:t>
            </w: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(2,152,581)</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Increase in issuance of common stock</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315,682,229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(21,309,375)</w:t>
            </w: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(1,171,824)</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and distributions to stockholders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(13,905,390)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(2,943,500)</w:t>
            </w:r>
          </w:p>
        </w:tc>
        <w:tc>
          <w:tcPr>
            <w:tcW w:w="0" w:type="dxa"/>
            <w:vAlign w:val="bottom"/>
          </w:tcPr>
          <w:p>
            <w:pPr>
              <w:spacing w:after="0"/>
              <w:rPr>
                <w:sz w:val="1"/>
                <w:szCs w:val="1"/>
                <w:color w:val="auto"/>
              </w:rPr>
            </w:pPr>
          </w:p>
        </w:tc>
      </w:tr>
      <w:tr>
        <w:trPr>
          <w:trHeight w:val="216"/>
        </w:trPr>
        <w:tc>
          <w:tcPr>
            <w:tcW w:w="7620" w:type="dxa"/>
            <w:vAlign w:val="bottom"/>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w w:val="91"/>
              </w:rPr>
              <w:t>359,840,000</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241,913,786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(165,740,000)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(241,913,786)</w:t>
            </w:r>
          </w:p>
        </w:tc>
        <w:tc>
          <w:tcPr>
            <w:tcW w:w="0" w:type="dxa"/>
            <w:vAlign w:val="bottom"/>
          </w:tcPr>
          <w:p>
            <w:pPr>
              <w:spacing w:after="0"/>
              <w:rPr>
                <w:sz w:val="1"/>
                <w:szCs w:val="1"/>
                <w:color w:val="auto"/>
              </w:rPr>
            </w:pPr>
          </w:p>
        </w:tc>
      </w:tr>
      <w:tr>
        <w:trPr>
          <w:trHeight w:val="230"/>
        </w:trPr>
        <w:tc>
          <w:tcPr>
            <w:tcW w:w="7620" w:type="dxa"/>
            <w:vAlign w:val="bottom"/>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180,194,610</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290,257,530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(216,929,399)</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257,959,635</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41,030,236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paid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3,840,424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620" w:type="dxa"/>
            <w:vAlign w:val="bottom"/>
          </w:tcPr>
          <w:p>
            <w:pPr>
              <w:ind w:left="880"/>
              <w:spacing w:after="0"/>
              <w:rPr>
                <w:sz w:val="20"/>
                <w:szCs w:val="20"/>
                <w:color w:val="auto"/>
              </w:rPr>
            </w:pPr>
            <w:r>
              <w:rPr>
                <w:rFonts w:ascii="Arial" w:cs="Arial" w:eastAsia="Arial" w:hAnsi="Arial"/>
                <w:sz w:val="18"/>
                <w:szCs w:val="18"/>
                <w:color w:val="auto"/>
              </w:rPr>
              <w:t>Income taxes paid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Basis</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Point</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Spread</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Current</w:t>
            </w: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Above</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Issuer name</w:t>
            </w:r>
          </w:p>
        </w:tc>
        <w:tc>
          <w:tcPr>
            <w:tcW w:w="32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8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100" w:type="dxa"/>
            <w:vAlign w:val="bottom"/>
          </w:tcPr>
          <w:p>
            <w:pPr>
              <w:spacing w:after="0"/>
              <w:rPr>
                <w:sz w:val="15"/>
                <w:szCs w:val="15"/>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Par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600" w:type="dxa"/>
            <w:vAlign w:val="bottom"/>
            <w:gridSpan w:val="6"/>
          </w:tcPr>
          <w:p>
            <w:pPr>
              <w:spacing w:after="0"/>
              <w:rPr>
                <w:sz w:val="20"/>
                <w:szCs w:val="20"/>
                <w:color w:val="auto"/>
              </w:rPr>
            </w:pPr>
            <w:r>
              <w:rPr>
                <w:rFonts w:ascii="Arial" w:cs="Arial" w:eastAsia="Arial" w:hAnsi="Arial"/>
                <w:sz w:val="18"/>
                <w:szCs w:val="18"/>
                <w:b w:val="1"/>
                <w:bCs w:val="1"/>
                <w:color w:val="auto"/>
                <w:w w:val="98"/>
              </w:rPr>
              <w:t>Investments in Non-Controlled, Non-Affiliated Portfolio Companies – 163.1%</w:t>
            </w:r>
            <w:r>
              <w:rPr>
                <w:rFonts w:ascii="Arial" w:cs="Arial" w:eastAsia="Arial" w:hAnsi="Arial"/>
                <w:sz w:val="22"/>
                <w:szCs w:val="22"/>
                <w:b w:val="1"/>
                <w:bCs w:val="1"/>
                <w:color w:val="auto"/>
                <w:w w:val="98"/>
                <w:vertAlign w:val="superscript"/>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Subordinated Debt / Corporate Notes – 55.7%</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11/30/2015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40" w:type="dxa"/>
            <w:vAlign w:val="bottom"/>
            <w:gridSpan w:val="3"/>
          </w:tcPr>
          <w:p>
            <w:pPr>
              <w:jc w:val="right"/>
              <w:ind w:right="100"/>
              <w:spacing w:after="0" w:line="216" w:lineRule="exact"/>
              <w:rPr>
                <w:sz w:val="20"/>
                <w:szCs w:val="20"/>
                <w:color w:val="auto"/>
              </w:rPr>
            </w:pPr>
            <w:r>
              <w:rPr>
                <w:rFonts w:ascii="Arial" w:cs="Arial" w:eastAsia="Arial" w:hAnsi="Arial"/>
                <w:sz w:val="18"/>
                <w:szCs w:val="18"/>
                <w:color w:val="auto"/>
              </w:rPr>
              <w:t>9.80%</w:t>
            </w:r>
            <w:r>
              <w:rPr>
                <w:rFonts w:ascii="Arial" w:cs="Arial" w:eastAsia="Arial" w:hAnsi="Arial"/>
                <w:sz w:val="22"/>
                <w:szCs w:val="22"/>
                <w:color w:val="auto"/>
                <w:vertAlign w:val="superscript"/>
              </w:rPr>
              <w:t>(6)</w:t>
            </w: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L+700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$ 15,871,125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5"/>
              </w:rPr>
              <w:t>$ 15,871,125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12,855,611</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03/01/2012</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94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8"/>
                <w:szCs w:val="18"/>
                <w:color w:val="auto"/>
              </w:rPr>
              <w:t>9.27%</w:t>
            </w:r>
            <w:r>
              <w:rPr>
                <w:rFonts w:ascii="Arial" w:cs="Arial" w:eastAsia="Arial" w:hAnsi="Arial"/>
                <w:sz w:val="22"/>
                <w:szCs w:val="22"/>
                <w:color w:val="auto"/>
                <w:vertAlign w:val="superscript"/>
              </w:rPr>
              <w:t>(6)</w:t>
            </w: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L+625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21,520,054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18,759,375</w:t>
            </w: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04/17/2015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940" w:type="dxa"/>
            <w:vAlign w:val="bottom"/>
            <w:gridSpan w:val="3"/>
          </w:tcPr>
          <w:p>
            <w:pPr>
              <w:jc w:val="right"/>
              <w:ind w:right="100"/>
              <w:spacing w:after="0" w:line="207" w:lineRule="exact"/>
              <w:rPr>
                <w:sz w:val="20"/>
                <w:szCs w:val="20"/>
                <w:color w:val="auto"/>
              </w:rPr>
            </w:pPr>
            <w:r>
              <w:rPr>
                <w:rFonts w:ascii="Arial" w:cs="Arial" w:eastAsia="Arial" w:hAnsi="Arial"/>
                <w:sz w:val="18"/>
                <w:szCs w:val="18"/>
                <w:color w:val="auto"/>
              </w:rPr>
              <w:t>14.25%</w:t>
            </w:r>
            <w:r>
              <w:rPr>
                <w:rFonts w:ascii="Arial" w:cs="Arial" w:eastAsia="Arial" w:hAnsi="Arial"/>
                <w:sz w:val="22"/>
                <w:szCs w:val="22"/>
                <w:color w:val="auto"/>
                <w:vertAlign w:val="superscript"/>
              </w:rPr>
              <w:t>(6)</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7,825,282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2 H</w:t>
            </w:r>
            <w:r>
              <w:rPr>
                <w:rFonts w:ascii="Arial" w:cs="Arial" w:eastAsia="Arial" w:hAnsi="Arial"/>
                <w:sz w:val="15"/>
                <w:szCs w:val="15"/>
                <w:color w:val="auto"/>
              </w:rPr>
              <w:t xml:space="preserve">OLDINGS </w:t>
            </w:r>
            <w:r>
              <w:rPr>
                <w:rFonts w:ascii="Arial" w:cs="Arial" w:eastAsia="Arial" w:hAnsi="Arial"/>
                <w:sz w:val="17"/>
                <w:szCs w:val="17"/>
                <w:color w:val="auto"/>
              </w:rPr>
              <w:t>L</w:t>
            </w:r>
            <w:r>
              <w:rPr>
                <w:rFonts w:ascii="Arial" w:cs="Arial" w:eastAsia="Arial" w:hAnsi="Arial"/>
                <w:sz w:val="15"/>
                <w:szCs w:val="15"/>
                <w:color w:val="auto"/>
              </w:rPr>
              <w:t>TD</w:t>
            </w:r>
            <w:r>
              <w:rPr>
                <w:rFonts w:ascii="Arial" w:cs="Arial" w:eastAsia="Arial" w:hAnsi="Arial"/>
                <w:sz w:val="17"/>
                <w:szCs w:val="17"/>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06/06/2014</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940" w:type="dxa"/>
            <w:vAlign w:val="bottom"/>
            <w:gridSpan w:val="3"/>
            <w:shd w:val="clear" w:color="auto" w:fill="CCEEFF"/>
          </w:tcPr>
          <w:p>
            <w:pPr>
              <w:jc w:val="right"/>
              <w:ind w:right="100"/>
              <w:spacing w:after="0" w:line="209" w:lineRule="exact"/>
              <w:rPr>
                <w:sz w:val="20"/>
                <w:szCs w:val="20"/>
                <w:color w:val="auto"/>
              </w:rPr>
            </w:pPr>
            <w:r>
              <w:rPr>
                <w:rFonts w:ascii="Arial" w:cs="Arial" w:eastAsia="Arial" w:hAnsi="Arial"/>
                <w:sz w:val="18"/>
                <w:szCs w:val="18"/>
                <w:color w:val="auto"/>
              </w:rPr>
              <w:t>14.75%</w:t>
            </w:r>
            <w:r>
              <w:rPr>
                <w:rFonts w:ascii="Arial" w:cs="Arial" w:eastAsia="Arial" w:hAnsi="Arial"/>
                <w:sz w:val="22"/>
                <w:szCs w:val="22"/>
                <w:color w:val="auto"/>
                <w:vertAlign w:val="superscript"/>
              </w:rPr>
              <w:t>(6)</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21,570,233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22,000,000</w:t>
            </w: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05/20/2012</w:t>
            </w:r>
          </w:p>
        </w:tc>
        <w:tc>
          <w:tcPr>
            <w:tcW w:w="16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13.75%</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20,000,000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19,524,985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12/28/2015</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940" w:type="dxa"/>
            <w:vAlign w:val="bottom"/>
            <w:gridSpan w:val="3"/>
            <w:shd w:val="clear" w:color="auto" w:fill="CCEEFF"/>
          </w:tcPr>
          <w:p>
            <w:pPr>
              <w:jc w:val="right"/>
              <w:ind w:right="100"/>
              <w:spacing w:after="0" w:line="216" w:lineRule="exact"/>
              <w:rPr>
                <w:sz w:val="20"/>
                <w:szCs w:val="20"/>
                <w:color w:val="auto"/>
              </w:rPr>
            </w:pPr>
            <w:r>
              <w:rPr>
                <w:rFonts w:ascii="Arial" w:cs="Arial" w:eastAsia="Arial" w:hAnsi="Arial"/>
                <w:sz w:val="18"/>
                <w:szCs w:val="18"/>
                <w:color w:val="auto"/>
              </w:rPr>
              <w:t>13.50%</w:t>
            </w:r>
            <w:r>
              <w:rPr>
                <w:rFonts w:ascii="Arial" w:cs="Arial" w:eastAsia="Arial" w:hAnsi="Arial"/>
                <w:sz w:val="22"/>
                <w:szCs w:val="22"/>
                <w:color w:val="auto"/>
                <w:vertAlign w:val="superscript"/>
              </w:rPr>
              <w:t>(6)</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9,850,328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10,000,000</w:t>
            </w: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04/15/2015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 AND</w:t>
            </w:r>
            <w:r>
              <w:rPr>
                <w:rFonts w:ascii="Arial" w:cs="Arial" w:eastAsia="Arial" w:hAnsi="Arial"/>
                <w:sz w:val="18"/>
                <w:szCs w:val="18"/>
                <w:color w:val="auto"/>
              </w:rPr>
              <w:t xml:space="preserve"> R</w:t>
            </w:r>
            <w:r>
              <w:rPr>
                <w:rFonts w:ascii="Arial" w:cs="Arial" w:eastAsia="Arial" w:hAnsi="Arial"/>
                <w:sz w:val="14"/>
                <w:szCs w:val="14"/>
                <w:color w:val="auto"/>
              </w:rPr>
              <w:t>EAL</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12.38%</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28,000,000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26,279,942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13,720,000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4"/>
              </w:rPr>
              <w:t>E</w:t>
            </w:r>
            <w:r>
              <w:rPr>
                <w:rFonts w:ascii="Arial" w:cs="Arial" w:eastAsia="Arial" w:hAnsi="Arial"/>
                <w:sz w:val="14"/>
                <w:szCs w:val="14"/>
                <w:color w:val="auto"/>
                <w:w w:val="94"/>
              </w:rPr>
              <w:t>STATE</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02/08/2015</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13.50%</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20,405,479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21,000,000</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Subordinated Debt / Corporate Notes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147,371,125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142,847,428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126,334,986</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43.7%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 AND</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02/07/2015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8.84%</w:t>
            </w: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L+600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13,600,000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13,047,204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12,121,000</w:t>
            </w: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 AND</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02/07/2015</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9.69%</w:t>
            </w: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L+700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12,000,000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11,670,216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10,800,000</w:t>
            </w:r>
          </w:p>
        </w:tc>
        <w:tc>
          <w:tcPr>
            <w:tcW w:w="0" w:type="dxa"/>
            <w:vAlign w:val="bottom"/>
          </w:tcPr>
          <w:p>
            <w:pPr>
              <w:spacing w:after="0"/>
              <w:rPr>
                <w:sz w:val="1"/>
                <w:szCs w:val="1"/>
                <w:color w:val="auto"/>
              </w:rPr>
            </w:pPr>
          </w:p>
        </w:tc>
      </w:tr>
      <w:tr>
        <w:trPr>
          <w:trHeight w:val="238"/>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NFRASTRUCTURE</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04/30/2015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10.30%</w:t>
            </w: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L+750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12,000,000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11,945,011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11,880,000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 AND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11/04/2014</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9.18%</w:t>
            </w: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L+650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Basis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Point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Current</w:t>
            </w: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Issuer name</w:t>
            </w:r>
          </w:p>
        </w:tc>
        <w:tc>
          <w:tcPr>
            <w:tcW w:w="2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6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80" w:type="dxa"/>
            <w:vAlign w:val="bottom"/>
          </w:tcPr>
          <w:p>
            <w:pPr>
              <w:spacing w:after="0"/>
              <w:rPr>
                <w:sz w:val="15"/>
                <w:szCs w:val="15"/>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(Continued)</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6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136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05/15/2015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10.43%</w:t>
            </w: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L+775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$ 10,000,000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9,946,348</w:t>
            </w: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$ 3,200,000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136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88"/>
              </w:rPr>
              <w:t>05/15/2017</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RANSPORTATION</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12.50%</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16,473,303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6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06/15/2015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8.46%</w:t>
            </w:r>
            <w:r>
              <w:rPr>
                <w:rFonts w:ascii="Arial" w:cs="Arial" w:eastAsia="Arial" w:hAnsi="Arial"/>
                <w:sz w:val="22"/>
                <w:szCs w:val="22"/>
                <w:color w:val="auto"/>
                <w:vertAlign w:val="superscript"/>
              </w:rPr>
              <w:t>(6)</w:t>
            </w: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L+575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11,813,239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10,500,000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 AND</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136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88"/>
              </w:rPr>
              <w:t>12/15/2014</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w:t>
            </w:r>
          </w:p>
        </w:tc>
        <w:tc>
          <w:tcPr>
            <w:tcW w:w="1100" w:type="dxa"/>
            <w:vAlign w:val="bottom"/>
            <w:gridSpan w:val="3"/>
            <w:shd w:val="clear" w:color="auto" w:fill="CCEEFF"/>
          </w:tcPr>
          <w:p>
            <w:pPr>
              <w:jc w:val="right"/>
              <w:ind w:right="180"/>
              <w:spacing w:after="0" w:line="207" w:lineRule="exact"/>
              <w:rPr>
                <w:sz w:val="20"/>
                <w:szCs w:val="20"/>
                <w:color w:val="auto"/>
              </w:rPr>
            </w:pPr>
            <w:r>
              <w:rPr>
                <w:rFonts w:ascii="Arial" w:cs="Arial" w:eastAsia="Arial" w:hAnsi="Arial"/>
                <w:sz w:val="18"/>
                <w:szCs w:val="18"/>
                <w:color w:val="auto"/>
              </w:rPr>
              <w:t>9.48%</w:t>
            </w:r>
            <w:r>
              <w:rPr>
                <w:rFonts w:ascii="Arial" w:cs="Arial" w:eastAsia="Arial" w:hAnsi="Arial"/>
                <w:sz w:val="22"/>
                <w:szCs w:val="22"/>
                <w:color w:val="auto"/>
                <w:vertAlign w:val="superscript"/>
              </w:rPr>
              <w:t>(6)</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L+700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22,485,322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21,375,000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LASTICS AND</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UBBER</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64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36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06/15/2015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B</w:t>
            </w:r>
            <w:r>
              <w:rPr>
                <w:rFonts w:ascii="Arial" w:cs="Arial" w:eastAsia="Arial" w:hAnsi="Arial"/>
                <w:sz w:val="14"/>
                <w:szCs w:val="14"/>
                <w:color w:val="auto"/>
                <w:w w:val="95"/>
              </w:rPr>
              <w:t>USINESS</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8.81%</w:t>
            </w:r>
            <w:r>
              <w:rPr>
                <w:rFonts w:ascii="Arial" w:cs="Arial" w:eastAsia="Arial" w:hAnsi="Arial"/>
                <w:sz w:val="22"/>
                <w:szCs w:val="22"/>
                <w:color w:val="auto"/>
                <w:vertAlign w:val="superscript"/>
              </w:rPr>
              <w:t>(6)</w:t>
            </w:r>
          </w:p>
        </w:tc>
        <w:tc>
          <w:tcPr>
            <w:tcW w:w="6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L+600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15,842,218</w:t>
            </w:r>
          </w:p>
        </w:tc>
        <w:tc>
          <w:tcPr>
            <w:tcW w:w="1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14,025,000</w:t>
            </w:r>
          </w:p>
        </w:tc>
        <w:tc>
          <w:tcPr>
            <w:tcW w:w="0" w:type="dxa"/>
            <w:vAlign w:val="bottom"/>
          </w:tcPr>
          <w:p>
            <w:pPr>
              <w:spacing w:after="0"/>
              <w:rPr>
                <w:sz w:val="1"/>
                <w:szCs w:val="1"/>
                <w:color w:val="auto"/>
              </w:rPr>
            </w:pPr>
          </w:p>
        </w:tc>
      </w:tr>
      <w:tr>
        <w:trPr>
          <w:trHeight w:val="35"/>
        </w:trPr>
        <w:tc>
          <w:tcPr>
            <w:tcW w:w="7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5"/>
              </w:rPr>
              <w:t>S</w:t>
            </w:r>
            <w:r>
              <w:rPr>
                <w:rFonts w:ascii="Arial" w:cs="Arial" w:eastAsia="Arial" w:hAnsi="Arial"/>
                <w:sz w:val="14"/>
                <w:szCs w:val="14"/>
                <w:color w:val="auto"/>
                <w:w w:val="95"/>
              </w:rPr>
              <w:t>ERVICES</w:t>
            </w: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2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Second Lien Secured Debt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128,100,000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123,222,861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99,061,000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 3.2%</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C</w:t>
            </w:r>
            <w:r>
              <w:rPr>
                <w:rFonts w:ascii="Arial" w:cs="Arial" w:eastAsia="Arial" w:hAnsi="Arial"/>
                <w:sz w:val="14"/>
                <w:szCs w:val="14"/>
                <w:color w:val="auto"/>
              </w:rPr>
              <w:t>LASS</w:t>
            </w:r>
            <w:r>
              <w:rPr>
                <w:rFonts w:ascii="Arial" w:cs="Arial" w:eastAsia="Arial" w:hAnsi="Arial"/>
                <w:sz w:val="18"/>
                <w:szCs w:val="18"/>
                <w:color w:val="auto"/>
              </w:rPr>
              <w:t xml:space="preserve"> A</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1100" w:type="dxa"/>
            <w:vAlign w:val="bottom"/>
            <w:gridSpan w:val="3"/>
            <w:shd w:val="clear" w:color="auto" w:fill="CCEEFF"/>
          </w:tcPr>
          <w:p>
            <w:pPr>
              <w:jc w:val="right"/>
              <w:ind w:right="180"/>
              <w:spacing w:after="0" w:line="207" w:lineRule="exact"/>
              <w:rPr>
                <w:sz w:val="20"/>
                <w:szCs w:val="20"/>
                <w:color w:val="auto"/>
              </w:rPr>
            </w:pPr>
            <w:r>
              <w:rPr>
                <w:rFonts w:ascii="Arial" w:cs="Arial" w:eastAsia="Arial" w:hAnsi="Arial"/>
                <w:sz w:val="18"/>
                <w:szCs w:val="18"/>
                <w:color w:val="auto"/>
              </w:rPr>
              <w:t>12.00%</w:t>
            </w:r>
            <w:r>
              <w:rPr>
                <w:rFonts w:ascii="Arial" w:cs="Arial" w:eastAsia="Arial" w:hAnsi="Arial"/>
                <w:sz w:val="22"/>
                <w:szCs w:val="22"/>
                <w:color w:val="auto"/>
                <w:vertAlign w:val="superscript"/>
              </w:rPr>
              <w:t>(6)</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817,209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640" w:type="dxa"/>
            <w:vAlign w:val="bottom"/>
            <w:gridSpan w:val="2"/>
          </w:tcPr>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2 H</w:t>
            </w:r>
            <w:r>
              <w:rPr>
                <w:rFonts w:ascii="Arial" w:cs="Arial" w:eastAsia="Arial" w:hAnsi="Arial"/>
                <w:sz w:val="15"/>
                <w:szCs w:val="15"/>
                <w:color w:val="auto"/>
              </w:rPr>
              <w:t xml:space="preserve">OLDINGS </w:t>
            </w:r>
            <w:r>
              <w:rPr>
                <w:rFonts w:ascii="Arial" w:cs="Arial" w:eastAsia="Arial" w:hAnsi="Arial"/>
                <w:sz w:val="17"/>
                <w:szCs w:val="17"/>
                <w:color w:val="auto"/>
              </w:rPr>
              <w:t>L</w:t>
            </w:r>
            <w:r>
              <w:rPr>
                <w:rFonts w:ascii="Arial" w:cs="Arial" w:eastAsia="Arial" w:hAnsi="Arial"/>
                <w:sz w:val="15"/>
                <w:szCs w:val="15"/>
                <w:color w:val="auto"/>
              </w:rPr>
              <w:t>TD</w:t>
            </w: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12.00%</w:t>
            </w:r>
            <w:r>
              <w:rPr>
                <w:rFonts w:ascii="Arial" w:cs="Arial" w:eastAsia="Arial" w:hAnsi="Arial"/>
                <w:sz w:val="22"/>
                <w:szCs w:val="22"/>
                <w:color w:val="auto"/>
                <w:vertAlign w:val="superscript"/>
              </w:rPr>
              <w:t>(6)</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3,960,000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3,960,000</w:t>
            </w:r>
          </w:p>
        </w:tc>
        <w:tc>
          <w:tcPr>
            <w:tcW w:w="1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H</w:t>
            </w:r>
            <w:r>
              <w:rPr>
                <w:rFonts w:ascii="Arial" w:cs="Arial" w:eastAsia="Arial" w:hAnsi="Arial"/>
                <w:sz w:val="14"/>
                <w:szCs w:val="14"/>
                <w:color w:val="auto"/>
              </w:rPr>
              <w:t>OLDINGS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 C</w:t>
            </w:r>
            <w:r>
              <w:rPr>
                <w:rFonts w:ascii="Arial" w:cs="Arial" w:eastAsia="Arial" w:hAnsi="Arial"/>
                <w:sz w:val="14"/>
                <w:szCs w:val="14"/>
                <w:color w:val="auto"/>
              </w:rPr>
              <w:t>LASS</w:t>
            </w:r>
            <w:r>
              <w:rPr>
                <w:rFonts w:ascii="Arial" w:cs="Arial" w:eastAsia="Arial" w:hAnsi="Arial"/>
                <w:sz w:val="18"/>
                <w:szCs w:val="18"/>
                <w:color w:val="auto"/>
              </w:rPr>
              <w:t xml:space="preserve"> A-1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110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8.00%</w:t>
            </w:r>
            <w:r>
              <w:rPr>
                <w:rFonts w:ascii="Arial" w:cs="Arial" w:eastAsia="Arial" w:hAnsi="Arial"/>
                <w:sz w:val="22"/>
                <w:szCs w:val="22"/>
                <w:color w:val="auto"/>
                <w:vertAlign w:val="superscript"/>
              </w:rPr>
              <w:t>(6)</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2,499,066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2,499,066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Preferred Equity</w:t>
            </w: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4,052,425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7,276,275</w:t>
            </w: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7,276,275</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gridSpan w:val="5"/>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 xml:space="preserve"> – 1.8%</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640" w:type="dxa"/>
            <w:vAlign w:val="bottom"/>
            <w:gridSpan w:val="2"/>
          </w:tcPr>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80" w:type="dxa"/>
            <w:vAlign w:val="bottom"/>
          </w:tcPr>
          <w:p>
            <w:pPr>
              <w:spacing w:after="0"/>
              <w:rPr>
                <w:sz w:val="24"/>
                <w:szCs w:val="24"/>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1,462,301</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CFHC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640" w:type="dxa"/>
            <w:vAlign w:val="bottom"/>
            <w:gridSpan w:val="2"/>
          </w:tcPr>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2 H</w:t>
            </w:r>
            <w:r>
              <w:rPr>
                <w:rFonts w:ascii="Arial" w:cs="Arial" w:eastAsia="Arial" w:hAnsi="Arial"/>
                <w:sz w:val="15"/>
                <w:szCs w:val="15"/>
                <w:color w:val="auto"/>
              </w:rPr>
              <w:t xml:space="preserve">OLDINGS </w:t>
            </w:r>
            <w:r>
              <w:rPr>
                <w:rFonts w:ascii="Arial" w:cs="Arial" w:eastAsia="Arial" w:hAnsi="Arial"/>
                <w:sz w:val="17"/>
                <w:szCs w:val="17"/>
                <w:color w:val="auto"/>
              </w:rPr>
              <w:t>L</w:t>
            </w:r>
            <w:r>
              <w:rPr>
                <w:rFonts w:ascii="Arial" w:cs="Arial" w:eastAsia="Arial" w:hAnsi="Arial"/>
                <w:sz w:val="15"/>
                <w:szCs w:val="15"/>
                <w:color w:val="auto"/>
              </w:rPr>
              <w:t>TD</w:t>
            </w:r>
            <w:r>
              <w:rPr>
                <w:rFonts w:ascii="Arial" w:cs="Arial" w:eastAsia="Arial" w:hAnsi="Arial"/>
                <w:sz w:val="17"/>
                <w:szCs w:val="17"/>
                <w:color w:val="auto"/>
              </w:rPr>
              <w:t>.</w:t>
            </w:r>
          </w:p>
        </w:tc>
        <w:tc>
          <w:tcPr>
            <w:tcW w:w="380" w:type="dxa"/>
            <w:vAlign w:val="bottom"/>
          </w:tcPr>
          <w:p>
            <w:pPr>
              <w:spacing w:after="0"/>
              <w:rPr>
                <w:sz w:val="23"/>
                <w:szCs w:val="23"/>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180" w:type="dxa"/>
            <w:vAlign w:val="bottom"/>
          </w:tcPr>
          <w:p>
            <w:pPr>
              <w:spacing w:after="0"/>
              <w:rPr>
                <w:sz w:val="23"/>
                <w:szCs w:val="23"/>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440,000</w:t>
            </w:r>
          </w:p>
        </w:tc>
        <w:tc>
          <w:tcPr>
            <w:tcW w:w="1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440,000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H</w:t>
            </w:r>
            <w:r>
              <w:rPr>
                <w:rFonts w:ascii="Arial" w:cs="Arial" w:eastAsia="Arial" w:hAnsi="Arial"/>
                <w:sz w:val="14"/>
                <w:szCs w:val="14"/>
                <w:color w:val="auto"/>
              </w:rPr>
              <w:t>OLDINGS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Total Common Equity/Partnership Interests</w:t>
            </w: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6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536,235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3,457,187</w:t>
            </w: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4,138,283</w:t>
            </w:r>
          </w:p>
        </w:tc>
        <w:tc>
          <w:tcPr>
            <w:tcW w:w="0" w:type="dxa"/>
            <w:vAlign w:val="bottom"/>
          </w:tcPr>
          <w:p>
            <w:pPr>
              <w:spacing w:after="0"/>
              <w:rPr>
                <w:sz w:val="1"/>
                <w:szCs w:val="1"/>
                <w:color w:val="auto"/>
              </w:rPr>
            </w:pPr>
          </w:p>
        </w:tc>
      </w:tr>
      <w:tr>
        <w:trPr>
          <w:trHeight w:val="385"/>
        </w:trPr>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gridSpan w:val="7"/>
          </w:tcPr>
          <w:p>
            <w:pPr>
              <w:jc w:val="center"/>
              <w:ind w:left="132"/>
              <w:spacing w:after="0"/>
              <w:rPr>
                <w:sz w:val="20"/>
                <w:szCs w:val="20"/>
                <w:color w:val="auto"/>
              </w:rPr>
            </w:pPr>
            <w:r>
              <w:rPr>
                <w:rFonts w:ascii="Arial" w:cs="Arial" w:eastAsia="Arial" w:hAnsi="Arial"/>
                <w:sz w:val="18"/>
                <w:szCs w:val="18"/>
                <w:color w:val="auto"/>
                <w:w w:val="93"/>
              </w:rPr>
              <w:t>SEE NOTES TO FINANCIAL STATEMENTS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553"/>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Basis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Point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3"/>
              </w:rPr>
              <w:t>Current</w:t>
            </w: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Issuer name</w:t>
            </w:r>
          </w:p>
        </w:tc>
        <w:tc>
          <w:tcPr>
            <w:tcW w:w="2900" w:type="dxa"/>
            <w:vAlign w:val="bottom"/>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2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80" w:type="dxa"/>
            <w:vAlign w:val="bottom"/>
          </w:tcPr>
          <w:p>
            <w:pPr>
              <w:spacing w:after="0"/>
              <w:rPr>
                <w:sz w:val="15"/>
                <w:szCs w:val="15"/>
                <w:color w:val="auto"/>
              </w:rPr>
            </w:pPr>
          </w:p>
        </w:tc>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58.7%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04/03/2015</w:t>
            </w: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4.78%</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$ 7,406,250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$ 7,406,250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$ 6,686,785</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 AND</w:t>
            </w:r>
            <w:r>
              <w:rPr>
                <w:rFonts w:ascii="Arial" w:cs="Arial" w:eastAsia="Arial" w:hAnsi="Arial"/>
                <w:sz w:val="18"/>
                <w:szCs w:val="18"/>
                <w:color w:val="auto"/>
              </w:rPr>
              <w:t xml:space="preserve"> G</w:t>
            </w:r>
            <w:r>
              <w:rPr>
                <w:rFonts w:ascii="Arial" w:cs="Arial" w:eastAsia="Arial" w:hAnsi="Arial"/>
                <w:sz w:val="14"/>
                <w:szCs w:val="14"/>
                <w:color w:val="auto"/>
              </w:rPr>
              <w:t>LASS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05/28/2013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4.90%</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7,896,473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7,888,723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6,549,137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ORP</w:t>
            </w: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03/06/2014</w:t>
            </w:r>
          </w:p>
        </w:tc>
        <w:tc>
          <w:tcPr>
            <w:tcW w:w="19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r>
              <w:rPr>
                <w:rFonts w:ascii="Arial" w:cs="Arial" w:eastAsia="Arial" w:hAnsi="Arial"/>
                <w:sz w:val="18"/>
                <w:szCs w:val="18"/>
                <w:color w:val="auto"/>
              </w:rPr>
              <w:t xml:space="preserve"> T</w:t>
            </w:r>
            <w:r>
              <w:rPr>
                <w:rFonts w:ascii="Arial" w:cs="Arial" w:eastAsia="Arial" w:hAnsi="Arial"/>
                <w:sz w:val="14"/>
                <w:szCs w:val="14"/>
                <w:color w:val="auto"/>
              </w:rPr>
              <w:t>ELEVISION</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4.90%</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14,925,000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14,918,618</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13,076,330</w:t>
            </w:r>
          </w:p>
        </w:tc>
        <w:tc>
          <w:tcPr>
            <w:tcW w:w="0" w:type="dxa"/>
            <w:vAlign w:val="bottom"/>
          </w:tcPr>
          <w:p>
            <w:pPr>
              <w:spacing w:after="0"/>
              <w:rPr>
                <w:sz w:val="1"/>
                <w:szCs w:val="1"/>
                <w:color w:val="auto"/>
              </w:rPr>
            </w:pP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L.L.C.</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12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01/31/2013  H</w:t>
            </w:r>
            <w:r>
              <w:rPr>
                <w:rFonts w:ascii="Arial" w:cs="Arial" w:eastAsia="Arial" w:hAnsi="Arial"/>
                <w:sz w:val="14"/>
                <w:szCs w:val="14"/>
                <w:color w:val="auto"/>
                <w:w w:val="99"/>
              </w:rPr>
              <w:t>EALTHCARE</w:t>
            </w:r>
            <w:r>
              <w:rPr>
                <w:rFonts w:ascii="Arial" w:cs="Arial" w:eastAsia="Arial" w:hAnsi="Arial"/>
                <w:sz w:val="18"/>
                <w:szCs w:val="18"/>
                <w:color w:val="auto"/>
                <w:w w:val="99"/>
              </w:rPr>
              <w:t>, E</w:t>
            </w:r>
            <w:r>
              <w:rPr>
                <w:rFonts w:ascii="Arial" w:cs="Arial" w:eastAsia="Arial" w:hAnsi="Arial"/>
                <w:sz w:val="14"/>
                <w:szCs w:val="14"/>
                <w:color w:val="auto"/>
                <w:w w:val="99"/>
              </w:rPr>
              <w:t>DUCATION</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L+250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2,962,500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2,962,500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 xml:space="preserve">AND </w:t>
            </w:r>
            <w:r>
              <w:rPr>
                <w:rFonts w:ascii="Arial" w:cs="Arial" w:eastAsia="Arial" w:hAnsi="Arial"/>
                <w:sz w:val="17"/>
                <w:szCs w:val="17"/>
                <w:color w:val="auto"/>
                <w:w w:val="98"/>
              </w:rPr>
              <w:t>C</w:t>
            </w:r>
            <w:r>
              <w:rPr>
                <w:rFonts w:ascii="Arial" w:cs="Arial" w:eastAsia="Arial" w:hAnsi="Arial"/>
                <w:sz w:val="15"/>
                <w:szCs w:val="15"/>
                <w:color w:val="auto"/>
                <w:w w:val="98"/>
              </w:rPr>
              <w:t>HILDCARE</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366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08/28/2014</w:t>
            </w:r>
          </w:p>
        </w:tc>
        <w:tc>
          <w:tcPr>
            <w:tcW w:w="194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4.67%</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4,911,669</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09/16/2013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6,418,750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6,422,282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5,883,856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66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12/19/2013</w:t>
            </w: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6.20%</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L+350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6,912,500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6,912,500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5,478,156</w:t>
            </w: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03/08/2014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4.95%</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6,973,706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6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03/26/2014</w:t>
            </w: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 AND</w:t>
            </w:r>
            <w:r>
              <w:rPr>
                <w:rFonts w:ascii="Arial" w:cs="Arial" w:eastAsia="Arial" w:hAnsi="Arial"/>
                <w:sz w:val="18"/>
                <w:szCs w:val="18"/>
                <w:color w:val="auto"/>
                <w:w w:val="97"/>
              </w:rPr>
              <w:t xml:space="preserve"> D</w:t>
            </w:r>
            <w:r>
              <w:rPr>
                <w:rFonts w:ascii="Arial" w:cs="Arial" w:eastAsia="Arial" w:hAnsi="Arial"/>
                <w:sz w:val="14"/>
                <w:szCs w:val="14"/>
                <w:color w:val="auto"/>
                <w:w w:val="97"/>
              </w:rPr>
              <w:t>EFENSE</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4.80%</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1,927,305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1,927,305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1,805,644</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120" w:type="dxa"/>
            <w:vAlign w:val="bottom"/>
            <w:gridSpan w:val="2"/>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02/28/2014  H</w:t>
            </w:r>
            <w:r>
              <w:rPr>
                <w:rFonts w:ascii="Arial" w:cs="Arial" w:eastAsia="Arial" w:hAnsi="Arial"/>
                <w:sz w:val="14"/>
                <w:szCs w:val="14"/>
                <w:color w:val="auto"/>
                <w:w w:val="99"/>
              </w:rPr>
              <w:t>EALTHCARE</w:t>
            </w:r>
            <w:r>
              <w:rPr>
                <w:rFonts w:ascii="Arial" w:cs="Arial" w:eastAsia="Arial" w:hAnsi="Arial"/>
                <w:sz w:val="18"/>
                <w:szCs w:val="18"/>
                <w:color w:val="auto"/>
                <w:w w:val="99"/>
              </w:rPr>
              <w:t>, E</w:t>
            </w:r>
            <w:r>
              <w:rPr>
                <w:rFonts w:ascii="Arial" w:cs="Arial" w:eastAsia="Arial" w:hAnsi="Arial"/>
                <w:sz w:val="14"/>
                <w:szCs w:val="14"/>
                <w:color w:val="auto"/>
                <w:w w:val="99"/>
              </w:rPr>
              <w:t>DUCATION</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L+175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9,431,364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9,431,364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8,752,305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 xml:space="preserve">AND </w:t>
            </w:r>
            <w:r>
              <w:rPr>
                <w:rFonts w:ascii="Arial" w:cs="Arial" w:eastAsia="Arial" w:hAnsi="Arial"/>
                <w:sz w:val="17"/>
                <w:szCs w:val="17"/>
                <w:color w:val="auto"/>
                <w:w w:val="98"/>
              </w:rPr>
              <w:t>C</w:t>
            </w:r>
            <w:r>
              <w:rPr>
                <w:rFonts w:ascii="Arial" w:cs="Arial" w:eastAsia="Arial" w:hAnsi="Arial"/>
                <w:sz w:val="15"/>
                <w:szCs w:val="15"/>
                <w:color w:val="auto"/>
                <w:w w:val="98"/>
              </w:rPr>
              <w:t>HILDCARE</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66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04/15/2014</w:t>
            </w:r>
          </w:p>
        </w:tc>
        <w:tc>
          <w:tcPr>
            <w:tcW w:w="194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5.19%</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L+250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4,512,500</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02/07/2014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9,908,784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9,908,784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7,840,325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r>
              <w:rPr>
                <w:rFonts w:ascii="Arial" w:cs="Arial" w:eastAsia="Arial" w:hAnsi="Arial"/>
                <w:sz w:val="14"/>
                <w:szCs w:val="14"/>
                <w:color w:val="auto"/>
                <w:w w:val="97"/>
              </w:rPr>
              <w:t>AND</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66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03/08/2014</w:t>
            </w: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5.04%</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4,647,124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4,647,124</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3,183,280</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02/28/2014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5.06%</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01/18/2014</w:t>
            </w:r>
          </w:p>
        </w:tc>
        <w:tc>
          <w:tcPr>
            <w:tcW w:w="194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5.15%</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L+225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3,960,075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3,960,075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2,811,653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r>
              <w:rPr>
                <w:rFonts w:ascii="Arial" w:cs="Arial" w:eastAsia="Arial" w:hAnsi="Arial"/>
                <w:sz w:val="14"/>
                <w:szCs w:val="14"/>
                <w:color w:val="auto"/>
                <w:w w:val="97"/>
              </w:rPr>
              <w:t>AND</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03/28/2014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L+200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900" w:type="dxa"/>
            <w:vAlign w:val="bottom"/>
            <w:gridSpan w:val="6"/>
          </w:tcPr>
          <w:p>
            <w:pPr>
              <w:jc w:val="center"/>
              <w:spacing w:after="0"/>
              <w:rPr>
                <w:sz w:val="20"/>
                <w:szCs w:val="20"/>
                <w:color w:val="auto"/>
              </w:rPr>
            </w:pPr>
            <w:r>
              <w:rPr>
                <w:rFonts w:ascii="Arial" w:cs="Arial" w:eastAsia="Arial" w:hAnsi="Arial"/>
                <w:sz w:val="18"/>
                <w:szCs w:val="18"/>
                <w:color w:val="auto"/>
                <w:w w:val="93"/>
              </w:rPr>
              <w:t>SEE NOTES TO FINANCIAL STATEMENTS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Basis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Point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Spread</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Current</w:t>
            </w: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Above</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7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Issuer name</w:t>
            </w:r>
          </w:p>
        </w:tc>
        <w:tc>
          <w:tcPr>
            <w:tcW w:w="25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160" w:type="dxa"/>
            <w:vAlign w:val="bottom"/>
          </w:tcPr>
          <w:p>
            <w:pPr>
              <w:spacing w:after="0"/>
              <w:rPr>
                <w:sz w:val="15"/>
                <w:szCs w:val="15"/>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8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4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(Continued)</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3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02/28/2013</w:t>
            </w: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4.73%</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L+200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6,912,500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6,918,403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5,530,000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URNISHINGS</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r>
              <w:rPr>
                <w:rFonts w:ascii="Arial" w:cs="Arial" w:eastAsia="Arial" w:hAnsi="Arial"/>
                <w:sz w:val="14"/>
                <w:szCs w:val="14"/>
                <w:color w:val="auto"/>
                <w:w w:val="97"/>
              </w:rPr>
              <w:t>AND</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URABLE</w:t>
            </w:r>
            <w:r>
              <w:rPr>
                <w:rFonts w:ascii="Arial" w:cs="Arial" w:eastAsia="Arial" w:hAnsi="Arial"/>
                <w:sz w:val="18"/>
                <w:szCs w:val="18"/>
                <w:color w:val="auto"/>
              </w:rPr>
              <w:t xml:space="preserve"> C</w:t>
            </w:r>
            <w:r>
              <w:rPr>
                <w:rFonts w:ascii="Arial" w:cs="Arial" w:eastAsia="Arial" w:hAnsi="Arial"/>
                <w:sz w:val="14"/>
                <w:szCs w:val="14"/>
                <w:color w:val="auto"/>
              </w:rPr>
              <w:t>ONSUMER</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02/01/2013</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5.10%</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L+225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4,122,813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03/16/2014</w:t>
            </w: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ONSUMER</w:t>
            </w:r>
            <w:r>
              <w:rPr>
                <w:rFonts w:ascii="Arial" w:cs="Arial" w:eastAsia="Arial" w:hAnsi="Arial"/>
                <w:sz w:val="18"/>
                <w:szCs w:val="18"/>
                <w:color w:val="auto"/>
                <w:w w:val="96"/>
              </w:rPr>
              <w:t xml:space="preserve"> P</w:t>
            </w:r>
            <w:r>
              <w:rPr>
                <w:rFonts w:ascii="Arial" w:cs="Arial" w:eastAsia="Arial" w:hAnsi="Arial"/>
                <w:sz w:val="14"/>
                <w:szCs w:val="14"/>
                <w:color w:val="auto"/>
                <w:w w:val="96"/>
              </w:rPr>
              <w:t>RODUCTS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4.83%</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L+200</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1,478,400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1,478,400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1,286,208</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05/04/2014</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5.69%</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L+300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4,936,667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4,936,667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34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03/02/2014</w:t>
            </w: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 AND</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4.60%</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L+200</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987,500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987,500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857,273</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07/19/2013</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4.98%</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L+200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NDUSTRY</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01/30/2014</w:t>
            </w: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5.32%</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L+250</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708,860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708,860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552,911</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01/30/2014</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6.50%</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P+150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34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09/29/2014</w:t>
            </w: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 AND</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5.12%</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L+225</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15,000,000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15,000,000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12,296,250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03/02/2014</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 AND</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4.56%</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L+175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8,450,149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8,034,681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05/30/2014</w:t>
            </w:r>
          </w:p>
        </w:tc>
        <w:tc>
          <w:tcPr>
            <w:tcW w:w="1700" w:type="dxa"/>
            <w:vAlign w:val="bottom"/>
            <w:gridSpan w:val="3"/>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7.75%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L+450</w:t>
            </w:r>
            <w:r>
              <w:rPr>
                <w:rFonts w:ascii="Arial" w:cs="Arial" w:eastAsia="Arial" w:hAnsi="Arial"/>
                <w:sz w:val="22"/>
                <w:szCs w:val="22"/>
                <w:color w:val="auto"/>
                <w:w w:val="84"/>
                <w:vertAlign w:val="superscript"/>
              </w:rPr>
              <w:t>(8)</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3,677,143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3,677,143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3,419,744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158,457,007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158,452,310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133,180,864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7120" w:type="dxa"/>
            <w:vAlign w:val="bottom"/>
            <w:gridSpan w:val="10"/>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 IN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ONTROLLED</w:t>
            </w:r>
            <w:r>
              <w:rPr>
                <w:rFonts w:ascii="Arial" w:cs="Arial" w:eastAsia="Arial" w:hAnsi="Arial"/>
                <w:sz w:val="18"/>
                <w:szCs w:val="18"/>
                <w:b w:val="1"/>
                <w:bCs w:val="1"/>
                <w:color w:val="auto"/>
              </w:rPr>
              <w:t>, N</w:t>
            </w:r>
            <w:r>
              <w:rPr>
                <w:rFonts w:ascii="Arial" w:cs="Arial" w:eastAsia="Arial" w:hAnsi="Arial"/>
                <w:sz w:val="14"/>
                <w:szCs w:val="14"/>
                <w:b w:val="1"/>
                <w:bCs w:val="1"/>
                <w:color w:val="auto"/>
              </w:rPr>
              <w:t>ON</w:t>
            </w:r>
            <w:r>
              <w:rPr>
                <w:rFonts w:ascii="Arial" w:cs="Arial" w:eastAsia="Arial" w:hAnsi="Arial"/>
                <w:sz w:val="18"/>
                <w:szCs w:val="18"/>
                <w:b w:val="1"/>
                <w:bCs w:val="1"/>
                <w:color w:val="auto"/>
              </w:rPr>
              <w:t>-A</w:t>
            </w:r>
            <w:r>
              <w:rPr>
                <w:rFonts w:ascii="Arial" w:cs="Arial" w:eastAsia="Arial" w:hAnsi="Arial"/>
                <w:sz w:val="14"/>
                <w:szCs w:val="14"/>
                <w:b w:val="1"/>
                <w:bCs w:val="1"/>
                <w:color w:val="auto"/>
              </w:rPr>
              <w:t>FFILIATED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ORTFOLIO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OMPANIES</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435,256,061</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369,991,408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280" w:type="dxa"/>
            <w:vAlign w:val="bottom"/>
            <w:tcBorders>
              <w:bottom w:val="single" w:sz="8" w:color="CCEEFF"/>
            </w:tcBorders>
            <w:gridSpan w:val="5"/>
            <w:vMerge w:val="restart"/>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Investments in Non-Controlled, Affiliated Portfolio Companies – 6.9%</w:t>
            </w:r>
          </w:p>
        </w:tc>
        <w:tc>
          <w:tcPr>
            <w:tcW w:w="1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w w:val="88"/>
              </w:rPr>
              <w:t>(2)</w:t>
            </w:r>
          </w:p>
        </w:tc>
        <w:tc>
          <w:tcPr>
            <w:tcW w:w="600" w:type="dxa"/>
            <w:vAlign w:val="bottom"/>
            <w:tcBorders>
              <w:bottom w:val="single" w:sz="8" w:color="CCEEFF"/>
            </w:tcBorders>
            <w:vMerge w:val="restart"/>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5280" w:type="dxa"/>
            <w:vAlign w:val="bottom"/>
            <w:tcBorders>
              <w:bottom w:val="single" w:sz="8" w:color="auto"/>
            </w:tcBorders>
            <w:gridSpan w:val="5"/>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00" w:type="dxa"/>
            <w:vAlign w:val="bottom"/>
            <w:tcBorders>
              <w:bottom w:val="single" w:sz="8" w:color="CCEEFF"/>
            </w:tcBorders>
            <w:vMerge w:val="continue"/>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Subordinated Debt / Corporate Notes – 1.9%</w:t>
            </w:r>
          </w:p>
        </w:tc>
        <w:tc>
          <w:tcPr>
            <w:tcW w:w="9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7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07/02/2014</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100" w:type="dxa"/>
            <w:vAlign w:val="bottom"/>
            <w:gridSpan w:val="3"/>
            <w:shd w:val="clear" w:color="auto" w:fill="CCEEFF"/>
          </w:tcPr>
          <w:p>
            <w:pPr>
              <w:jc w:val="right"/>
              <w:ind w:right="160"/>
              <w:spacing w:after="0" w:line="216" w:lineRule="exact"/>
              <w:rPr>
                <w:sz w:val="20"/>
                <w:szCs w:val="20"/>
                <w:color w:val="auto"/>
              </w:rPr>
            </w:pPr>
            <w:r>
              <w:rPr>
                <w:rFonts w:ascii="Arial" w:cs="Arial" w:eastAsia="Arial" w:hAnsi="Arial"/>
                <w:sz w:val="18"/>
                <w:szCs w:val="18"/>
                <w:color w:val="auto"/>
              </w:rPr>
              <w:t>14.25%</w:t>
            </w:r>
            <w:r>
              <w:rPr>
                <w:rFonts w:ascii="Arial" w:cs="Arial" w:eastAsia="Arial" w:hAnsi="Arial"/>
                <w:sz w:val="22"/>
                <w:szCs w:val="22"/>
                <w:color w:val="auto"/>
                <w:vertAlign w:val="superscript"/>
              </w:rPr>
              <w:t>(6)</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4,262,504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4,034,481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4,262,504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Basis Point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Spread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Current</w:t>
            </w: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Above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20"/>
                <w:szCs w:val="20"/>
                <w:color w:val="auto"/>
              </w:rPr>
            </w:pPr>
            <w:r>
              <w:rPr>
                <w:rFonts w:ascii="Arial" w:cs="Arial" w:eastAsia="Arial" w:hAnsi="Arial"/>
                <w:sz w:val="13"/>
                <w:szCs w:val="13"/>
                <w:b w:val="1"/>
                <w:bCs w:val="1"/>
                <w:color w:val="auto"/>
                <w:w w:val="97"/>
              </w:rPr>
              <w:t>Issuer name</w:t>
            </w:r>
          </w:p>
        </w:tc>
        <w:tc>
          <w:tcPr>
            <w:tcW w:w="2520" w:type="dxa"/>
            <w:vAlign w:val="bottom"/>
            <w:gridSpan w:val="2"/>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Coupon</w:t>
            </w:r>
          </w:p>
        </w:tc>
        <w:tc>
          <w:tcPr>
            <w:tcW w:w="840" w:type="dxa"/>
            <w:vAlign w:val="bottom"/>
            <w:gridSpan w:val="2"/>
          </w:tcPr>
          <w:p>
            <w:pPr>
              <w:jc w:val="center"/>
              <w:ind w:right="220"/>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8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3.4%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280" w:type="dxa"/>
            <w:vAlign w:val="bottom"/>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07/02/2013</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EISURE</w:t>
            </w:r>
            <w:r>
              <w:rPr>
                <w:rFonts w:ascii="Arial" w:cs="Arial" w:eastAsia="Arial" w:hAnsi="Arial"/>
                <w:sz w:val="18"/>
                <w:szCs w:val="18"/>
                <w:color w:val="auto"/>
                <w:w w:val="99"/>
              </w:rPr>
              <w:t>, A</w:t>
            </w:r>
            <w:r>
              <w:rPr>
                <w:rFonts w:ascii="Arial" w:cs="Arial" w:eastAsia="Arial" w:hAnsi="Arial"/>
                <w:sz w:val="14"/>
                <w:szCs w:val="14"/>
                <w:color w:val="auto"/>
                <w:w w:val="99"/>
              </w:rPr>
              <w:t>MUSEMENT</w:t>
            </w:r>
            <w:r>
              <w:rPr>
                <w:rFonts w:ascii="Arial" w:cs="Arial" w:eastAsia="Arial" w:hAnsi="Arial"/>
                <w:sz w:val="18"/>
                <w:szCs w:val="18"/>
                <w:color w:val="auto"/>
                <w:w w:val="99"/>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8.65%</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L+575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8,750,000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7,918,750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(7)</w:t>
            </w:r>
            <w:r>
              <w:rPr>
                <w:rFonts w:ascii="Arial" w:cs="Arial" w:eastAsia="Arial" w:hAnsi="Arial"/>
                <w:sz w:val="18"/>
                <w:szCs w:val="18"/>
                <w:b w:val="1"/>
                <w:bCs w:val="1"/>
                <w:color w:val="auto"/>
              </w:rPr>
              <w:t xml:space="preserve"> – 1.6%</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3"/>
                <w:szCs w:val="13"/>
                <w:b w:val="1"/>
                <w:bCs w:val="1"/>
                <w:color w:val="auto"/>
              </w:rPr>
              <w:t>Shares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37,500</w:t>
            </w:r>
          </w:p>
        </w:tc>
        <w:tc>
          <w:tcPr>
            <w:tcW w:w="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3,534,141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280" w:type="dxa"/>
            <w:vAlign w:val="bottom"/>
            <w:gridSpan w:val="3"/>
          </w:tcPr>
          <w:p>
            <w:pPr>
              <w:spacing w:after="0" w:line="201" w:lineRule="exact"/>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8"/>
              </w:rPr>
              <w:t>M</w:t>
            </w:r>
            <w:r>
              <w:rPr>
                <w:rFonts w:ascii="Arial" w:cs="Arial" w:eastAsia="Arial" w:hAnsi="Arial"/>
                <w:sz w:val="14"/>
                <w:szCs w:val="14"/>
                <w:color w:val="auto"/>
                <w:w w:val="98"/>
              </w:rPr>
              <w:t>OTION</w:t>
            </w:r>
            <w:r>
              <w:rPr>
                <w:rFonts w:ascii="Arial" w:cs="Arial" w:eastAsia="Arial" w:hAnsi="Arial"/>
                <w:sz w:val="18"/>
                <w:szCs w:val="18"/>
                <w:color w:val="auto"/>
                <w:w w:val="98"/>
              </w:rPr>
              <w:t xml:space="preserve"> P</w:t>
            </w:r>
            <w:r>
              <w:rPr>
                <w:rFonts w:ascii="Arial" w:cs="Arial" w:eastAsia="Arial" w:hAnsi="Arial"/>
                <w:sz w:val="14"/>
                <w:szCs w:val="14"/>
                <w:color w:val="auto"/>
                <w:w w:val="98"/>
              </w:rPr>
              <w:t>ICTURES</w:t>
            </w:r>
            <w:r>
              <w:rPr>
                <w:rFonts w:ascii="Arial" w:cs="Arial" w:eastAsia="Arial" w:hAnsi="Arial"/>
                <w:sz w:val="18"/>
                <w:szCs w:val="18"/>
                <w:color w:val="auto"/>
                <w:w w:val="98"/>
              </w:rPr>
              <w: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980" w:type="dxa"/>
            <w:vAlign w:val="bottom"/>
            <w:gridSpan w:val="2"/>
          </w:tcPr>
          <w:p>
            <w:pPr>
              <w:spacing w:after="0"/>
              <w:rPr>
                <w:sz w:val="9"/>
                <w:szCs w:val="9"/>
                <w:color w:val="auto"/>
              </w:rPr>
            </w:pPr>
          </w:p>
        </w:tc>
        <w:tc>
          <w:tcPr>
            <w:tcW w:w="2080" w:type="dxa"/>
            <w:vAlign w:val="bottom"/>
            <w:gridSpan w:val="3"/>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 IN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ONTROLLED</w:t>
            </w:r>
            <w:r>
              <w:rPr>
                <w:rFonts w:ascii="Arial" w:cs="Arial" w:eastAsia="Arial" w:hAnsi="Arial"/>
                <w:sz w:val="18"/>
                <w:szCs w:val="18"/>
                <w:b w:val="1"/>
                <w:bCs w:val="1"/>
                <w:color w:val="auto"/>
              </w:rPr>
              <w:t>, A</w:t>
            </w:r>
            <w:r>
              <w:rPr>
                <w:rFonts w:ascii="Arial" w:cs="Arial" w:eastAsia="Arial" w:hAnsi="Arial"/>
                <w:sz w:val="14"/>
                <w:szCs w:val="14"/>
                <w:b w:val="1"/>
                <w:bCs w:val="1"/>
                <w:color w:val="auto"/>
              </w:rPr>
              <w:t>FFILIATED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ORTFOLIO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16,534,481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170.0%</w:t>
            </w: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8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451,790,542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385,706,803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Equivalents – 18.1%</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3"/>
                <w:szCs w:val="13"/>
                <w:b w:val="1"/>
                <w:bCs w:val="1"/>
                <w:color w:val="auto"/>
              </w:rPr>
              <w:t>Par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280" w:type="dxa"/>
            <w:vAlign w:val="bottom"/>
            <w:gridSpan w:val="3"/>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41,030,236</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41,030,236</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41,030,236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Cash Equivalents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41,030,236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41,030,236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41,030,236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9"/>
              </w:rPr>
              <w:t>Total Investments and Cash Equivalents – 188.1%</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280" w:type="dxa"/>
            <w:vAlign w:val="bottom"/>
            <w:gridSpan w:val="5"/>
            <w:vMerge w:val="continue"/>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492,820,778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426,737,039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Liabilities in Excess of Other Assets – (88.1%)</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(199,910,200)</w:t>
            </w:r>
          </w:p>
        </w:tc>
        <w:tc>
          <w:tcPr>
            <w:tcW w:w="0" w:type="dxa"/>
            <w:vAlign w:val="bottom"/>
          </w:tcPr>
          <w:p>
            <w:pPr>
              <w:spacing w:after="0"/>
              <w:rPr>
                <w:sz w:val="1"/>
                <w:szCs w:val="1"/>
                <w:color w:val="auto"/>
              </w:rPr>
            </w:pPr>
          </w:p>
        </w:tc>
      </w:tr>
      <w:tr>
        <w:trPr>
          <w:trHeight w:val="290"/>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Net Assets – 100.0%</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226,826,839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right="220" w:hanging="447"/>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spacing w:after="0" w:line="50" w:lineRule="exact"/>
        <w:rPr>
          <w:rFonts w:ascii="Arial" w:cs="Arial" w:eastAsia="Arial" w:hAnsi="Arial"/>
          <w:sz w:val="18"/>
          <w:szCs w:val="18"/>
          <w:color w:val="auto"/>
        </w:rPr>
      </w:pPr>
    </w:p>
    <w:p>
      <w:pPr>
        <w:ind w:left="900" w:right="780" w:hanging="447"/>
        <w:spacing w:after="0" w:line="33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 w:lineRule="exact"/>
        <w:rPr>
          <w:rFonts w:ascii="Arial" w:cs="Arial" w:eastAsia="Arial" w:hAnsi="Arial"/>
          <w:sz w:val="16"/>
          <w:szCs w:val="16"/>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900" w:right="160" w:hanging="447"/>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 or Prime Rate (Prime or “P”).</w:t>
      </w:r>
    </w:p>
    <w:p>
      <w:pPr>
        <w:spacing w:after="0" w:line="50" w:lineRule="exact"/>
        <w:rPr>
          <w:rFonts w:ascii="Arial" w:cs="Arial" w:eastAsia="Arial" w:hAnsi="Arial"/>
          <w:sz w:val="18"/>
          <w:szCs w:val="18"/>
          <w:color w:val="auto"/>
        </w:rPr>
      </w:pPr>
    </w:p>
    <w:p>
      <w:pPr>
        <w:ind w:left="900" w:right="260" w:hanging="447"/>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Coupon payable in cash and/or payment-in-kind (“PIK”).</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90" w:lineRule="exact"/>
        <w:rPr>
          <w:rFonts w:ascii="Arial" w:cs="Arial" w:eastAsia="Arial" w:hAnsi="Arial"/>
          <w:sz w:val="18"/>
          <w:szCs w:val="18"/>
          <w:color w:val="auto"/>
        </w:rPr>
      </w:pPr>
    </w:p>
    <w:p>
      <w:pPr>
        <w:ind w:left="900" w:hanging="44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LIBOR floor applies.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Arial" w:cs="Arial" w:eastAsia="Arial" w:hAnsi="Arial"/>
                <w:sz w:val="13"/>
                <w:szCs w:val="13"/>
                <w:b w:val="1"/>
                <w:bCs w:val="1"/>
                <w:color w:val="auto"/>
              </w:rPr>
              <w:t>Basis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Point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Spread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7"/>
              </w:rPr>
              <w:t>Current</w:t>
            </w: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Issuer name</w:t>
            </w:r>
          </w:p>
        </w:tc>
        <w:tc>
          <w:tcPr>
            <w:tcW w:w="3260" w:type="dxa"/>
            <w:vAlign w:val="bottom"/>
          </w:tcPr>
          <w:p>
            <w:pPr>
              <w:spacing w:after="0"/>
              <w:rPr>
                <w:sz w:val="15"/>
                <w:szCs w:val="15"/>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Maturity</w:t>
            </w:r>
          </w:p>
        </w:tc>
        <w:tc>
          <w:tcPr>
            <w:tcW w:w="220" w:type="dxa"/>
            <w:vAlign w:val="bottom"/>
          </w:tcPr>
          <w:p>
            <w:pPr>
              <w:spacing w:after="0"/>
              <w:rPr>
                <w:sz w:val="15"/>
                <w:szCs w:val="15"/>
                <w:color w:val="auto"/>
              </w:rPr>
            </w:pPr>
          </w:p>
        </w:tc>
        <w:tc>
          <w:tcPr>
            <w:tcW w:w="1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Coupon</w:t>
            </w:r>
          </w:p>
        </w:tc>
        <w:tc>
          <w:tcPr>
            <w:tcW w:w="44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20"/>
                <w:szCs w:val="20"/>
                <w:color w:val="auto"/>
              </w:rPr>
            </w:pPr>
            <w:r>
              <w:rPr>
                <w:rFonts w:ascii="Arial" w:cs="Arial" w:eastAsia="Arial" w:hAnsi="Arial"/>
                <w:sz w:val="18"/>
                <w:szCs w:val="18"/>
                <w:b w:val="1"/>
                <w:bCs w:val="1"/>
                <w:color w:val="auto"/>
                <w:w w:val="70"/>
              </w:rPr>
              <w:t>Investments</w:t>
            </w:r>
          </w:p>
        </w:tc>
        <w:tc>
          <w:tcPr>
            <w:tcW w:w="5600" w:type="dxa"/>
            <w:vAlign w:val="bottom"/>
            <w:gridSpan w:val="5"/>
          </w:tcPr>
          <w:p>
            <w:pPr>
              <w:ind w:left="200"/>
              <w:spacing w:after="0" w:line="209" w:lineRule="exact"/>
              <w:rPr>
                <w:sz w:val="20"/>
                <w:szCs w:val="20"/>
                <w:color w:val="auto"/>
              </w:rPr>
            </w:pPr>
            <w:r>
              <w:rPr>
                <w:rFonts w:ascii="Arial" w:cs="Arial" w:eastAsia="Arial" w:hAnsi="Arial"/>
                <w:sz w:val="18"/>
                <w:szCs w:val="18"/>
                <w:b w:val="1"/>
                <w:bCs w:val="1"/>
                <w:color w:val="auto"/>
                <w:w w:val="96"/>
              </w:rPr>
              <w:t>in Non-Controlled, Non-Affiliated Portfolio Companies – 101.6%</w:t>
            </w:r>
            <w:r>
              <w:rPr>
                <w:rFonts w:ascii="Arial" w:cs="Arial" w:eastAsia="Arial" w:hAnsi="Arial"/>
                <w:sz w:val="22"/>
                <w:szCs w:val="22"/>
                <w:b w:val="1"/>
                <w:bCs w:val="1"/>
                <w:color w:val="auto"/>
                <w:w w:val="96"/>
                <w:vertAlign w:val="superscript"/>
              </w:rPr>
              <w:t>(1)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Subordinated Debt / Corporate Notes – 19.8%</w:t>
            </w: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11/30/2015</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12.20%*</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L+700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14,580,690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$14,580,690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$14,580,690</w:t>
            </w:r>
          </w:p>
        </w:tc>
        <w:tc>
          <w:tcPr>
            <w:tcW w:w="0" w:type="dxa"/>
            <w:vAlign w:val="bottom"/>
          </w:tcPr>
          <w:p>
            <w:pPr>
              <w:spacing w:after="0"/>
              <w:rPr>
                <w:sz w:val="1"/>
                <w:szCs w:val="1"/>
                <w:color w:val="auto"/>
              </w:rPr>
            </w:pPr>
          </w:p>
        </w:tc>
      </w:tr>
      <w:tr>
        <w:trPr>
          <w:trHeight w:val="20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03/01/2012</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ONSUMER</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11.68%*</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L+625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18,500,000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18,106,103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17,760,000</w:t>
            </w: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20" w:type="dxa"/>
            <w:vAlign w:val="bottom"/>
            <w:gridSpan w:val="2"/>
          </w:tcPr>
          <w:p>
            <w:pPr>
              <w:spacing w:after="0" w:line="207"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04/15/2015</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UILDINGS AND</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12.38%</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28,000,000</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26,117,780</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21,140,000</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EAL</w:t>
            </w:r>
            <w:r>
              <w:rPr>
                <w:rFonts w:ascii="Arial" w:cs="Arial" w:eastAsia="Arial" w:hAnsi="Arial"/>
                <w:sz w:val="18"/>
                <w:szCs w:val="18"/>
                <w:color w:val="auto"/>
                <w:w w:val="96"/>
              </w:rPr>
              <w:t xml:space="preserve"> E</w:t>
            </w:r>
            <w:r>
              <w:rPr>
                <w:rFonts w:ascii="Arial" w:cs="Arial" w:eastAsia="Arial" w:hAnsi="Arial"/>
                <w:sz w:val="14"/>
                <w:szCs w:val="14"/>
                <w:color w:val="auto"/>
                <w:w w:val="96"/>
              </w:rPr>
              <w:t>STATE</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Subordinated Debt / Corporate Notes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61,080,690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58,804,573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53,480,690</w:t>
            </w:r>
          </w:p>
        </w:tc>
        <w:tc>
          <w:tcPr>
            <w:tcW w:w="0" w:type="dxa"/>
            <w:vAlign w:val="bottom"/>
          </w:tcPr>
          <w:p>
            <w:pPr>
              <w:spacing w:after="0"/>
              <w:rPr>
                <w:sz w:val="1"/>
                <w:szCs w:val="1"/>
                <w:color w:val="auto"/>
              </w:rPr>
            </w:pPr>
          </w:p>
        </w:tc>
      </w:tr>
      <w:tr>
        <w:trPr>
          <w:trHeight w:val="437"/>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Second Lien Secured Debt – 21.8%</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2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11/04/2014</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12.08%</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L+650</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9,800,000</w:t>
            </w:r>
          </w:p>
        </w:tc>
        <w:tc>
          <w:tcPr>
            <w:tcW w:w="0" w:type="dxa"/>
            <w:vAlign w:val="bottom"/>
          </w:tcPr>
          <w:p>
            <w:pPr>
              <w:spacing w:after="0"/>
              <w:rPr>
                <w:sz w:val="1"/>
                <w:szCs w:val="1"/>
                <w:color w:val="auto"/>
              </w:rPr>
            </w:pPr>
          </w:p>
        </w:tc>
      </w:tr>
      <w:tr>
        <w:trPr>
          <w:trHeight w:val="218"/>
        </w:trPr>
        <w:tc>
          <w:tcPr>
            <w:tcW w:w="402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05/15/2015</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13.31%</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L+775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10,000,000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9,932,321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line="216"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r>
              <w:rPr>
                <w:rFonts w:ascii="Arial" w:cs="Arial" w:eastAsia="Arial" w:hAnsi="Arial"/>
                <w:sz w:val="22"/>
                <w:szCs w:val="22"/>
                <w:color w:val="auto"/>
                <w:vertAlign w:val="superscript"/>
              </w:rPr>
              <w:t>(6)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05/15/2017</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12.50%</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16,198,167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12,730,000</w:t>
            </w:r>
          </w:p>
        </w:tc>
        <w:tc>
          <w:tcPr>
            <w:tcW w:w="0" w:type="dxa"/>
            <w:vAlign w:val="bottom"/>
          </w:tcPr>
          <w:p>
            <w:pPr>
              <w:spacing w:after="0"/>
              <w:rPr>
                <w:sz w:val="1"/>
                <w:szCs w:val="1"/>
                <w:color w:val="auto"/>
              </w:rPr>
            </w:pPr>
          </w:p>
        </w:tc>
      </w:tr>
      <w:tr>
        <w:trPr>
          <w:trHeight w:val="20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r>
              <w:rPr>
                <w:rFonts w:ascii="Arial" w:cs="Arial" w:eastAsia="Arial" w:hAnsi="Arial"/>
                <w:sz w:val="18"/>
                <w:szCs w:val="18"/>
                <w:color w:val="auto"/>
              </w:rPr>
              <w:t xml:space="preserve"> 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12/15//2014</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12.13%</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L+700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17,500,000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17,493,750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17,237,500</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LASTICS AND</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UBBER</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w:t>
            </w:r>
            <w:r>
              <w:rPr>
                <w:rFonts w:ascii="Arial" w:cs="Arial" w:eastAsia="Arial" w:hAnsi="Arial"/>
                <w:sz w:val="18"/>
                <w:szCs w:val="18"/>
                <w:color w:val="auto"/>
              </w:rPr>
              <w:t>F</w:t>
            </w:r>
            <w:r>
              <w:rPr>
                <w:rFonts w:ascii="Arial" w:cs="Arial" w:eastAsia="Arial" w:hAnsi="Arial"/>
                <w:sz w:val="14"/>
                <w:szCs w:val="14"/>
                <w:color w:val="auto"/>
              </w:rPr>
              <w:t>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06/15/2015</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USINESS</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11.30%*</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L+600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12,886,250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12,431,250</w:t>
            </w: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S</w:t>
            </w:r>
            <w:r>
              <w:rPr>
                <w:rFonts w:ascii="Arial" w:cs="Arial" w:eastAsia="Arial" w:hAnsi="Arial"/>
                <w:sz w:val="14"/>
                <w:szCs w:val="14"/>
                <w:color w:val="auto"/>
                <w:w w:val="92"/>
              </w:rPr>
              <w:t>ERVICES</w:t>
            </w: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Second Lien Secured Debt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66,510,488</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58,998,750</w:t>
            </w:r>
          </w:p>
        </w:tc>
        <w:tc>
          <w:tcPr>
            <w:tcW w:w="0" w:type="dxa"/>
            <w:vAlign w:val="bottom"/>
          </w:tcPr>
          <w:p>
            <w:pPr>
              <w:spacing w:after="0"/>
              <w:rPr>
                <w:sz w:val="1"/>
                <w:szCs w:val="1"/>
                <w:color w:val="auto"/>
              </w:rPr>
            </w:pPr>
          </w:p>
        </w:tc>
      </w:tr>
      <w:tr>
        <w:trPr>
          <w:trHeight w:val="439"/>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 1.2%</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AHC M</w:t>
            </w:r>
            <w:r>
              <w:rPr>
                <w:rFonts w:ascii="Arial" w:cs="Arial" w:eastAsia="Arial" w:hAnsi="Arial"/>
                <w:sz w:val="14"/>
                <w:szCs w:val="14"/>
                <w:color w:val="auto"/>
              </w:rPr>
              <w:t>EZZANINE</w:t>
            </w:r>
            <w:r>
              <w:rPr>
                <w:rFonts w:ascii="Arial" w:cs="Arial" w:eastAsia="Arial" w:hAnsi="Arial"/>
                <w:sz w:val="18"/>
                <w:szCs w:val="18"/>
                <w:color w:val="auto"/>
              </w:rPr>
              <w:t xml:space="preserve"> (A</w:t>
            </w:r>
            <w:r>
              <w:rPr>
                <w:rFonts w:ascii="Arial" w:cs="Arial" w:eastAsia="Arial" w:hAnsi="Arial"/>
                <w:sz w:val="14"/>
                <w:szCs w:val="14"/>
                <w:color w:val="auto"/>
              </w:rPr>
              <w:t>DVANSTAR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200" w:type="dxa"/>
            <w:vAlign w:val="bottom"/>
          </w:tcPr>
          <w:p>
            <w:pPr>
              <w:spacing w:after="0"/>
              <w:rPr>
                <w:sz w:val="19"/>
                <w:szCs w:val="19"/>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3,269,685</w:t>
            </w:r>
          </w:p>
        </w:tc>
        <w:tc>
          <w:tcPr>
            <w:tcW w:w="0" w:type="dxa"/>
            <w:vAlign w:val="bottom"/>
          </w:tcPr>
          <w:p>
            <w:pPr>
              <w:spacing w:after="0"/>
              <w:rPr>
                <w:sz w:val="1"/>
                <w:szCs w:val="1"/>
                <w:color w:val="auto"/>
              </w:rPr>
            </w:pPr>
          </w:p>
        </w:tc>
      </w:tr>
      <w:tr>
        <w:trPr>
          <w:trHeight w:val="373"/>
        </w:trPr>
        <w:tc>
          <w:tcPr>
            <w:tcW w:w="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 – 58.8%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rPr>
              <w:t>Par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2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ERRY</w:t>
            </w:r>
            <w:r>
              <w:rPr>
                <w:rFonts w:ascii="Arial" w:cs="Arial" w:eastAsia="Arial" w:hAnsi="Arial"/>
                <w:sz w:val="18"/>
                <w:szCs w:val="18"/>
                <w:color w:val="auto"/>
              </w:rPr>
              <w:t xml:space="preserve"> P</w:t>
            </w:r>
            <w:r>
              <w:rPr>
                <w:rFonts w:ascii="Arial" w:cs="Arial" w:eastAsia="Arial" w:hAnsi="Arial"/>
                <w:sz w:val="14"/>
                <w:szCs w:val="14"/>
                <w:color w:val="auto"/>
              </w:rPr>
              <w:t>LASTICS</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04/03/2015</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ONTAINERS</w:t>
            </w:r>
            <w:r>
              <w:rPr>
                <w:rFonts w:ascii="Arial" w:cs="Arial" w:eastAsia="Arial" w:hAnsi="Arial"/>
                <w:sz w:val="18"/>
                <w:szCs w:val="18"/>
                <w:color w:val="auto"/>
                <w:w w:val="98"/>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7.34%</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L+200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7,462,500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7,462,500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7,274,602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ACKAGING AND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LASS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URLINGTON</w:t>
            </w:r>
            <w:r>
              <w:rPr>
                <w:rFonts w:ascii="Arial" w:cs="Arial" w:eastAsia="Arial" w:hAnsi="Arial"/>
                <w:sz w:val="18"/>
                <w:szCs w:val="18"/>
                <w:color w:val="auto"/>
              </w:rPr>
              <w:t xml:space="preserve"> C</w:t>
            </w:r>
            <w:r>
              <w:rPr>
                <w:rFonts w:ascii="Arial" w:cs="Arial" w:eastAsia="Arial" w:hAnsi="Arial"/>
                <w:sz w:val="14"/>
                <w:szCs w:val="14"/>
                <w:color w:val="auto"/>
              </w:rPr>
              <w:t>OAT</w:t>
            </w:r>
            <w:r>
              <w:rPr>
                <w:rFonts w:ascii="Arial" w:cs="Arial" w:eastAsia="Arial" w:hAnsi="Arial"/>
                <w:sz w:val="18"/>
                <w:szCs w:val="18"/>
                <w:color w:val="auto"/>
              </w:rPr>
              <w:t xml:space="preserve"> F</w:t>
            </w:r>
            <w:r>
              <w:rPr>
                <w:rFonts w:ascii="Arial" w:cs="Arial" w:eastAsia="Arial" w:hAnsi="Arial"/>
                <w:sz w:val="14"/>
                <w:szCs w:val="14"/>
                <w:color w:val="auto"/>
              </w:rPr>
              <w:t>ACTORY</w:t>
            </w:r>
            <w:r>
              <w:rPr>
                <w:rFonts w:ascii="Arial" w:cs="Arial" w:eastAsia="Arial" w:hAnsi="Arial"/>
                <w:sz w:val="18"/>
                <w:szCs w:val="18"/>
                <w:color w:val="auto"/>
              </w:rPr>
              <w:t xml:space="preserve"> W</w:t>
            </w:r>
            <w:r>
              <w:rPr>
                <w:rFonts w:ascii="Arial" w:cs="Arial" w:eastAsia="Arial" w:hAnsi="Arial"/>
                <w:sz w:val="14"/>
                <w:szCs w:val="14"/>
                <w:color w:val="auto"/>
              </w:rPr>
              <w:t>AREHOUSE</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05/28/2013</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ETAIL</w:t>
            </w:r>
            <w:r>
              <w:rPr>
                <w:rFonts w:ascii="Arial" w:cs="Arial" w:eastAsia="Arial" w:hAnsi="Arial"/>
                <w:sz w:val="18"/>
                <w:szCs w:val="18"/>
                <w:color w:val="auto"/>
                <w:w w:val="96"/>
              </w:rPr>
              <w:t xml:space="preserve"> S</w:t>
            </w:r>
            <w:r>
              <w:rPr>
                <w:rFonts w:ascii="Arial" w:cs="Arial" w:eastAsia="Arial" w:hAnsi="Arial"/>
                <w:sz w:val="14"/>
                <w:szCs w:val="14"/>
                <w:color w:val="auto"/>
                <w:w w:val="96"/>
              </w:rPr>
              <w:t>TORE</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7.76%</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L+225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7,896,473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7,887,537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7,571,975</w:t>
            </w:r>
          </w:p>
        </w:tc>
        <w:tc>
          <w:tcPr>
            <w:tcW w:w="0" w:type="dxa"/>
            <w:vAlign w:val="bottom"/>
          </w:tcPr>
          <w:p>
            <w:pPr>
              <w:spacing w:after="0"/>
              <w:rPr>
                <w:sz w:val="1"/>
                <w:szCs w:val="1"/>
                <w:color w:val="auto"/>
              </w:rPr>
            </w:pPr>
          </w:p>
        </w:tc>
      </w:tr>
      <w:tr>
        <w:trPr>
          <w:trHeight w:val="208"/>
        </w:trPr>
        <w:tc>
          <w:tcPr>
            <w:tcW w:w="402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HARTER</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L.L.C.</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03/06/2014</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ABLE</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7.13%</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L+200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15,000,000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14,992,740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14,468,310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ELEVISION</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OHR</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01/31/2013</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L+250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2,985,000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2,388,000</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 AND</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Point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Current</w:t>
            </w: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Above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Issuer name</w:t>
            </w:r>
          </w:p>
        </w:tc>
        <w:tc>
          <w:tcPr>
            <w:tcW w:w="3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6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Par</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Debt—(Continued)</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920" w:type="dxa"/>
            <w:vAlign w:val="bottom"/>
            <w:gridSpan w:val="2"/>
          </w:tcPr>
          <w:p>
            <w:pPr>
              <w:spacing w:after="0"/>
              <w:rPr>
                <w:sz w:val="20"/>
                <w:szCs w:val="20"/>
                <w:color w:val="auto"/>
              </w:rPr>
            </w:pPr>
            <w:r>
              <w:rPr>
                <w:rFonts w:ascii="Arial" w:cs="Arial" w:eastAsia="Arial" w:hAnsi="Arial"/>
                <w:sz w:val="18"/>
                <w:szCs w:val="18"/>
                <w:color w:val="auto"/>
              </w:rPr>
              <w:t>FR B</w:t>
            </w:r>
            <w:r>
              <w:rPr>
                <w:rFonts w:ascii="Arial" w:cs="Arial" w:eastAsia="Arial" w:hAnsi="Arial"/>
                <w:sz w:val="14"/>
                <w:szCs w:val="14"/>
                <w:color w:val="auto"/>
              </w:rPr>
              <w:t>RAND</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02/07/2014</w:t>
            </w:r>
          </w:p>
        </w:tc>
        <w:tc>
          <w:tcPr>
            <w:tcW w:w="17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7.53%</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$1,990,000</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$1,990,000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$1,887,183</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ATEHOUSE</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08/28/2014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EDIA</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7.47%</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L+200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39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ENERAL</w:t>
            </w:r>
            <w:r>
              <w:rPr>
                <w:rFonts w:ascii="Arial" w:cs="Arial" w:eastAsia="Arial" w:hAnsi="Arial"/>
                <w:sz w:val="18"/>
                <w:szCs w:val="18"/>
                <w:color w:val="auto"/>
              </w:rPr>
              <w:t xml:space="preserve"> N</w:t>
            </w:r>
            <w:r>
              <w:rPr>
                <w:rFonts w:ascii="Arial" w:cs="Arial" w:eastAsia="Arial" w:hAnsi="Arial"/>
                <w:sz w:val="14"/>
                <w:szCs w:val="14"/>
                <w:color w:val="auto"/>
              </w:rPr>
              <w:t>UTRITION</w:t>
            </w:r>
            <w:r>
              <w:rPr>
                <w:rFonts w:ascii="Arial" w:cs="Arial" w:eastAsia="Arial" w:hAnsi="Arial"/>
                <w:sz w:val="18"/>
                <w:szCs w:val="18"/>
                <w:color w:val="auto"/>
              </w:rPr>
              <w:t xml:space="preserve"> C</w:t>
            </w:r>
            <w:r>
              <w:rPr>
                <w:rFonts w:ascii="Arial" w:cs="Arial" w:eastAsia="Arial" w:hAnsi="Arial"/>
                <w:sz w:val="14"/>
                <w:szCs w:val="14"/>
                <w:color w:val="auto"/>
              </w:rPr>
              <w:t>ENTERS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09/16/2013</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ETAIL</w:t>
            </w:r>
            <w:r>
              <w:rPr>
                <w:rFonts w:ascii="Arial" w:cs="Arial" w:eastAsia="Arial" w:hAnsi="Arial"/>
                <w:sz w:val="18"/>
                <w:szCs w:val="18"/>
                <w:color w:val="auto"/>
                <w:w w:val="98"/>
              </w:rPr>
              <w:t xml:space="preserve"> S</w:t>
            </w:r>
            <w:r>
              <w:rPr>
                <w:rFonts w:ascii="Arial" w:cs="Arial" w:eastAsia="Arial" w:hAnsi="Arial"/>
                <w:sz w:val="14"/>
                <w:szCs w:val="14"/>
                <w:color w:val="auto"/>
                <w:w w:val="98"/>
              </w:rPr>
              <w:t>TORE</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7.61%</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6,483,750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6,487,788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6,147,405</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OGISTICS</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12/19/2013</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L+350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6,947,500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6,947,500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6,079,062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w:t>
            </w:r>
            <w:r>
              <w:rPr>
                <w:rFonts w:ascii="Arial" w:cs="Arial" w:eastAsia="Arial" w:hAnsi="Arial"/>
                <w:sz w:val="14"/>
                <w:szCs w:val="14"/>
                <w:color w:val="auto"/>
              </w:rPr>
              <w:t>OOD</w:t>
            </w:r>
            <w:r>
              <w:rPr>
                <w:rFonts w:ascii="Arial" w:cs="Arial" w:eastAsia="Arial" w:hAnsi="Arial"/>
                <w:sz w:val="18"/>
                <w:szCs w:val="18"/>
                <w:color w:val="auto"/>
              </w:rPr>
              <w:t>,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03/08/2014</w:t>
            </w:r>
          </w:p>
        </w:tc>
        <w:tc>
          <w:tcPr>
            <w:tcW w:w="17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7.60%</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9,000,000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9,000,000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7,845,003</w:t>
            </w: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AWKER</w:t>
            </w:r>
            <w:r>
              <w:rPr>
                <w:rFonts w:ascii="Arial" w:cs="Arial" w:eastAsia="Arial" w:hAnsi="Arial"/>
                <w:sz w:val="18"/>
                <w:szCs w:val="18"/>
                <w:color w:val="auto"/>
              </w:rPr>
              <w:t xml:space="preserve"> B</w:t>
            </w:r>
            <w:r>
              <w:rPr>
                <w:rFonts w:ascii="Arial" w:cs="Arial" w:eastAsia="Arial" w:hAnsi="Arial"/>
                <w:sz w:val="14"/>
                <w:szCs w:val="14"/>
                <w:color w:val="auto"/>
              </w:rPr>
              <w:t>EECHCRAFT</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EROSPACE AND</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7.21%</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L+200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1,990,780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1,990,780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1,930,226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EFENSE</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9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w:t>
            </w:r>
            <w:r>
              <w:rPr>
                <w:rFonts w:ascii="Arial" w:cs="Arial" w:eastAsia="Arial" w:hAnsi="Arial"/>
                <w:sz w:val="18"/>
                <w:szCs w:val="18"/>
                <w:color w:val="auto"/>
              </w:rPr>
              <w:t xml:space="preserve"> M</w:t>
            </w:r>
            <w:r>
              <w:rPr>
                <w:rFonts w:ascii="Arial" w:cs="Arial" w:eastAsia="Arial" w:hAnsi="Arial"/>
                <w:sz w:val="14"/>
                <w:szCs w:val="14"/>
                <w:color w:val="auto"/>
              </w:rPr>
              <w:t>ANAGEMENT</w:t>
            </w:r>
            <w:r>
              <w:rPr>
                <w:rFonts w:ascii="Arial" w:cs="Arial" w:eastAsia="Arial" w:hAnsi="Arial"/>
                <w:sz w:val="18"/>
                <w:szCs w:val="18"/>
                <w:color w:val="auto"/>
              </w:rPr>
              <w:t xml:space="preserve"> A</w:t>
            </w:r>
            <w:r>
              <w:rPr>
                <w:rFonts w:ascii="Arial" w:cs="Arial" w:eastAsia="Arial" w:hAnsi="Arial"/>
                <w:sz w:val="14"/>
                <w:szCs w:val="14"/>
                <w:color w:val="auto"/>
              </w:rPr>
              <w:t>SSOCIATES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02/28/2014</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EALTHCARE</w:t>
            </w:r>
            <w:r>
              <w:rPr>
                <w:rFonts w:ascii="Arial" w:cs="Arial" w:eastAsia="Arial" w:hAnsi="Arial"/>
                <w:sz w:val="18"/>
                <w:szCs w:val="18"/>
                <w:color w:val="auto"/>
                <w:w w:val="99"/>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6.95%</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L+175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9,950,000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9,950,000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9,441,615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 AND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04/15/2014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L+250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92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02/07/2014</w:t>
            </w:r>
          </w:p>
        </w:tc>
        <w:tc>
          <w:tcPr>
            <w:tcW w:w="174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7.44%</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9,963,514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9,963,514</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8,947,235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xml:space="preserve">, </w:t>
            </w:r>
            <w:r>
              <w:rPr>
                <w:rFonts w:ascii="Arial" w:cs="Arial" w:eastAsia="Arial" w:hAnsi="Arial"/>
                <w:sz w:val="14"/>
                <w:szCs w:val="14"/>
                <w:color w:val="auto"/>
                <w:w w:val="98"/>
              </w:rPr>
              <w:t>AND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EVEL</w:t>
            </w:r>
            <w:r>
              <w:rPr>
                <w:rFonts w:ascii="Arial" w:cs="Arial" w:eastAsia="Arial" w:hAnsi="Arial"/>
                <w:sz w:val="18"/>
                <w:szCs w:val="18"/>
                <w:color w:val="auto"/>
              </w:rPr>
              <w:t xml:space="preserve"> 3 F</w:t>
            </w:r>
            <w:r>
              <w:rPr>
                <w:rFonts w:ascii="Arial" w:cs="Arial" w:eastAsia="Arial" w:hAnsi="Arial"/>
                <w:sz w:val="14"/>
                <w:szCs w:val="14"/>
                <w:color w:val="auto"/>
              </w:rPr>
              <w:t>INANCING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03/13/2014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L+225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1,939,642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EVLAD</w:t>
            </w:r>
            <w:r>
              <w:rPr>
                <w:rFonts w:ascii="Arial" w:cs="Arial" w:eastAsia="Arial" w:hAnsi="Arial"/>
                <w:sz w:val="18"/>
                <w:szCs w:val="18"/>
                <w:color w:val="auto"/>
              </w:rPr>
              <w:t>,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03/08/2014</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7.58%</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4,842,920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4,842,920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3,357,757</w:t>
            </w: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3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02/28/2014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7.56%</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L+225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2,020,000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9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ONGVIEW</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L.L.C.</w:t>
            </w:r>
            <w:r>
              <w:rPr>
                <w:rFonts w:ascii="Arial" w:cs="Arial" w:eastAsia="Arial" w:hAnsi="Arial"/>
                <w:sz w:val="22"/>
                <w:szCs w:val="22"/>
                <w:color w:val="auto"/>
                <w:vertAlign w:val="superscript"/>
              </w:rPr>
              <w:t>(5)</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02/28/2014</w:t>
            </w:r>
          </w:p>
        </w:tc>
        <w:tc>
          <w:tcPr>
            <w:tcW w:w="1740" w:type="dxa"/>
            <w:vAlign w:val="bottom"/>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22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980,000</w:t>
            </w:r>
          </w:p>
        </w:tc>
        <w:tc>
          <w:tcPr>
            <w:tcW w:w="780" w:type="dxa"/>
            <w:vAlign w:val="bottom"/>
          </w:tcPr>
          <w:p>
            <w:pPr>
              <w:jc w:val="right"/>
              <w:spacing w:after="0"/>
              <w:rPr>
                <w:sz w:val="20"/>
                <w:szCs w:val="20"/>
                <w:color w:val="auto"/>
              </w:rPr>
            </w:pPr>
            <w:r>
              <w:rPr>
                <w:rFonts w:ascii="Arial" w:cs="Arial" w:eastAsia="Arial" w:hAnsi="Arial"/>
                <w:sz w:val="18"/>
                <w:szCs w:val="18"/>
                <w:color w:val="auto"/>
              </w:rPr>
              <w:t>980,000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940,800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ACH</w:t>
            </w:r>
            <w:r>
              <w:rPr>
                <w:rFonts w:ascii="Arial" w:cs="Arial" w:eastAsia="Arial" w:hAnsi="Arial"/>
                <w:sz w:val="18"/>
                <w:szCs w:val="18"/>
                <w:color w:val="auto"/>
              </w:rPr>
              <w:t xml:space="preserve"> G</w:t>
            </w:r>
            <w:r>
              <w:rPr>
                <w:rFonts w:ascii="Arial" w:cs="Arial" w:eastAsia="Arial" w:hAnsi="Arial"/>
                <w:sz w:val="14"/>
                <w:szCs w:val="14"/>
                <w:color w:val="auto"/>
              </w:rPr>
              <w:t>EN</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02/22/2014</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TILITIES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L+200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3,972,813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3,971,545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3,845,683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9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01/18/2014</w:t>
            </w:r>
          </w:p>
        </w:tc>
        <w:tc>
          <w:tcPr>
            <w:tcW w:w="174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7.61%</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L+225</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3,990,000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3,990,000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3,740,625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OUSEWARES</w:t>
            </w:r>
            <w:r>
              <w:rPr>
                <w:rFonts w:ascii="Arial" w:cs="Arial" w:eastAsia="Arial" w:hAnsi="Arial"/>
                <w:sz w:val="18"/>
                <w:szCs w:val="18"/>
                <w:color w:val="auto"/>
                <w:w w:val="98"/>
              </w:rPr>
              <w:t xml:space="preserve">, </w:t>
            </w:r>
            <w:r>
              <w:rPr>
                <w:rFonts w:ascii="Arial" w:cs="Arial" w:eastAsia="Arial" w:hAnsi="Arial"/>
                <w:sz w:val="14"/>
                <w:szCs w:val="14"/>
                <w:color w:val="auto"/>
                <w:w w:val="98"/>
              </w:rPr>
              <w:t>AND</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Basis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Point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Spread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Current</w:t>
            </w: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Issuer name</w:t>
            </w:r>
          </w:p>
        </w:tc>
        <w:tc>
          <w:tcPr>
            <w:tcW w:w="28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34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20"/>
                <w:szCs w:val="20"/>
                <w:b w:val="1"/>
                <w:bCs w:val="1"/>
                <w:color w:val="auto"/>
                <w:vertAlign w:val="superscript"/>
              </w:rPr>
              <w:t>(4)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First Lien Secured Debt—(Continued)</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6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C</w:t>
            </w:r>
            <w:r>
              <w:rPr>
                <w:rFonts w:ascii="Arial" w:cs="Arial" w:eastAsia="Arial" w:hAnsi="Arial"/>
                <w:sz w:val="18"/>
                <w:szCs w:val="18"/>
                <w:color w:val="auto"/>
              </w:rPr>
              <w:t>J</w:t>
            </w:r>
            <w:r>
              <w:rPr>
                <w:rFonts w:ascii="Arial" w:cs="Arial" w:eastAsia="Arial" w:hAnsi="Arial"/>
                <w:sz w:val="14"/>
                <w:szCs w:val="14"/>
                <w:color w:val="auto"/>
              </w:rPr>
              <w:t>UNKIN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01/31/2014</w:t>
            </w:r>
          </w:p>
        </w:tc>
        <w:tc>
          <w:tcPr>
            <w:tcW w:w="16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7.45%</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982,525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982,525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965,331</w:t>
            </w: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ITCHELL</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03/28/2014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7.20%</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L+200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3,835,725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08/31/2011</w:t>
            </w:r>
          </w:p>
        </w:tc>
        <w:tc>
          <w:tcPr>
            <w:tcW w:w="16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OME AND</w:t>
            </w:r>
            <w:r>
              <w:rPr>
                <w:rFonts w:ascii="Arial" w:cs="Arial" w:eastAsia="Arial" w:hAnsi="Arial"/>
                <w:sz w:val="18"/>
                <w:szCs w:val="18"/>
                <w:color w:val="auto"/>
              </w:rPr>
              <w:t xml:space="preserve"> O</w:t>
            </w:r>
            <w:r>
              <w:rPr>
                <w:rFonts w:ascii="Arial" w:cs="Arial" w:eastAsia="Arial" w:hAnsi="Arial"/>
                <w:sz w:val="14"/>
                <w:szCs w:val="14"/>
                <w:color w:val="auto"/>
              </w:rPr>
              <w:t>FFICE</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7.43%</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L+200</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6,965,000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6,971,653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6,668,988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URNISHINGS</w:t>
            </w:r>
            <w:r>
              <w:rPr>
                <w:rFonts w:ascii="Arial" w:cs="Arial" w:eastAsia="Arial" w:hAnsi="Arial"/>
                <w:sz w:val="18"/>
                <w:szCs w:val="18"/>
                <w:color w:val="auto"/>
                <w:w w:val="98"/>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r>
              <w:rPr>
                <w:rFonts w:ascii="Arial" w:cs="Arial" w:eastAsia="Arial" w:hAnsi="Arial"/>
                <w:sz w:val="14"/>
                <w:szCs w:val="14"/>
                <w:color w:val="auto"/>
                <w:w w:val="97"/>
              </w:rPr>
              <w:t>AND</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02/01/2013</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7.59%</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L+225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4,716,922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03/16/2014</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ONSUMER</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7.36%</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L+200</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1,493,333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1,493,333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1,344,000</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RODUCTS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ROQUEST</w:t>
            </w:r>
            <w:r>
              <w:rPr>
                <w:rFonts w:ascii="Arial" w:cs="Arial" w:eastAsia="Arial" w:hAnsi="Arial"/>
                <w:sz w:val="18"/>
                <w:szCs w:val="18"/>
                <w:color w:val="auto"/>
              </w:rPr>
              <w:t xml:space="preserve"> C</w:t>
            </w:r>
            <w:r>
              <w:rPr>
                <w:rFonts w:ascii="Arial" w:cs="Arial" w:eastAsia="Arial" w:hAnsi="Arial"/>
                <w:sz w:val="14"/>
                <w:szCs w:val="14"/>
                <w:color w:val="auto"/>
              </w:rPr>
              <w:t>SA</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02/09/2014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8.20%</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L+300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955,833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62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05/04/2014</w:t>
            </w:r>
          </w:p>
        </w:tc>
        <w:tc>
          <w:tcPr>
            <w:tcW w:w="16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8.56%</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L+300</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4,974,167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4,974,167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4,839,742</w:t>
            </w: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EADER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D</w:t>
            </w:r>
            <w:r>
              <w:rPr>
                <w:rFonts w:ascii="Arial" w:cs="Arial" w:eastAsia="Arial" w:hAnsi="Arial"/>
                <w:sz w:val="14"/>
                <w:szCs w:val="14"/>
                <w:color w:val="auto"/>
              </w:rPr>
              <w:t>IGEST</w:t>
            </w:r>
            <w:r>
              <w:rPr>
                <w:rFonts w:ascii="Arial" w:cs="Arial" w:eastAsia="Arial" w:hAnsi="Arial"/>
                <w:sz w:val="18"/>
                <w:szCs w:val="18"/>
                <w:color w:val="auto"/>
              </w:rPr>
              <w:t xml:space="preserve"> A</w:t>
            </w:r>
            <w:r>
              <w:rPr>
                <w:rFonts w:ascii="Arial" w:cs="Arial" w:eastAsia="Arial" w:hAnsi="Arial"/>
                <w:sz w:val="14"/>
                <w:szCs w:val="14"/>
                <w:color w:val="auto"/>
              </w:rPr>
              <w:t>SSOCIATION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03/02/2014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 AND</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7.43%</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L+200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62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xml:space="preserve"> , L.L.C.</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07/19/2013</w:t>
            </w:r>
          </w:p>
        </w:tc>
        <w:tc>
          <w:tcPr>
            <w:tcW w:w="16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7.64%</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4,937,500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4,937,500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4,835,664</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NDUSTRY</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01/30/2014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7.78%</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L+250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2,867,302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2,867,302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09/29/2014</w:t>
            </w:r>
          </w:p>
        </w:tc>
        <w:tc>
          <w:tcPr>
            <w:tcW w:w="1600" w:type="dxa"/>
            <w:vAlign w:val="bottom"/>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 AND</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7.57%</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L+225</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14,093,960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14,093,960</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13,389,262</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20" w:type="dxa"/>
            <w:vAlign w:val="bottom"/>
            <w:gridSpan w:val="2"/>
            <w:shd w:val="clear" w:color="auto" w:fill="CCEEFF"/>
          </w:tcPr>
          <w:p>
            <w:pPr>
              <w:spacing w:after="0" w:line="207" w:lineRule="exact"/>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NIVISION</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09/29/2014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ROADCASTING AND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906,040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620" w:type="dxa"/>
            <w:vAlign w:val="bottom"/>
            <w:gridSpan w:val="2"/>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03/02/2014</w:t>
            </w:r>
          </w:p>
        </w:tc>
        <w:tc>
          <w:tcPr>
            <w:tcW w:w="16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 AND</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6.95%</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L+175</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7,061,899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7,061,899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6,549,911</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620" w:type="dxa"/>
            <w:vAlign w:val="bottom"/>
            <w:gridSpan w:val="2"/>
            <w:shd w:val="clear" w:color="auto" w:fill="CCEEFF"/>
          </w:tcPr>
          <w:p>
            <w:pPr>
              <w:spacing w:after="0" w:line="207" w:lineRule="exact"/>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ALASSIS</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03/02/2014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 AND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2,103,908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2,103,908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UBLISHING</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ESTERN</w:t>
            </w:r>
            <w:r>
              <w:rPr>
                <w:rFonts w:ascii="Arial" w:cs="Arial" w:eastAsia="Arial" w:hAnsi="Arial"/>
                <w:sz w:val="18"/>
                <w:szCs w:val="18"/>
                <w:color w:val="auto"/>
              </w:rPr>
              <w:t xml:space="preserve"> R</w:t>
            </w:r>
            <w:r>
              <w:rPr>
                <w:rFonts w:ascii="Arial" w:cs="Arial" w:eastAsia="Arial" w:hAnsi="Arial"/>
                <w:sz w:val="14"/>
                <w:szCs w:val="14"/>
                <w:color w:val="auto"/>
              </w:rPr>
              <w:t>EFINING</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05/30/2014</w:t>
            </w:r>
          </w:p>
        </w:tc>
        <w:tc>
          <w:tcPr>
            <w:tcW w:w="16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IL AND</w:t>
            </w:r>
            <w:r>
              <w:rPr>
                <w:rFonts w:ascii="Arial" w:cs="Arial" w:eastAsia="Arial" w:hAnsi="Arial"/>
                <w:sz w:val="18"/>
                <w:szCs w:val="18"/>
                <w:color w:val="auto"/>
              </w:rPr>
              <w:t xml:space="preserve"> G</w:t>
            </w:r>
            <w:r>
              <w:rPr>
                <w:rFonts w:ascii="Arial" w:cs="Arial" w:eastAsia="Arial" w:hAnsi="Arial"/>
                <w:sz w:val="14"/>
                <w:szCs w:val="14"/>
                <w:color w:val="auto"/>
              </w:rPr>
              <w:t>AS</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6.88%</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L+175</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3,714,286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3,714,286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3,640,000</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170,481,009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170,474,236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158,929,905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6240" w:type="dxa"/>
            <w:vAlign w:val="bottom"/>
            <w:gridSpan w:val="5"/>
          </w:tcPr>
          <w:p>
            <w:pPr>
              <w:spacing w:after="0"/>
              <w:rPr>
                <w:sz w:val="20"/>
                <w:szCs w:val="20"/>
                <w:color w:val="auto"/>
              </w:rPr>
            </w:pPr>
            <w:r>
              <w:rPr>
                <w:rFonts w:ascii="Arial" w:cs="Arial" w:eastAsia="Arial" w:hAnsi="Arial"/>
                <w:sz w:val="18"/>
                <w:szCs w:val="18"/>
                <w:b w:val="1"/>
                <w:bCs w:val="1"/>
                <w:color w:val="auto"/>
              </w:rPr>
              <w:t>Total Investments in Non-Controlled, Non-Affiliated Portfolio Companies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298,789,297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274,679,030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300" w:type="dxa"/>
            <w:vAlign w:val="bottom"/>
            <w:gridSpan w:val="8"/>
            <w:vMerge w:val="restart"/>
          </w:tcPr>
          <w:p>
            <w:pPr>
              <w:jc w:val="center"/>
              <w:ind w:right="280"/>
              <w:spacing w:after="0"/>
              <w:rPr>
                <w:sz w:val="20"/>
                <w:szCs w:val="20"/>
                <w:color w:val="auto"/>
              </w:rPr>
            </w:pPr>
            <w:r>
              <w:rPr>
                <w:rFonts w:ascii="Arial" w:cs="Arial" w:eastAsia="Arial" w:hAnsi="Arial"/>
                <w:sz w:val="18"/>
                <w:szCs w:val="18"/>
                <w:color w:val="auto"/>
                <w:w w:val="93"/>
              </w:rPr>
              <w:t>SEE NOTES TO FINANCIAL STATEMENTS</w:t>
            </w: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300" w:type="dxa"/>
            <w:vAlign w:val="bottom"/>
            <w:gridSpan w:val="8"/>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433"/>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Basis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Point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Spread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3"/>
              </w:rPr>
              <w:t>Current</w:t>
            </w: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Above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22"/>
                <w:szCs w:val="22"/>
                <w:b w:val="1"/>
                <w:bCs w:val="1"/>
                <w:color w:val="auto"/>
                <w:vertAlign w:val="superscript"/>
              </w:rPr>
              <w:t>(3)</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Issuer name</w:t>
            </w:r>
          </w:p>
        </w:tc>
        <w:tc>
          <w:tcPr>
            <w:tcW w:w="294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w:t>
            </w:r>
          </w:p>
        </w:tc>
        <w:tc>
          <w:tcPr>
            <w:tcW w:w="200" w:type="dxa"/>
            <w:vAlign w:val="bottom"/>
          </w:tcPr>
          <w:p>
            <w:pPr>
              <w:spacing w:after="0"/>
              <w:rPr>
                <w:sz w:val="15"/>
                <w:szCs w:val="15"/>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2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Coupon</w:t>
            </w:r>
          </w:p>
        </w:tc>
        <w:tc>
          <w:tcPr>
            <w:tcW w:w="480" w:type="dxa"/>
            <w:vAlign w:val="bottom"/>
          </w:tcPr>
          <w:p>
            <w:pPr>
              <w:spacing w:after="0"/>
              <w:rPr>
                <w:sz w:val="15"/>
                <w:szCs w:val="15"/>
                <w:color w:val="auto"/>
              </w:rPr>
            </w:pPr>
          </w:p>
        </w:tc>
        <w:tc>
          <w:tcPr>
            <w:tcW w:w="4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w w:val="96"/>
              </w:rPr>
              <w:t>Index</w:t>
            </w:r>
            <w:r>
              <w:rPr>
                <w:rFonts w:ascii="Arial" w:cs="Arial" w:eastAsia="Arial" w:hAnsi="Arial"/>
                <w:sz w:val="20"/>
                <w:szCs w:val="20"/>
                <w:b w:val="1"/>
                <w:bCs w:val="1"/>
                <w:color w:val="auto"/>
                <w:w w:val="96"/>
                <w:vertAlign w:val="superscript"/>
              </w:rPr>
              <w:t>(4)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Par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60" w:type="dxa"/>
            <w:vAlign w:val="bottom"/>
            <w:vMerge w:val="restart"/>
          </w:tcPr>
          <w:p>
            <w:pPr>
              <w:spacing w:after="0" w:line="169" w:lineRule="exact"/>
              <w:rPr>
                <w:sz w:val="20"/>
                <w:szCs w:val="20"/>
                <w:color w:val="auto"/>
              </w:rPr>
            </w:pPr>
            <w:r>
              <w:rPr>
                <w:rFonts w:ascii="Arial" w:cs="Arial" w:eastAsia="Arial" w:hAnsi="Arial"/>
                <w:sz w:val="18"/>
                <w:szCs w:val="18"/>
                <w:b w:val="1"/>
                <w:bCs w:val="1"/>
                <w:color w:val="auto"/>
                <w:w w:val="70"/>
              </w:rPr>
              <w:t>Investments</w:t>
            </w:r>
          </w:p>
        </w:tc>
        <w:tc>
          <w:tcPr>
            <w:tcW w:w="2940" w:type="dxa"/>
            <w:vAlign w:val="bottom"/>
            <w:vMerge w:val="restart"/>
          </w:tcPr>
          <w:p>
            <w:pPr>
              <w:ind w:left="200"/>
              <w:spacing w:after="0" w:line="169" w:lineRule="exact"/>
              <w:rPr>
                <w:sz w:val="20"/>
                <w:szCs w:val="20"/>
                <w:color w:val="auto"/>
              </w:rPr>
            </w:pPr>
            <w:r>
              <w:rPr>
                <w:rFonts w:ascii="Arial" w:cs="Arial" w:eastAsia="Arial" w:hAnsi="Arial"/>
                <w:sz w:val="18"/>
                <w:szCs w:val="18"/>
                <w:b w:val="1"/>
                <w:bCs w:val="1"/>
                <w:color w:val="auto"/>
                <w:w w:val="85"/>
              </w:rPr>
              <w:t>in Non-Controlled, Affiliated Portfolio</w:t>
            </w:r>
          </w:p>
        </w:tc>
        <w:tc>
          <w:tcPr>
            <w:tcW w:w="1580" w:type="dxa"/>
            <w:vAlign w:val="bottom"/>
            <w:gridSpan w:val="3"/>
            <w:vMerge w:val="restart"/>
          </w:tcPr>
          <w:p>
            <w:pPr>
              <w:ind w:left="180"/>
              <w:spacing w:after="0" w:line="169" w:lineRule="exact"/>
              <w:rPr>
                <w:sz w:val="20"/>
                <w:szCs w:val="20"/>
                <w:color w:val="auto"/>
              </w:rPr>
            </w:pPr>
            <w:r>
              <w:rPr>
                <w:rFonts w:ascii="Arial" w:cs="Arial" w:eastAsia="Arial" w:hAnsi="Arial"/>
                <w:sz w:val="18"/>
                <w:szCs w:val="18"/>
                <w:b w:val="1"/>
                <w:bCs w:val="1"/>
                <w:color w:val="auto"/>
                <w:w w:val="87"/>
              </w:rPr>
              <w:t>Companies – 6.0%</w:t>
            </w:r>
          </w:p>
        </w:tc>
        <w:tc>
          <w:tcPr>
            <w:tcW w:w="140" w:type="dxa"/>
            <w:vAlign w:val="bottom"/>
            <w:tcBorders>
              <w:bottom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(2)</w:t>
            </w:r>
          </w:p>
        </w:tc>
        <w:tc>
          <w:tcPr>
            <w:tcW w:w="5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760" w:type="dxa"/>
            <w:vAlign w:val="bottom"/>
            <w:tcBorders>
              <w:bottom w:val="single" w:sz="8" w:color="auto"/>
            </w:tcBorders>
            <w:vMerge w:val="continue"/>
          </w:tcPr>
          <w:p>
            <w:pPr>
              <w:spacing w:after="0"/>
              <w:rPr>
                <w:sz w:val="2"/>
                <w:szCs w:val="2"/>
                <w:color w:val="auto"/>
              </w:rPr>
            </w:pPr>
          </w:p>
        </w:tc>
        <w:tc>
          <w:tcPr>
            <w:tcW w:w="2940" w:type="dxa"/>
            <w:vAlign w:val="bottom"/>
            <w:tcBorders>
              <w:bottom w:val="single" w:sz="8" w:color="auto"/>
            </w:tcBorders>
            <w:vMerge w:val="continue"/>
          </w:tcPr>
          <w:p>
            <w:pPr>
              <w:spacing w:after="0"/>
              <w:rPr>
                <w:sz w:val="2"/>
                <w:szCs w:val="2"/>
                <w:color w:val="auto"/>
              </w:rPr>
            </w:pPr>
          </w:p>
        </w:tc>
        <w:tc>
          <w:tcPr>
            <w:tcW w:w="1580" w:type="dxa"/>
            <w:vAlign w:val="bottom"/>
            <w:tcBorders>
              <w:bottom w:val="single" w:sz="8" w:color="auto"/>
            </w:tcBorders>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Subordinated Debt / Corporate Notes – 1.4%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70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07/02/2014</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14.25%</w:t>
            </w:r>
            <w:r>
              <w:rPr>
                <w:rFonts w:ascii="Arial" w:cs="Arial" w:eastAsia="Arial" w:hAnsi="Arial"/>
                <w:sz w:val="22"/>
                <w:szCs w:val="22"/>
                <w:color w:val="auto"/>
                <w:vertAlign w:val="superscript"/>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3,837,578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3,592,573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3,837,578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OTION</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ICTURES</w:t>
            </w:r>
            <w:r>
              <w:rPr>
                <w:rFonts w:ascii="Arial" w:cs="Arial" w:eastAsia="Arial" w:hAnsi="Arial"/>
                <w:sz w:val="18"/>
                <w:szCs w:val="18"/>
                <w:color w:val="auto"/>
                <w:w w:val="94"/>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Second Lien Secured Debt – 3.2%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70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07/02/2013</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11.11%</w:t>
            </w: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L+575</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8,750,000</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OTION</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ICTURES</w:t>
            </w:r>
            <w:r>
              <w:rPr>
                <w:rFonts w:ascii="Arial" w:cs="Arial" w:eastAsia="Arial" w:hAnsi="Arial"/>
                <w:sz w:val="18"/>
                <w:szCs w:val="18"/>
                <w:color w:val="auto"/>
                <w:w w:val="94"/>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7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/P</w:t>
            </w:r>
            <w:r>
              <w:rPr>
                <w:rFonts w:ascii="Arial" w:cs="Arial" w:eastAsia="Arial" w:hAnsi="Arial"/>
                <w:sz w:val="14"/>
                <w:szCs w:val="14"/>
                <w:b w:val="1"/>
                <w:bCs w:val="1"/>
                <w:color w:val="auto"/>
              </w:rPr>
              <w:t>ARTNERSHIP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NTERESTS</w:t>
            </w:r>
            <w:r>
              <w:rPr>
                <w:rFonts w:ascii="Arial" w:cs="Arial" w:eastAsia="Arial" w:hAnsi="Arial"/>
                <w:sz w:val="18"/>
                <w:szCs w:val="18"/>
                <w:b w:val="1"/>
                <w:bCs w:val="1"/>
                <w:color w:val="auto"/>
              </w:rPr>
              <w:t xml:space="preserve"> </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 1.4%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b w:val="1"/>
                <w:bCs w:val="1"/>
                <w:color w:val="auto"/>
              </w:rPr>
              <w:t>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700" w:type="dxa"/>
            <w:vAlign w:val="bottom"/>
            <w:gridSpan w:val="2"/>
          </w:tcPr>
          <w:p>
            <w:pPr>
              <w:spacing w:after="0"/>
              <w:rPr>
                <w:sz w:val="20"/>
                <w:szCs w:val="20"/>
                <w:color w:val="auto"/>
              </w:rPr>
            </w:pPr>
            <w:r>
              <w:rPr>
                <w:rFonts w:ascii="Arial" w:cs="Arial" w:eastAsia="Arial" w:hAnsi="Arial"/>
                <w:sz w:val="18"/>
                <w:szCs w:val="18"/>
                <w:color w:val="auto"/>
              </w:rPr>
              <w:t>NCP-P</w:t>
            </w:r>
            <w:r>
              <w:rPr>
                <w:rFonts w:ascii="Arial" w:cs="Arial" w:eastAsia="Arial" w:hAnsi="Arial"/>
                <w:sz w:val="14"/>
                <w:szCs w:val="14"/>
                <w:color w:val="auto"/>
              </w:rPr>
              <w:t>ERFORMANCE</w:t>
            </w:r>
            <w:r>
              <w:rPr>
                <w:rFonts w:ascii="Arial" w:cs="Arial" w:eastAsia="Arial" w:hAnsi="Arial"/>
                <w:sz w:val="18"/>
                <w:szCs w:val="18"/>
                <w:color w:val="auto"/>
              </w:rPr>
              <w:t xml:space="preserve"> (P</w:t>
            </w:r>
            <w:r>
              <w:rPr>
                <w:rFonts w:ascii="Arial" w:cs="Arial" w:eastAsia="Arial" w:hAnsi="Arial"/>
                <w:sz w:val="14"/>
                <w:szCs w:val="14"/>
                <w:color w:val="auto"/>
              </w:rPr>
              <w:t>ERFORMANCE</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EISURE</w:t>
            </w:r>
            <w:r>
              <w:rPr>
                <w:rFonts w:ascii="Arial" w:cs="Arial" w:eastAsia="Arial" w:hAnsi="Arial"/>
                <w:sz w:val="18"/>
                <w:szCs w:val="18"/>
                <w:color w:val="auto"/>
                <w:w w:val="98"/>
              </w:rPr>
              <w:t>,</w:t>
            </w:r>
          </w:p>
        </w:tc>
        <w:tc>
          <w:tcPr>
            <w:tcW w:w="22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3,750,000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MUSEMENT</w:t>
            </w:r>
            <w:r>
              <w:rPr>
                <w:rFonts w:ascii="Arial" w:cs="Arial" w:eastAsia="Arial" w:hAnsi="Arial"/>
                <w:sz w:val="18"/>
                <w:szCs w:val="18"/>
                <w:color w:val="auto"/>
              </w:rPr>
              <w:t>,</w:t>
            </w: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370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OTION</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ICTURES</w:t>
            </w:r>
            <w:r>
              <w:rPr>
                <w:rFonts w:ascii="Arial" w:cs="Arial" w:eastAsia="Arial" w:hAnsi="Arial"/>
                <w:sz w:val="18"/>
                <w:szCs w:val="18"/>
                <w:color w:val="auto"/>
                <w:w w:val="94"/>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74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 IN</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ONTROLLED</w:t>
            </w:r>
            <w:r>
              <w:rPr>
                <w:rFonts w:ascii="Arial" w:cs="Arial" w:eastAsia="Arial" w:hAnsi="Arial"/>
                <w:sz w:val="18"/>
                <w:szCs w:val="18"/>
                <w:b w:val="1"/>
                <w:bCs w:val="1"/>
                <w:color w:val="auto"/>
              </w:rPr>
              <w:t>, A</w:t>
            </w:r>
            <w:r>
              <w:rPr>
                <w:rFonts w:ascii="Arial" w:cs="Arial" w:eastAsia="Arial" w:hAnsi="Arial"/>
                <w:sz w:val="14"/>
                <w:szCs w:val="14"/>
                <w:b w:val="1"/>
                <w:bCs w:val="1"/>
                <w:color w:val="auto"/>
              </w:rPr>
              <w:t>FFILIATED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ORTFOLIO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16,092,573</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OTAL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 107.6%</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314,881,870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291,016,608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Equivalents – 95.4%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3"/>
                <w:szCs w:val="13"/>
                <w:b w:val="1"/>
                <w:bCs w:val="1"/>
                <w:color w:val="auto"/>
              </w:rPr>
              <w:t>Par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00" w:type="dxa"/>
            <w:vAlign w:val="bottom"/>
            <w:gridSpan w:val="2"/>
          </w:tcPr>
          <w:p>
            <w:pPr>
              <w:spacing w:after="0"/>
              <w:rPr>
                <w:sz w:val="20"/>
                <w:szCs w:val="20"/>
                <w:color w:val="auto"/>
              </w:rPr>
            </w:pPr>
            <w:r>
              <w:rPr>
                <w:rFonts w:ascii="Arial" w:cs="Arial" w:eastAsia="Arial" w:hAnsi="Arial"/>
                <w:sz w:val="18"/>
                <w:szCs w:val="18"/>
                <w:color w:val="auto"/>
              </w:rPr>
              <w:t>U.S. T</w:t>
            </w:r>
            <w:r>
              <w:rPr>
                <w:rFonts w:ascii="Arial" w:cs="Arial" w:eastAsia="Arial" w:hAnsi="Arial"/>
                <w:sz w:val="14"/>
                <w:szCs w:val="14"/>
                <w:color w:val="auto"/>
              </w:rPr>
              <w:t>REASURY</w:t>
            </w:r>
            <w:r>
              <w:rPr>
                <w:rFonts w:ascii="Arial" w:cs="Arial" w:eastAsia="Arial" w:hAnsi="Arial"/>
                <w:sz w:val="18"/>
                <w:szCs w:val="18"/>
                <w:color w:val="auto"/>
              </w:rPr>
              <w:t xml:space="preserve"> B</w:t>
            </w:r>
            <w:r>
              <w:rPr>
                <w:rFonts w:ascii="Arial" w:cs="Arial" w:eastAsia="Arial" w:hAnsi="Arial"/>
                <w:sz w:val="14"/>
                <w:szCs w:val="14"/>
                <w:color w:val="auto"/>
              </w:rPr>
              <w:t>ILL</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12/27/2007</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3.64%</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255,000,000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252,759,931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252,703,215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7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ONEY</w:t>
            </w:r>
            <w:r>
              <w:rPr>
                <w:rFonts w:ascii="Arial" w:cs="Arial" w:eastAsia="Arial" w:hAnsi="Arial"/>
                <w:sz w:val="18"/>
                <w:szCs w:val="18"/>
                <w:color w:val="auto"/>
              </w:rPr>
              <w:t xml:space="preserve"> M</w:t>
            </w:r>
            <w:r>
              <w:rPr>
                <w:rFonts w:ascii="Arial" w:cs="Arial" w:eastAsia="Arial" w:hAnsi="Arial"/>
                <w:sz w:val="14"/>
                <w:szCs w:val="14"/>
                <w:color w:val="auto"/>
              </w:rPr>
              <w:t>ARKET</w:t>
            </w:r>
            <w:r>
              <w:rPr>
                <w:rFonts w:ascii="Arial" w:cs="Arial" w:eastAsia="Arial" w:hAnsi="Arial"/>
                <w:sz w:val="18"/>
                <w:szCs w:val="18"/>
                <w:color w:val="auto"/>
              </w:rPr>
              <w:t xml:space="preserve"> – M</w:t>
            </w:r>
            <w:r>
              <w:rPr>
                <w:rFonts w:ascii="Arial" w:cs="Arial" w:eastAsia="Arial" w:hAnsi="Arial"/>
                <w:sz w:val="14"/>
                <w:szCs w:val="14"/>
                <w:color w:val="auto"/>
              </w:rPr>
              <w:t>UTUAL</w:t>
            </w:r>
            <w:r>
              <w:rPr>
                <w:rFonts w:ascii="Arial" w:cs="Arial" w:eastAsia="Arial" w:hAnsi="Arial"/>
                <w:sz w:val="18"/>
                <w:szCs w:val="18"/>
                <w:color w:val="auto"/>
              </w:rPr>
              <w:t xml:space="preserve"> F</w:t>
            </w:r>
            <w:r>
              <w:rPr>
                <w:rFonts w:ascii="Arial" w:cs="Arial" w:eastAsia="Arial" w:hAnsi="Arial"/>
                <w:sz w:val="14"/>
                <w:szCs w:val="14"/>
                <w:color w:val="auto"/>
              </w:rPr>
              <w:t>UNDS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 Cash Equivalents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260,256,420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258,016,351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257,959,635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Investments and Cash Equivalents – 203.03%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572,898,221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548,976,243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Liabilities in Excess of Other Assets – (103.0%)</w:t>
            </w: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7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9"/>
              </w:rPr>
              <w:t>(278,583,149)</w:t>
            </w:r>
          </w:p>
        </w:tc>
        <w:tc>
          <w:tcPr>
            <w:tcW w:w="0" w:type="dxa"/>
            <w:vAlign w:val="bottom"/>
          </w:tcPr>
          <w:p>
            <w:pPr>
              <w:spacing w:after="0"/>
              <w:rPr>
                <w:sz w:val="1"/>
                <w:szCs w:val="1"/>
                <w:color w:val="auto"/>
              </w:rPr>
            </w:pPr>
          </w:p>
        </w:tc>
      </w:tr>
      <w:tr>
        <w:trPr>
          <w:trHeight w:val="224"/>
        </w:trPr>
        <w:tc>
          <w:tcPr>
            <w:tcW w:w="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80" w:type="dxa"/>
            <w:vAlign w:val="bottom"/>
            <w:gridSpan w:val="10"/>
            <w:vMerge w:val="restart"/>
          </w:tcPr>
          <w:p>
            <w:pPr>
              <w:jc w:val="center"/>
              <w:ind w:right="220"/>
              <w:spacing w:after="0"/>
              <w:rPr>
                <w:sz w:val="20"/>
                <w:szCs w:val="20"/>
                <w:color w:val="auto"/>
              </w:rPr>
            </w:pPr>
            <w:r>
              <w:rPr>
                <w:rFonts w:ascii="Arial" w:cs="Arial" w:eastAsia="Arial" w:hAnsi="Arial"/>
                <w:sz w:val="18"/>
                <w:szCs w:val="18"/>
                <w:color w:val="auto"/>
                <w:w w:val="93"/>
              </w:rPr>
              <w:t>SEE NOTES TO FINANCIAL STATEMENTS</w:t>
            </w: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80" w:type="dxa"/>
            <w:vAlign w:val="bottom"/>
            <w:gridSpan w:val="10"/>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12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34" w:lineRule="exact"/>
        <w:rPr>
          <w:sz w:val="20"/>
          <w:szCs w:val="20"/>
          <w:color w:val="auto"/>
        </w:rPr>
      </w:pPr>
    </w:p>
    <w:p>
      <w:pPr>
        <w:ind w:left="900" w:right="60" w:hanging="447"/>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used in this Schedule of Investments and in accordance with the Investment Company Act of 1940 (the “1940 Act”) “non-controlled” means we own less than 25% of a portfolio company’s voting securities.</w:t>
      </w:r>
    </w:p>
    <w:p>
      <w:pPr>
        <w:spacing w:after="0" w:line="50" w:lineRule="exact"/>
        <w:rPr>
          <w:rFonts w:ascii="Arial" w:cs="Arial" w:eastAsia="Arial" w:hAnsi="Arial"/>
          <w:sz w:val="18"/>
          <w:szCs w:val="18"/>
          <w:color w:val="auto"/>
        </w:rPr>
      </w:pPr>
    </w:p>
    <w:p>
      <w:pPr>
        <w:ind w:left="900" w:right="620" w:hanging="447"/>
        <w:spacing w:after="0" w:line="33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 w:lineRule="exact"/>
        <w:rPr>
          <w:rFonts w:ascii="Arial" w:cs="Arial" w:eastAsia="Arial" w:hAnsi="Arial"/>
          <w:sz w:val="16"/>
          <w:szCs w:val="16"/>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Valued based on our accounting policy (see note 2 to our financial statements).</w:t>
      </w:r>
    </w:p>
    <w:p>
      <w:pPr>
        <w:spacing w:after="0" w:line="90" w:lineRule="exact"/>
        <w:rPr>
          <w:rFonts w:ascii="Arial" w:cs="Arial" w:eastAsia="Arial" w:hAnsi="Arial"/>
          <w:sz w:val="18"/>
          <w:szCs w:val="18"/>
          <w:color w:val="auto"/>
        </w:rPr>
      </w:pPr>
    </w:p>
    <w:p>
      <w:pPr>
        <w:ind w:left="900" w:hanging="447"/>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floating rate instruments that accrue interest at a predetermined spread relative to an index, typically the applicable London Interbank Offer Rate (LIBOR or “L”).</w:t>
      </w:r>
    </w:p>
    <w:p>
      <w:pPr>
        <w:spacing w:after="0" w:line="50" w:lineRule="exact"/>
        <w:rPr>
          <w:rFonts w:ascii="Arial" w:cs="Arial" w:eastAsia="Arial" w:hAnsi="Arial"/>
          <w:sz w:val="18"/>
          <w:szCs w:val="18"/>
          <w:color w:val="auto"/>
        </w:rPr>
      </w:pPr>
    </w:p>
    <w:p>
      <w:pPr>
        <w:ind w:left="900" w:hanging="44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purchases of securities with delayed draws. These securities do not have a basis point spread above index.</w:t>
      </w:r>
    </w:p>
    <w:p>
      <w:pPr>
        <w:spacing w:after="0" w:line="211" w:lineRule="exact"/>
        <w:rPr>
          <w:rFonts w:ascii="Arial" w:cs="Arial" w:eastAsia="Arial" w:hAnsi="Arial"/>
          <w:sz w:val="18"/>
          <w:szCs w:val="18"/>
          <w:color w:val="auto"/>
        </w:rPr>
      </w:pPr>
    </w:p>
    <w:p>
      <w:pPr>
        <w:ind w:left="900" w:right="100" w:hanging="447"/>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1" w:lineRule="exact"/>
        <w:rPr>
          <w:sz w:val="20"/>
          <w:szCs w:val="20"/>
          <w:color w:val="auto"/>
        </w:rPr>
      </w:pPr>
    </w:p>
    <w:p>
      <w:pPr>
        <w:ind w:left="460" w:right="6160" w:hanging="7"/>
        <w:spacing w:after="0" w:line="362" w:lineRule="auto"/>
        <w:tabs>
          <w:tab w:leader="none" w:pos="90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Coupon payable in cash and/or payment-in-kind (“PIK”). ** Non-income producing.</w:t>
      </w:r>
    </w:p>
    <w:p>
      <w:pPr>
        <w:spacing w:after="0" w:line="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PennantPark Investment Corporation (“PennantPark Investment” or “Company”) was organized as a Maryland corporation on January 11, 2007. PennantPark Investment’s objective is to generate both current income and capital appreciation through debt and equity investments. The Company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2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w:t>
      </w:r>
    </w:p>
    <w:p>
      <w:pPr>
        <w:spacing w:after="0" w:line="140"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10-Q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7"/>
        <w:spacing w:after="0" w:line="28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Security transactions are recorded on a trade-date basis.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securities with maturities greater than 60 days generally are valued by an independent pricing service or at the bid prices from at least two broker/dealers (if available, otherwise by a principal market maker or a primary market dealer). 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With respect to investments for which there is no readily available market value, valuation methods include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are believed to be inaccurate, our board of directors undertakes a multi-step valuation process each quarter, as described below:</w:t>
      </w:r>
    </w:p>
    <w:p>
      <w:pPr>
        <w:spacing w:after="0" w:line="51" w:lineRule="exact"/>
        <w:rPr>
          <w:sz w:val="20"/>
          <w:szCs w:val="20"/>
          <w:color w:val="auto"/>
        </w:rPr>
      </w:pPr>
    </w:p>
    <w:p>
      <w:pPr>
        <w:ind w:left="1460" w:hanging="561"/>
        <w:spacing w:after="0" w:line="268"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60" w:hanging="561"/>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60" w:right="300" w:hanging="561"/>
        <w:spacing w:after="0" w:line="298"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to be inaccurate. The independent valuation firm reviews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60" w:right="40" w:hanging="561"/>
        <w:spacing w:after="0" w:line="259"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8" w:lineRule="exact"/>
        <w:rPr>
          <w:rFonts w:ascii="Arial" w:cs="Arial" w:eastAsia="Arial" w:hAnsi="Arial"/>
          <w:sz w:val="18"/>
          <w:szCs w:val="18"/>
          <w:color w:val="auto"/>
        </w:rPr>
      </w:pPr>
    </w:p>
    <w:p>
      <w:pPr>
        <w:ind w:left="1460" w:right="180" w:hanging="561"/>
        <w:spacing w:after="0" w:line="331"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6" w:lineRule="exact"/>
        <w:rPr>
          <w:sz w:val="20"/>
          <w:szCs w:val="20"/>
          <w:color w:val="auto"/>
        </w:rPr>
      </w:pPr>
    </w:p>
    <w:p>
      <w:pPr>
        <w:ind w:left="900" w:right="120"/>
        <w:spacing w:after="0" w:line="306" w:lineRule="auto"/>
        <w:rPr>
          <w:sz w:val="20"/>
          <w:szCs w:val="20"/>
          <w:color w:val="auto"/>
        </w:rPr>
      </w:pPr>
      <w:r>
        <w:rPr>
          <w:rFonts w:ascii="Arial" w:cs="Arial" w:eastAsia="Arial" w:hAnsi="Arial"/>
          <w:sz w:val="16"/>
          <w:szCs w:val="16"/>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5" w:lineRule="exact"/>
        <w:rPr>
          <w:sz w:val="20"/>
          <w:szCs w:val="20"/>
          <w:color w:val="auto"/>
        </w:rPr>
      </w:pPr>
    </w:p>
    <w:p>
      <w:pPr>
        <w:ind w:left="900" w:right="320" w:hanging="447"/>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 purchased within 60 days of maturity are valued at cost plus accreted discount, or minus amortized premium, which approximates value.</w:t>
      </w:r>
    </w:p>
    <w:p>
      <w:pPr>
        <w:spacing w:after="0" w:line="50" w:lineRule="exact"/>
        <w:rPr>
          <w:rFonts w:ascii="Arial" w:cs="Arial" w:eastAsia="Arial" w:hAnsi="Arial"/>
          <w:sz w:val="18"/>
          <w:szCs w:val="18"/>
          <w:color w:val="auto"/>
        </w:rPr>
      </w:pPr>
    </w:p>
    <w:p>
      <w:pPr>
        <w:ind w:left="900" w:right="360" w:hanging="447"/>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65" w:lineRule="exact"/>
        <w:rPr>
          <w:rFonts w:ascii="Arial" w:cs="Arial" w:eastAsia="Arial" w:hAnsi="Arial"/>
          <w:sz w:val="18"/>
          <w:szCs w:val="18"/>
          <w:color w:val="auto"/>
        </w:rPr>
      </w:pPr>
    </w:p>
    <w:p>
      <w:pPr>
        <w:ind w:left="900" w:right="60" w:hanging="447"/>
        <w:spacing w:after="0" w:line="28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5" w:lineRule="exact"/>
        <w:rPr>
          <w:rFonts w:ascii="Arial" w:cs="Arial" w:eastAsia="Arial" w:hAnsi="Arial"/>
          <w:sz w:val="16"/>
          <w:szCs w:val="16"/>
          <w:color w:val="auto"/>
        </w:rPr>
      </w:pPr>
    </w:p>
    <w:p>
      <w:pPr>
        <w:ind w:left="900" w:right="60" w:hanging="447"/>
        <w:spacing w:after="0" w:line="306"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Before May 1, 2007 PennantPark Investment was taxed as a corporation under Subchapter C of the Internal Revenue Code of 1986, as amended (the “Code”), and subject to corporate-level federal, state and local taxes. From May 1, 2007, PennantPark Investment has complied with the requirements of Subchapter M of the Code, and expects to be subject to tax as a regulated investment company, or “RIC”. As a corporation, PennantPark Investment accounted for income taxes using the asset liability method prescribed by FASB Statement No. 109, “Accounting for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as of its next taxable year-end, we do not anticipate paying any material corporate-level taxes in the future. The Company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FASB Interpretation No. 48, </w:t>
      </w:r>
      <w:r>
        <w:rPr>
          <w:rFonts w:ascii="Arial" w:cs="Arial" w:eastAsia="Arial" w:hAnsi="Arial"/>
          <w:sz w:val="15"/>
          <w:szCs w:val="15"/>
          <w:i w:val="1"/>
          <w:iCs w:val="1"/>
          <w:color w:val="auto"/>
        </w:rPr>
        <w:t>Accounting for Uncertainty in Income Taxes—an interpretation of FASB</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Statement No. 109 </w:t>
      </w:r>
      <w:r>
        <w:rPr>
          <w:rFonts w:ascii="Arial" w:cs="Arial" w:eastAsia="Arial" w:hAnsi="Arial"/>
          <w:sz w:val="15"/>
          <w:szCs w:val="15"/>
          <w:color w:val="auto"/>
        </w:rPr>
        <w:t>(“FIN 48”) nor did we have any unrecognized tax benefits as of September 30, 2007 or June 30, 2008. Although we file federal</w:t>
      </w:r>
      <w:r>
        <w:rPr>
          <w:rFonts w:ascii="Arial" w:cs="Arial" w:eastAsia="Arial" w:hAnsi="Arial"/>
          <w:sz w:val="15"/>
          <w:szCs w:val="15"/>
          <w:i w:val="1"/>
          <w:iCs w:val="1"/>
          <w:color w:val="auto"/>
        </w:rPr>
        <w:t xml:space="preserve"> </w:t>
      </w:r>
      <w:r>
        <w:rPr>
          <w:rFonts w:ascii="Arial" w:cs="Arial" w:eastAsia="Arial" w:hAnsi="Arial"/>
          <w:sz w:val="15"/>
          <w:szCs w:val="15"/>
          <w:color w:val="auto"/>
        </w:rPr>
        <w:t>and state tax returns, our major tax jurisdiction is federal. Our 2007 federal tax year remains subject to examination by the IRS.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900" w:hanging="447"/>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58" w:lineRule="exact"/>
        <w:rPr>
          <w:rFonts w:ascii="Arial" w:cs="Arial" w:eastAsia="Arial" w:hAnsi="Arial"/>
          <w:sz w:val="18"/>
          <w:szCs w:val="18"/>
          <w:color w:val="auto"/>
        </w:rPr>
      </w:pPr>
    </w:p>
    <w:p>
      <w:pPr>
        <w:ind w:left="900" w:right="20" w:hanging="447"/>
        <w:spacing w:after="0" w:line="290"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September 2006, the Financial Accounting Standards Board issued Statement of Financial Accounting Standards (“SFAS”)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which clarifies the definition of fair value and requires companies to expand their disclosure about the use of fair value to measure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in interim and annual periods subsequent to initial recognition. Adoption of SFAS 157 requires the use of the price that would be received to sell an asset or paid to transfer a liability in an orderly transaction between market participants at the measurement date. SFAS 157 is effective for financial statements issued for fiscal years beginning after November 15, 2007, and interim periods within those fiscal years. We plan to implement SFAS 157 for financial statements issued after September 30, 2008 and believe that this implementation will not affect the Company’s financial position or its results of operations.</w:t>
      </w:r>
    </w:p>
    <w:p>
      <w:pPr>
        <w:spacing w:after="0" w:line="36" w:lineRule="exact"/>
        <w:rPr>
          <w:rFonts w:ascii="Arial" w:cs="Arial" w:eastAsia="Arial" w:hAnsi="Arial"/>
          <w:sz w:val="16"/>
          <w:szCs w:val="16"/>
          <w:color w:val="auto"/>
        </w:rPr>
      </w:pPr>
    </w:p>
    <w:p>
      <w:pPr>
        <w:ind w:left="900" w:right="60" w:hanging="447"/>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February 2007, the FASB issued Statement No. 159, </w:t>
      </w:r>
      <w:r>
        <w:rPr>
          <w:rFonts w:ascii="Arial" w:cs="Arial" w:eastAsia="Arial" w:hAnsi="Arial"/>
          <w:sz w:val="16"/>
          <w:szCs w:val="16"/>
          <w:i w:val="1"/>
          <w:iCs w:val="1"/>
          <w:color w:val="auto"/>
        </w:rPr>
        <w:t>The Fair Value Option for Financial Assets and Financial Liabilities 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 of FASB Statement No. 115</w:t>
      </w:r>
      <w:r>
        <w:rPr>
          <w:rFonts w:ascii="Arial" w:cs="Arial" w:eastAsia="Arial" w:hAnsi="Arial"/>
          <w:sz w:val="16"/>
          <w:szCs w:val="16"/>
          <w:color w:val="auto"/>
        </w:rPr>
        <w:t>. This statement permits an entity to choose to measure many financial instruments and certain other items</w:t>
      </w:r>
      <w:r>
        <w:rPr>
          <w:rFonts w:ascii="Arial" w:cs="Arial" w:eastAsia="Arial" w:hAnsi="Arial"/>
          <w:sz w:val="16"/>
          <w:szCs w:val="16"/>
          <w:i w:val="1"/>
          <w:iCs w:val="1"/>
          <w:color w:val="auto"/>
        </w:rPr>
        <w:t xml:space="preserve"> </w:t>
      </w:r>
      <w:r>
        <w:rPr>
          <w:rFonts w:ascii="Arial" w:cs="Arial" w:eastAsia="Arial" w:hAnsi="Arial"/>
          <w:sz w:val="16"/>
          <w:szCs w:val="16"/>
          <w:color w:val="auto"/>
        </w:rPr>
        <w:t>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plan to implement SFAS 159 for financial statements issued after September 30, 2008 and believe that this implementation will not affect the Company’s financial position or its results of operations.</w:t>
      </w:r>
    </w:p>
    <w:p>
      <w:pPr>
        <w:spacing w:after="0" w:line="38" w:lineRule="exact"/>
        <w:rPr>
          <w:rFonts w:ascii="Arial" w:cs="Arial" w:eastAsia="Arial" w:hAnsi="Arial"/>
          <w:sz w:val="16"/>
          <w:szCs w:val="16"/>
          <w:color w:val="auto"/>
        </w:rPr>
      </w:pPr>
    </w:p>
    <w:p>
      <w:pPr>
        <w:ind w:left="900" w:hanging="447"/>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prior period amounts have been reclassified to conform to current period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Revolving Credit Facility (“adjusted gross assets”), if any) (see note 8).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after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and nine months ended June 30, 2008, the Investment Adviser received a net base management fee of $1.8 million and $4.8 million, respectively, from the Company. For the three months ended June 30, 2007 and the period January 11, 2007 (inception) to June 30, 2007, the Investment Adviser received a net base management fee of approximately $786,000 from the Company.</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49"/>
        <w:spacing w:after="0" w:line="307" w:lineRule="auto"/>
        <w:rPr>
          <w:sz w:val="20"/>
          <w:szCs w:val="20"/>
          <w:color w:val="auto"/>
        </w:rPr>
      </w:pPr>
      <w:r>
        <w:rPr>
          <w:rFonts w:ascii="Arial" w:cs="Arial" w:eastAsia="Arial" w:hAnsi="Arial"/>
          <w:sz w:val="15"/>
          <w:szCs w:val="15"/>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57"/>
        <w:spacing w:after="0" w:line="294"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and nine months ended June 30, 2008, the Adviser received an incentive fee of $1.0 million and $2.4 million, respectively, from the Company. For the three months ended June 30, 2007 and for the period January 11, 2007 (inception) through June 30, 2007, the Investment Adviser did not receive an incentive fee from the Company.</w:t>
      </w:r>
    </w:p>
    <w:p>
      <w:pPr>
        <w:spacing w:after="0" w:line="124"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under which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three and nine months ended June 30, 2008, the Investment Adviser was reimbursed $0.5 million and $1.6 million, respectively, from the Company, including expenses it incurred on behalf of the Administrator, for services described above. For the three months ended June 30, 2007 and for the period January 11, 2007 (inception) to June 30, 2007, the Investment Adviser was reimbursed $189,000 from the Company for services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 portion of the net proceeds of the Company’s initial public offering was used for organizational, offering and other expenses. Organizational expenses were treated as expenses incurred. Offering costs of $21.3 million were charged to net assets after the completion of the initial public offering on April 24,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 VALUE PER SHARE</w:t>
      </w:r>
    </w:p>
    <w:p>
      <w:pPr>
        <w:spacing w:after="0" w:line="96" w:lineRule="exact"/>
        <w:rPr>
          <w:sz w:val="20"/>
          <w:szCs w:val="20"/>
          <w:color w:val="auto"/>
        </w:rPr>
      </w:pPr>
    </w:p>
    <w:p>
      <w:pPr>
        <w:ind w:right="980" w:firstLine="449"/>
        <w:spacing w:after="0" w:line="331" w:lineRule="auto"/>
        <w:rPr>
          <w:sz w:val="20"/>
          <w:szCs w:val="20"/>
          <w:color w:val="auto"/>
        </w:rPr>
      </w:pPr>
      <w:r>
        <w:rPr>
          <w:rFonts w:ascii="Arial" w:cs="Arial" w:eastAsia="Arial" w:hAnsi="Arial"/>
          <w:sz w:val="16"/>
          <w:szCs w:val="16"/>
          <w:color w:val="auto"/>
        </w:rPr>
        <w:t>On June 30, 2008, PennantPark Investment’s total net assets and net asset value per share were $226.8 million and $10.77, respectively. On September 30, 2007, PennantPark Investment’s total net assets and net asset value per share were $270.4 million and $12.83, respectively.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GAIN/(LOSS)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increase/(decrease) in net assets resulting from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Period from January 11,</w:t>
            </w:r>
          </w:p>
        </w:tc>
      </w:tr>
      <w:tr>
        <w:trPr>
          <w:trHeight w:val="148"/>
        </w:trPr>
        <w:tc>
          <w:tcPr>
            <w:tcW w:w="9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2"/>
                <w:szCs w:val="12"/>
                <w:color w:val="auto"/>
              </w:rPr>
            </w:pPr>
          </w:p>
        </w:tc>
        <w:tc>
          <w:tcPr>
            <w:tcW w:w="17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Nine months ended</w:t>
            </w:r>
          </w:p>
        </w:tc>
        <w:tc>
          <w:tcPr>
            <w:tcW w:w="260" w:type="dxa"/>
            <w:vAlign w:val="bottom"/>
          </w:tcPr>
          <w:p>
            <w:pPr>
              <w:spacing w:after="0"/>
              <w:rPr>
                <w:sz w:val="12"/>
                <w:szCs w:val="12"/>
                <w:color w:val="auto"/>
              </w:rPr>
            </w:pPr>
          </w:p>
        </w:tc>
        <w:tc>
          <w:tcPr>
            <w:tcW w:w="1500" w:type="dxa"/>
            <w:vAlign w:val="bottom"/>
            <w:gridSpan w:val="3"/>
          </w:tcPr>
          <w:p>
            <w:pPr>
              <w:spacing w:after="0"/>
              <w:rPr>
                <w:sz w:val="20"/>
                <w:szCs w:val="20"/>
                <w:color w:val="auto"/>
              </w:rPr>
            </w:pPr>
            <w:r>
              <w:rPr>
                <w:rFonts w:ascii="Arial" w:cs="Arial" w:eastAsia="Arial" w:hAnsi="Arial"/>
                <w:sz w:val="13"/>
                <w:szCs w:val="13"/>
                <w:b w:val="1"/>
                <w:bCs w:val="1"/>
                <w:color w:val="auto"/>
                <w:w w:val="97"/>
              </w:rPr>
              <w:t>2007 (inception) through</w:t>
            </w:r>
          </w:p>
        </w:tc>
      </w:tr>
      <w:tr>
        <w:trPr>
          <w:trHeight w:val="161"/>
        </w:trPr>
        <w:tc>
          <w:tcPr>
            <w:tcW w:w="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Class and Year</w:t>
            </w: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June 30, 2008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6"/>
              </w:rPr>
              <w:t>June 30, 2007</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4"/>
              </w:rPr>
              <w:t>June 30, 2008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June 30, 2007</w:t>
            </w:r>
          </w:p>
        </w:tc>
        <w:tc>
          <w:tcPr>
            <w:tcW w:w="60" w:type="dxa"/>
            <w:vAlign w:val="bottom"/>
          </w:tcPr>
          <w:p>
            <w:pPr>
              <w:spacing w:after="0"/>
              <w:rPr>
                <w:sz w:val="14"/>
                <w:szCs w:val="14"/>
                <w:color w:val="auto"/>
              </w:rPr>
            </w:pPr>
          </w:p>
        </w:tc>
      </w:tr>
      <w:tr>
        <w:trPr>
          <w:trHeight w:val="201"/>
        </w:trPr>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Numerator for net increase (decrease) in net assets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resulting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15,204,464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(1,944,046)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(29,660,865)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(2,177,592)</w:t>
            </w:r>
          </w:p>
        </w:tc>
      </w:tr>
      <w:tr>
        <w:trPr>
          <w:trHeight w:val="208"/>
        </w:trPr>
        <w:tc>
          <w:tcPr>
            <w:tcW w:w="45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21,068,772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21,046,883</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21,068,772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21,046,883</w:t>
            </w:r>
          </w:p>
        </w:tc>
        <w:tc>
          <w:tcPr>
            <w:tcW w:w="60" w:type="dxa"/>
            <w:vAlign w:val="bottom"/>
          </w:tcPr>
          <w:p>
            <w:pPr>
              <w:spacing w:after="0"/>
              <w:rPr>
                <w:sz w:val="19"/>
                <w:szCs w:val="19"/>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 share resulting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6"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Purchases and sales/repayments of long-term investments for the three months ended June 30, 2008 totaled $46.8 million and $9.2 million, respectively. In addition, for the nine months ended June 30, 2008 purchases and sales/repayments of long-term investments totaled $149.3 million and $14.4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40" w:type="dxa"/>
            <w:vAlign w:val="bottom"/>
            <w:gridSpan w:val="3"/>
          </w:tcPr>
          <w:p>
            <w:pPr>
              <w:jc w:val="right"/>
              <w:ind w:right="635"/>
              <w:spacing w:after="0"/>
              <w:rPr>
                <w:sz w:val="20"/>
                <w:szCs w:val="20"/>
                <w:color w:val="auto"/>
              </w:rPr>
            </w:pPr>
            <w:r>
              <w:rPr>
                <w:rFonts w:ascii="Arial" w:cs="Arial" w:eastAsia="Arial" w:hAnsi="Arial"/>
                <w:sz w:val="13"/>
                <w:szCs w:val="13"/>
                <w:b w:val="1"/>
                <w:bCs w:val="1"/>
                <w:color w:val="auto"/>
              </w:rPr>
              <w:t>June 30, 2008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460"/>
              <w:spacing w:after="0"/>
              <w:rPr>
                <w:sz w:val="20"/>
                <w:szCs w:val="20"/>
                <w:color w:val="auto"/>
              </w:rPr>
            </w:pPr>
            <w:r>
              <w:rPr>
                <w:rFonts w:ascii="Arial" w:cs="Arial" w:eastAsia="Arial" w:hAnsi="Arial"/>
                <w:sz w:val="13"/>
                <w:szCs w:val="13"/>
                <w:b w:val="1"/>
                <w:bCs w:val="1"/>
                <w:color w:val="auto"/>
              </w:rPr>
              <w:t>September 30, 2007</w:t>
            </w:r>
          </w:p>
        </w:tc>
      </w:tr>
      <w:tr>
        <w:trPr>
          <w:trHeight w:val="142"/>
        </w:trPr>
        <w:tc>
          <w:tcPr>
            <w:tcW w:w="4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3"/>
                <w:szCs w:val="13"/>
                <w:b w:val="1"/>
                <w:bCs w:val="1"/>
                <w:color w:val="auto"/>
              </w:rPr>
              <w:t>Cost</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3"/>
                <w:szCs w:val="13"/>
                <w:b w:val="1"/>
                <w:bCs w:val="1"/>
                <w:color w:val="auto"/>
              </w:rPr>
              <w:t>Cost</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Second lien</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$ 131,972,861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$ 106,979,750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75,260,488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67,748,750</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Subordinated debt / corporate notes</w:t>
            </w:r>
          </w:p>
        </w:tc>
        <w:tc>
          <w:tcPr>
            <w:tcW w:w="3220" w:type="dxa"/>
            <w:vAlign w:val="bottom"/>
            <w:gridSpan w:val="3"/>
          </w:tcPr>
          <w:p>
            <w:pPr>
              <w:jc w:val="right"/>
              <w:ind w:right="200"/>
              <w:spacing w:after="0"/>
              <w:rPr>
                <w:sz w:val="20"/>
                <w:szCs w:val="20"/>
                <w:color w:val="auto"/>
              </w:rPr>
            </w:pPr>
            <w:r>
              <w:rPr>
                <w:rFonts w:ascii="Arial" w:cs="Arial" w:eastAsia="Arial" w:hAnsi="Arial"/>
                <w:sz w:val="18"/>
                <w:szCs w:val="18"/>
                <w:color w:val="auto"/>
              </w:rPr>
              <w:t>146,881,909</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130,597,490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62,397,146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57,318,268</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7,276,275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7,276,275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Common equity</w:t>
            </w:r>
          </w:p>
        </w:tc>
        <w:tc>
          <w:tcPr>
            <w:tcW w:w="3220" w:type="dxa"/>
            <w:vAlign w:val="bottom"/>
            <w:gridSpan w:val="3"/>
          </w:tcPr>
          <w:p>
            <w:pPr>
              <w:jc w:val="right"/>
              <w:ind w:right="200"/>
              <w:spacing w:after="0"/>
              <w:rPr>
                <w:sz w:val="20"/>
                <w:szCs w:val="20"/>
                <w:color w:val="auto"/>
              </w:rPr>
            </w:pPr>
            <w:r>
              <w:rPr>
                <w:rFonts w:ascii="Arial" w:cs="Arial" w:eastAsia="Arial" w:hAnsi="Arial"/>
                <w:sz w:val="18"/>
                <w:szCs w:val="18"/>
                <w:color w:val="auto"/>
              </w:rPr>
              <w:t>7,207,187</w:t>
            </w:r>
          </w:p>
        </w:tc>
        <w:tc>
          <w:tcPr>
            <w:tcW w:w="1020" w:type="dxa"/>
            <w:vAlign w:val="bottom"/>
          </w:tcPr>
          <w:p>
            <w:pPr>
              <w:jc w:val="right"/>
              <w:spacing w:after="0"/>
              <w:rPr>
                <w:sz w:val="20"/>
                <w:szCs w:val="20"/>
                <w:color w:val="auto"/>
              </w:rPr>
            </w:pPr>
            <w:r>
              <w:rPr>
                <w:rFonts w:ascii="Arial" w:cs="Arial" w:eastAsia="Arial" w:hAnsi="Arial"/>
                <w:sz w:val="18"/>
                <w:szCs w:val="18"/>
                <w:color w:val="auto"/>
              </w:rPr>
              <w:t>7,672,424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7,019,685</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158,452,310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133,180,864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170,474,236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158,929,905</w:t>
            </w:r>
          </w:p>
        </w:tc>
        <w:tc>
          <w:tcPr>
            <w:tcW w:w="20" w:type="dxa"/>
            <w:vAlign w:val="bottom"/>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Cash equivalents</w:t>
            </w:r>
          </w:p>
        </w:tc>
        <w:tc>
          <w:tcPr>
            <w:tcW w:w="20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41,030,236</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41,030,236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258,016,351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257,959,635</w:t>
            </w:r>
          </w:p>
        </w:tc>
        <w:tc>
          <w:tcPr>
            <w:tcW w:w="2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$ 492,820,778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$ 426,737,039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572,898,221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548,976,243</w:t>
            </w:r>
          </w:p>
        </w:tc>
        <w:tc>
          <w:tcPr>
            <w:tcW w:w="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represents the original cost adjusted for the accretion of discounts and amortization of premiums on debt investments, if any.</w:t>
      </w:r>
    </w:p>
    <w:p>
      <w:pPr>
        <w:spacing w:after="0" w:line="171"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June 30, 2008 and September 30,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Industry Classification</w:t>
            </w:r>
          </w:p>
        </w:tc>
        <w:tc>
          <w:tcPr>
            <w:tcW w:w="4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June 30, 2008</w:t>
            </w:r>
          </w:p>
        </w:tc>
        <w:tc>
          <w:tcPr>
            <w:tcW w:w="10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September 30, 2007</w:t>
            </w:r>
          </w:p>
        </w:tc>
        <w:tc>
          <w:tcPr>
            <w:tcW w:w="140" w:type="dxa"/>
            <w:vAlign w:val="bottom"/>
          </w:tcPr>
          <w:p>
            <w:pPr>
              <w:spacing w:after="0"/>
              <w:rPr>
                <w:sz w:val="14"/>
                <w:szCs w:val="14"/>
                <w:color w:val="auto"/>
              </w:rPr>
            </w:pPr>
          </w:p>
        </w:tc>
      </w:tr>
      <w:tr>
        <w:trPr>
          <w:trHeight w:val="209"/>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4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Plastic and Rubber</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/Utilities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Broadcasting and Entertainment</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Cable Television</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5480" w:type="dxa"/>
            <w:vAlign w:val="bottom"/>
            <w:gridSpan w:val="2"/>
          </w:tcPr>
          <w:p>
            <w:pPr>
              <w:spacing w:after="0"/>
              <w:rPr>
                <w:sz w:val="20"/>
                <w:szCs w:val="20"/>
                <w:color w:val="auto"/>
              </w:rPr>
            </w:pPr>
            <w:r>
              <w:rPr>
                <w:rFonts w:ascii="Arial" w:cs="Arial" w:eastAsia="Arial" w:hAnsi="Arial"/>
                <w:sz w:val="18"/>
                <w:szCs w:val="18"/>
                <w:color w:val="auto"/>
              </w:rPr>
              <w:t>Retail Store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r>
      <w:tr>
        <w:trPr>
          <w:trHeight w:val="356"/>
        </w:trPr>
        <w:tc>
          <w:tcPr>
            <w:tcW w:w="1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20" w:type="dxa"/>
            <w:vAlign w:val="bottom"/>
          </w:tcPr>
          <w:p>
            <w:pPr>
              <w:jc w:val="right"/>
              <w:ind w:right="2292"/>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 Classification—(Continued)</w:t>
            </w:r>
          </w:p>
        </w:tc>
        <w:tc>
          <w:tcPr>
            <w:tcW w:w="58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June 30, 2008</w:t>
            </w:r>
          </w:p>
        </w:tc>
        <w:tc>
          <w:tcPr>
            <w:tcW w:w="102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September 30, 2007</w:t>
            </w:r>
          </w:p>
        </w:tc>
        <w:tc>
          <w:tcPr>
            <w:tcW w:w="140" w:type="dxa"/>
            <w:vAlign w:val="bottom"/>
          </w:tcPr>
          <w:p>
            <w:pPr>
              <w:spacing w:after="0"/>
              <w:rPr>
                <w:sz w:val="14"/>
                <w:szCs w:val="14"/>
                <w:color w:val="auto"/>
              </w:rPr>
            </w:pPr>
          </w:p>
        </w:tc>
      </w:tr>
      <w:tr>
        <w:trPr>
          <w:trHeight w:val="21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Media</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Utilities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22"/>
        </w:trPr>
        <w:tc>
          <w:tcPr>
            <w:tcW w:w="8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tcPr>
          <w:p>
            <w:pPr>
              <w:jc w:val="right"/>
              <w:ind w:right="880"/>
              <w:spacing w:after="0"/>
              <w:rPr>
                <w:sz w:val="20"/>
                <w:szCs w:val="20"/>
                <w:color w:val="auto"/>
              </w:rPr>
            </w:pPr>
            <w:r>
              <w:rPr>
                <w:rFonts w:ascii="Arial" w:cs="Arial" w:eastAsia="Arial" w:hAnsi="Arial"/>
                <w:sz w:val="18"/>
                <w:szCs w:val="18"/>
                <w:color w:val="auto"/>
              </w:rPr>
              <w:t>100%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2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200" w:firstLine="449"/>
        <w:spacing w:after="0" w:line="288" w:lineRule="auto"/>
        <w:rPr>
          <w:sz w:val="20"/>
          <w:szCs w:val="20"/>
          <w:color w:val="auto"/>
        </w:rPr>
      </w:pPr>
      <w:r>
        <w:rPr>
          <w:rFonts w:ascii="Arial" w:cs="Arial" w:eastAsia="Arial" w:hAnsi="Arial"/>
          <w:sz w:val="16"/>
          <w:szCs w:val="16"/>
          <w:color w:val="auto"/>
        </w:rPr>
        <w:t>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typically takes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Revolving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June 30, 2008 or September 30,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Period from January 11,</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80" w:type="dxa"/>
            <w:vAlign w:val="bottom"/>
            <w:gridSpan w:val="3"/>
          </w:tcPr>
          <w:p>
            <w:pPr>
              <w:spacing w:after="0"/>
              <w:rPr>
                <w:sz w:val="20"/>
                <w:szCs w:val="20"/>
                <w:color w:val="auto"/>
              </w:rPr>
            </w:pPr>
            <w:r>
              <w:rPr>
                <w:rFonts w:ascii="Arial" w:cs="Arial" w:eastAsia="Arial" w:hAnsi="Arial"/>
                <w:sz w:val="13"/>
                <w:szCs w:val="13"/>
                <w:b w:val="1"/>
                <w:bCs w:val="1"/>
                <w:color w:val="auto"/>
              </w:rPr>
              <w:t>Nine months ended</w:t>
            </w: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2007 (inception) through</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4"/>
              </w:rPr>
              <w:t>June 30, 2008</w:t>
            </w:r>
          </w:p>
        </w:tc>
        <w:tc>
          <w:tcPr>
            <w:tcW w:w="1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93"/>
              </w:rPr>
              <w:t>September 30, 2007</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254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0.62</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and unrealized loss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2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Dividends and distributions to stockholders(1)</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Offering costs related to public offering</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Net asset value, end of period</w:t>
            </w:r>
          </w:p>
        </w:tc>
        <w:tc>
          <w:tcPr>
            <w:tcW w:w="2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10.77</w:t>
            </w:r>
          </w:p>
        </w:tc>
        <w:tc>
          <w:tcPr>
            <w:tcW w:w="12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Total return(2)*</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060"/>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21,068,772</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assets**(3)</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363"/>
        </w:trPr>
        <w:tc>
          <w:tcPr>
            <w:tcW w:w="4680" w:type="dxa"/>
            <w:vAlign w:val="bottom"/>
          </w:tcPr>
          <w:p>
            <w:pPr>
              <w:spacing w:after="0"/>
              <w:rPr>
                <w:sz w:val="24"/>
                <w:szCs w:val="24"/>
                <w:color w:val="auto"/>
              </w:rPr>
            </w:pPr>
          </w:p>
        </w:tc>
        <w:tc>
          <w:tcPr>
            <w:tcW w:w="2400" w:type="dxa"/>
            <w:vAlign w:val="bottom"/>
          </w:tcPr>
          <w:p>
            <w:pPr>
              <w:jc w:val="right"/>
              <w:ind w:right="127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Period from January 11,</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20" w:type="dxa"/>
            <w:vAlign w:val="bottom"/>
            <w:gridSpan w:val="3"/>
          </w:tcPr>
          <w:p>
            <w:pPr>
              <w:ind w:left="20"/>
              <w:spacing w:after="0"/>
              <w:rPr>
                <w:sz w:val="20"/>
                <w:szCs w:val="20"/>
                <w:color w:val="auto"/>
              </w:rPr>
            </w:pPr>
            <w:r>
              <w:rPr>
                <w:rFonts w:ascii="Arial" w:cs="Arial" w:eastAsia="Arial" w:hAnsi="Arial"/>
                <w:sz w:val="13"/>
                <w:szCs w:val="13"/>
                <w:b w:val="1"/>
                <w:bCs w:val="1"/>
                <w:color w:val="auto"/>
              </w:rPr>
              <w:t>Nine months ended</w:t>
            </w:r>
          </w:p>
        </w:tc>
        <w:tc>
          <w:tcPr>
            <w:tcW w:w="1780" w:type="dxa"/>
            <w:vAlign w:val="bottom"/>
            <w:gridSpan w:val="3"/>
          </w:tcPr>
          <w:p>
            <w:pPr>
              <w:spacing w:after="0"/>
              <w:rPr>
                <w:sz w:val="20"/>
                <w:szCs w:val="20"/>
                <w:color w:val="auto"/>
              </w:rPr>
            </w:pPr>
            <w:r>
              <w:rPr>
                <w:rFonts w:ascii="Arial" w:cs="Arial" w:eastAsia="Arial" w:hAnsi="Arial"/>
                <w:sz w:val="13"/>
                <w:szCs w:val="13"/>
                <w:b w:val="1"/>
                <w:bCs w:val="1"/>
                <w:color w:val="auto"/>
              </w:rPr>
              <w:t>2007 (inception) through</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20"/>
                <w:szCs w:val="20"/>
                <w:color w:val="auto"/>
              </w:rPr>
            </w:pPr>
            <w:r>
              <w:rPr>
                <w:rFonts w:ascii="Arial" w:cs="Arial" w:eastAsia="Arial" w:hAnsi="Arial"/>
                <w:sz w:val="13"/>
                <w:szCs w:val="13"/>
                <w:b w:val="1"/>
                <w:bCs w:val="1"/>
                <w:color w:val="auto"/>
              </w:rPr>
              <w:t>Per Share Data—(Continued)</w:t>
            </w: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June 30, 2008</w:t>
            </w: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September 30, 2007</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440"/>
              <w:spacing w:after="0"/>
              <w:rPr>
                <w:sz w:val="20"/>
                <w:szCs w:val="20"/>
                <w:color w:val="auto"/>
              </w:rPr>
            </w:pPr>
            <w:r>
              <w:rPr>
                <w:rFonts w:ascii="Arial" w:cs="Arial" w:eastAsia="Arial" w:hAnsi="Arial"/>
                <w:sz w:val="18"/>
                <w:szCs w:val="18"/>
                <w:color w:val="auto"/>
              </w:rPr>
              <w:t>Total expenses to average net assets**(3)</w:t>
            </w:r>
          </w:p>
        </w:tc>
        <w:tc>
          <w:tcPr>
            <w:tcW w:w="1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8"/>
        </w:trPr>
        <w:tc>
          <w:tcPr>
            <w:tcW w:w="59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6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900"/>
              <w:spacing w:after="0"/>
              <w:rPr>
                <w:sz w:val="20"/>
                <w:szCs w:val="20"/>
                <w:color w:val="auto"/>
              </w:rPr>
            </w:pPr>
            <w:r>
              <w:rPr>
                <w:rFonts w:ascii="Arial" w:cs="Arial" w:eastAsia="Arial" w:hAnsi="Arial"/>
                <w:sz w:val="18"/>
                <w:szCs w:val="18"/>
                <w:color w:val="auto"/>
                <w:w w:val="95"/>
              </w:rPr>
              <w:t>226,826,839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270,393,094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6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93,588,759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817,610(4)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6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90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0.04(4)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Annualized</w:t>
      </w:r>
    </w:p>
    <w:p>
      <w:pPr>
        <w:spacing w:after="0" w:line="9" w:lineRule="exact"/>
        <w:rPr>
          <w:sz w:val="20"/>
          <w:szCs w:val="20"/>
          <w:color w:val="auto"/>
        </w:rPr>
      </w:pPr>
    </w:p>
    <w:p>
      <w:pPr>
        <w:ind w:left="460" w:right="5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2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the Company’s dividend reinvestment plan.</w:t>
      </w:r>
    </w:p>
    <w:p>
      <w:pPr>
        <w:ind w:left="460" w:right="1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nine months ended June 30, 2008, the ratio of operating expenses before management fee waiver to average net assets was 6.21%, and the ratio of total expenses before management fee waiver to average net assets was 8.65%. For the period from April 24, 2007 (initial public offering) through September 30, 2007, the ratio of operating expenses before management fee waiver to average net assets was 4.28%, and the ratio of total expenses before management fee waiver to average net assets was 5.78%.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Since inception of initial public offering on April 24,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180" w:firstLine="449"/>
        <w:spacing w:after="0" w:line="298" w:lineRule="auto"/>
        <w:rPr>
          <w:sz w:val="20"/>
          <w:szCs w:val="20"/>
          <w:color w:val="auto"/>
        </w:rPr>
      </w:pPr>
      <w:r>
        <w:rPr>
          <w:rFonts w:ascii="Arial" w:cs="Arial" w:eastAsia="Arial" w:hAnsi="Arial"/>
          <w:sz w:val="16"/>
          <w:szCs w:val="16"/>
          <w:color w:val="auto"/>
        </w:rPr>
        <w:t>On June 25, 2007, PennantPark Investment entered into a Senior Secured Revolving Credit Agreement (the “Credit Agreement”) among PennantPark Investment, various lenders and SunTrust Bank, as administrative agent for the lenders. SunTrust Robinson Humphrey Capital Markets acted as the joint lead arranger and book-runner, and Bear Stearns Corporate Lending Inc. acted as joint lead arranger and syndication agent. As of June 30, 2008, there was $204.1 million in outstanding borrowings under the Credit Agreement (including $40.0 million temporary draw), with an average interest rate of 3.65%.</w:t>
      </w:r>
    </w:p>
    <w:p>
      <w:pPr>
        <w:spacing w:after="0" w:line="112"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Under the Credit Agreement, the lenders agreed to extend credit to PennantPark Investment in an initial aggregate principal or face amount not exceeding $300,000,000 at any one time outstanding. The Credit Agreement is a five-year revolving facility (with a stated maturity date of June 25, 2012) and is secured by substantially all of the assets in PennantPark Investment’s portfolio. Pricing is set at 100 basis points over LIBOR.</w:t>
      </w:r>
    </w:p>
    <w:p>
      <w:pPr>
        <w:spacing w:after="0" w:line="10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Separately, Pennant SPV Company, LLC entered into a senior secured credit facility on February 6, 2007 with Bear Stearns Investment Products Inc., as lender. Under the terms of this credit agreement, as amended on March 26, 2007, Bear Stearns Investment Products Inc. agreed to extend credit to Pennant SPV in an aggregate principal of up to $250 million at any one time outstanding. Borrowings under this credit agreement were used to finance investments made by PennantPark Investment prior to the closing of the initial public offering. By its terms this credit agreement matured on the closing date of the initial public offering on April 24, 2007, and accordingly PennantPark Investment caused Pennant SPV to repay the credit facility with Bear Stearns Investment Products Inc. in full.</w:t>
      </w:r>
    </w:p>
    <w:p>
      <w:pPr>
        <w:spacing w:after="0" w:line="144" w:lineRule="exact"/>
        <w:rPr>
          <w:sz w:val="20"/>
          <w:szCs w:val="20"/>
          <w:color w:val="auto"/>
        </w:rPr>
      </w:pPr>
    </w:p>
    <w:p>
      <w:pPr>
        <w:ind w:right="240" w:firstLine="449"/>
        <w:spacing w:after="0" w:line="306" w:lineRule="auto"/>
        <w:rPr>
          <w:sz w:val="20"/>
          <w:szCs w:val="20"/>
          <w:color w:val="auto"/>
        </w:rPr>
      </w:pPr>
      <w:r>
        <w:rPr>
          <w:rFonts w:ascii="Arial" w:cs="Arial" w:eastAsia="Arial" w:hAnsi="Arial"/>
          <w:sz w:val="16"/>
          <w:szCs w:val="16"/>
          <w:color w:val="auto"/>
        </w:rPr>
        <w:t>The Credit Agreement contains customary affirmative and negative covenants, including the maintenance of a minimum stockholders’ equity, the maintenance a ratio not less than 200% of total assets (less total liabilities other than indebtedness) to total indebtedness and restrictions on certain payments and issuance of debt. For a complete list of such covenants, see our current report on Form 8-K, filled June 28,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as of June 30, 2008 and the consolidated statement of assets and liabilities as of September 30, 2007, including the schedules of investments, the related statements of operations for the three and nine month periods ended June 30, 2008 and the consolidated statements of operations for the three month period ended June 30, 2007 and the period from January 11, 2007 (inception) through June 30, 2007, and the statement of changes in net assets for the nine month period ended June 30, 2008 and the consolidated statement of changes in net assets for the period from January 11, 2007 (inception) through September 30, 2007 and the statement of cash flows for the nine month period ended June 30, 2008 and the consolidated statement of cash flows for the period from January 11, 2007 (inception) through June 30, 2007. These interim financial statements are the responsibility of the Company’s management.</w:t>
      </w:r>
    </w:p>
    <w:p>
      <w:pPr>
        <w:spacing w:after="0" w:line="118"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11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including the schedule of investments, as of September 30, 2007, and the related consolidated statement of operations, changes in net assets and cash flows for the period from January 11, 2007 (inception) through September 30, 2007; and in our report dated December 12, 2007,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251585"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51585" cy="2489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980"/>
        <w:spacing w:after="0" w:line="44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This Report,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Report involve risks and uncertainties, including statements as to:</w:t>
      </w:r>
    </w:p>
    <w:p>
      <w:pPr>
        <w:spacing w:after="0" w:line="2" w:lineRule="exact"/>
        <w:rPr>
          <w:sz w:val="20"/>
          <w:szCs w:val="20"/>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36" w:lineRule="exact"/>
        <w:rPr>
          <w:rFonts w:ascii="Arial" w:cs="Arial" w:eastAsia="Arial" w:hAnsi="Arial"/>
          <w:sz w:val="18"/>
          <w:szCs w:val="18"/>
          <w:color w:val="auto"/>
        </w:rPr>
      </w:pPr>
    </w:p>
    <w:p>
      <w:pPr>
        <w:ind w:left="880" w:hanging="31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36"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Annual Report on Form 10-K, filed December 13, 2007 entitled “Risk Factors” and elsewhere.</w:t>
      </w:r>
    </w:p>
    <w:p>
      <w:pPr>
        <w:spacing w:after="0" w:line="10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Securities and Exchange Commission (“SEC”), including annual reports on Form 10-K, Reports on Form 10-Q and current reports on Form 8-K.</w:t>
      </w:r>
    </w:p>
    <w:p>
      <w:pPr>
        <w:spacing w:after="0" w:line="147"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449"/>
        <w:spacing w:after="0" w:line="323" w:lineRule="auto"/>
        <w:rPr>
          <w:sz w:val="20"/>
          <w:szCs w:val="20"/>
          <w:color w:val="auto"/>
        </w:rPr>
      </w:pPr>
      <w:r>
        <w:rPr>
          <w:rFonts w:ascii="Arial" w:cs="Arial" w:eastAsia="Arial" w:hAnsi="Arial"/>
          <w:sz w:val="15"/>
          <w:szCs w:val="15"/>
          <w:color w:val="auto"/>
        </w:rPr>
        <w:t>PennantPark Investment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or thinly traded public companies, cash, cash equivalents, U.S. government securities and high-quality debt investments that mature in one year or less.</w:t>
      </w:r>
    </w:p>
    <w:p>
      <w:pPr>
        <w:spacing w:after="0" w:line="9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Our investment activities are managed by the Investment Adviser and supervised by our board of directors, a majority of whom are independent of us and the Investment Adviser. Under our Investment Management Agreement, we have agreed to pay the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jc w:val="both"/>
        <w:ind w:right="220" w:firstLine="449"/>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and, to a lesser extent, equity investments.</w:t>
      </w:r>
    </w:p>
    <w:p>
      <w:pPr>
        <w:spacing w:after="0" w:line="106" w:lineRule="exact"/>
        <w:rPr>
          <w:sz w:val="20"/>
          <w:szCs w:val="20"/>
          <w:color w:val="auto"/>
        </w:rPr>
      </w:pPr>
    </w:p>
    <w:p>
      <w:pPr>
        <w:ind w:right="240" w:firstLine="449"/>
        <w:spacing w:after="0" w:line="306" w:lineRule="auto"/>
        <w:rPr>
          <w:sz w:val="20"/>
          <w:szCs w:val="20"/>
          <w:color w:val="auto"/>
        </w:rPr>
      </w:pPr>
      <w:r>
        <w:rPr>
          <w:rFonts w:ascii="Arial" w:cs="Arial" w:eastAsia="Arial" w:hAnsi="Arial"/>
          <w:sz w:val="16"/>
          <w:szCs w:val="16"/>
          <w:color w:val="auto"/>
        </w:rPr>
        <w:t>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06" w:lineRule="exact"/>
        <w:rPr>
          <w:sz w:val="20"/>
          <w:szCs w:val="20"/>
          <w:color w:val="auto"/>
        </w:rPr>
      </w:pPr>
    </w:p>
    <w:p>
      <w:pPr>
        <w:ind w:right="760" w:firstLine="449"/>
        <w:spacing w:after="0" w:line="268" w:lineRule="auto"/>
        <w:rPr>
          <w:sz w:val="20"/>
          <w:szCs w:val="20"/>
          <w:color w:val="auto"/>
        </w:rPr>
      </w:pPr>
      <w:r>
        <w:rPr>
          <w:rFonts w:ascii="Arial" w:cs="Arial" w:eastAsia="Arial" w:hAnsi="Arial"/>
          <w:sz w:val="18"/>
          <w:szCs w:val="18"/>
          <w:color w:val="auto"/>
        </w:rPr>
        <w:t>We expect that our investments in mezzanine debt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The level of our investment activity in our core assets depends on many factors, including the amount of debt and equity capital available to middle-market companies, the level of merger and acquisition activity for such companies, the availability of credit to finance transactions, the general economic environment and the competitive environment for the types of investments we make. Although we have used, and will continue to use, the proceeds of our initial public offering and borrowings under our credit facility, we anticipate that it will take us up to two years from the date of our initial public offering to invest all of our assets in accordance with our investment objectives. Any distributions we make during such period may be substantially lower than the distributions that we expect to pay when our portfolio is fully invested.</w:t>
      </w:r>
    </w:p>
    <w:p>
      <w:pPr>
        <w:spacing w:after="0" w:line="12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60" w:firstLine="449"/>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the Investment Adviser, our allocable portion of overhead under the Administration Agreement and other operating costs as detailed below. Our management fee compensates the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31" w:lineRule="exact"/>
        <w:rPr>
          <w:sz w:val="20"/>
          <w:szCs w:val="20"/>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880" w:right="460" w:hanging="319"/>
        <w:spacing w:after="0" w:line="268"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880" w:hanging="319"/>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880" w:right="120" w:hanging="319"/>
        <w:spacing w:after="0" w:line="25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the Administration Agreement that will be based upon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of June 30, 2008, our portfolio totaled $385.7 million and consisted of $130.6 million of subordinated debt, $107.0 million of second lien secured debt, $14.9 million of equity investments and $133.2 million of senior secured loans. Our core assets totaled $252.5 million and consisted of investments in sixteen different companies with an average investment size of $15.8 million per company and a weighted average yield of 11.9% on debt investments. On June 30, 2008, our senior secured loan portfolio totaled $133.2 million and consisted of twenty-six different companies (including one company also in our core portfolio) with an average investment size of $5.1 million, and a weighted average yield of 5.1%. Due to a more stable market for liquid leveraged finance instruments and the maturation and growth of some of our equity co-investments, our portfolio had unrealized appreciation of $11.7 million for the three months ended June 30, 2008. As of June 30, 2008, our portfolio consisted of forty-one companies with an average investment size of $9.4 million and a weighted average yield on debt investments of 9.5%, and was invested 34% in subordinated debt, 28% in second lien secured debt, 4% in preferred and common equity investments and 34% in senior secured loans.</w:t>
      </w:r>
    </w:p>
    <w:p>
      <w:pPr>
        <w:spacing w:after="0" w:line="38"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For the three months ended June 30, 2008, we invested $46.8 million in two new and three existing portfolio companies with an average yield of 14.5% on debt investments. Sales and repayments of primarily senior secured loans for the three months ended June 30, 2008 totaled $9.2 million. For the nine months ended June 30, 2008, we invested $149.3 million in new and existing portfolio companies with an average yield of 13.7% on debt investments. Sales and repayments of primarily senior secured loans for the nine months ended June 30, 2008 totaled $14.4 million.</w:t>
      </w:r>
    </w:p>
    <w:p>
      <w:pPr>
        <w:spacing w:after="0" w:line="31"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As of September 30, 2007, our portfolio consisted of $57.3 million of subordinated debt, $67.8 million of second lien secured debt, $7.0 million of equity investments and $158.9 million of senior secured loans. Our core assets totaled $132.1 million and consisted of investments in eight different companies with an average investment size of $16.5 million per company and a weighted average yield of 13.0% on the debt investments. On September 30, 2007, our senior secured loan portfolio totaled $158.9 million and consisted of thirty-one different companies (including one company also in our core portfolio) with an average investment size of $5.3 million, and a weighted average yield of 7.5%. The overall portfolio had a weighted average yield on debt investments of</w:t>
      </w:r>
    </w:p>
    <w:p>
      <w:pPr>
        <w:spacing w:after="0" w:line="2"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10.1%. Due to erosion in market prices of leveraged finance instruments, the portfolio had unrealized depreciation of $23.9 million. On September 30, 2007, our portfolio consisted of thirty-eight companies and was invested 20% in subordinated debt, 23% in second lien secured debt, 2% in equity investments and 55% in senior secured loans.</w:t>
      </w:r>
    </w:p>
    <w:p>
      <w:pPr>
        <w:spacing w:after="0" w:line="63"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We anticipate that our level of investment activity will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our types of investments. Depending on these factors and owing to the substantial due diligence and structuring involved in negotiated investments in illiquid securities, we anticipate that it may take up to two years from the date of our initial public offering to invest all of our assets in accordance with our investment objectives. We will consider selling senior secured loans and/or drawing on our credit facility for liquidity purposes.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Our discussion of our financial condition and results of operation is based upon our financial statements, which have been prepared in accordance with GAAP. The preparation of these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purchased within 60 days of maturity are valued at cost plus accreted discount, or minus amortized premium, which approximates value. With respect to unquoted securities, our board of directors, together with our independent third party valuation firms, values each investment considering, among other measures, discounted cash flow models, comparisons of financial ratios of peer companies that are public and other factors.</w:t>
      </w:r>
    </w:p>
    <w:p>
      <w:pPr>
        <w:spacing w:after="0" w:line="126"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in connection with one of our portfolio companies, our board uses the pricing indicated by the external event to corroborate and/or assist us in our valuation of our investment in such portfolio company. Because there are not always readily available markets for many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47"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are readily available but believed not to reflect the fair value of an investment, our board of directors undertakes a multi-step valuation process each quarter, as described below:</w:t>
      </w:r>
    </w:p>
    <w:p>
      <w:pPr>
        <w:spacing w:after="0" w:line="51" w:lineRule="exact"/>
        <w:rPr>
          <w:sz w:val="20"/>
          <w:szCs w:val="20"/>
          <w:color w:val="auto"/>
        </w:rPr>
      </w:pPr>
    </w:p>
    <w:p>
      <w:pPr>
        <w:ind w:left="880" w:right="320" w:hanging="319"/>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80" w:hanging="319"/>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jc w:val="both"/>
        <w:ind w:left="880" w:right="400" w:hanging="319"/>
        <w:spacing w:after="0" w:line="306"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board of directors also engages one or more independent valuation firms to conduct independent appraisals of our investments for which market quotations are not readily available or are readily available but believed not to reflect the fair value of an investment. The independent valuation firm reviews management’s preliminary valuations and its own independent assessment;</w:t>
      </w:r>
    </w:p>
    <w:p>
      <w:pPr>
        <w:spacing w:after="0" w:line="25" w:lineRule="exact"/>
        <w:rPr>
          <w:rFonts w:ascii="Arial" w:cs="Arial" w:eastAsia="Arial" w:hAnsi="Arial"/>
          <w:sz w:val="16"/>
          <w:szCs w:val="16"/>
          <w:color w:val="auto"/>
        </w:rPr>
      </w:pPr>
    </w:p>
    <w:p>
      <w:pPr>
        <w:ind w:left="880" w:right="140" w:hanging="319"/>
        <w:spacing w:after="0" w:line="331"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 w:lineRule="exact"/>
        <w:rPr>
          <w:rFonts w:ascii="Arial" w:cs="Arial" w:eastAsia="Arial" w:hAnsi="Arial"/>
          <w:sz w:val="16"/>
          <w:szCs w:val="16"/>
          <w:color w:val="auto"/>
        </w:rPr>
      </w:pPr>
    </w:p>
    <w:p>
      <w:pPr>
        <w:ind w:left="880" w:hanging="319"/>
        <w:spacing w:after="0" w:line="26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accrete or amortize such amounts using the effective interest method as interest income. We record prepayment premiums on loans and debt securities as interest income. Dividend income, if any, is recognized on an accrual basis to the extent that we expect to collect such amounts.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the Company to maintain its status as a RIC, this income must be paid out to stockholders in the form of dividends, even though the Company has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operate so as to qualify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w:t>
      </w:r>
    </w:p>
    <w:p>
      <w:pPr>
        <w:spacing w:after="0" w:line="140" w:lineRule="exact"/>
        <w:rPr>
          <w:sz w:val="20"/>
          <w:szCs w:val="20"/>
          <w:color w:val="auto"/>
        </w:rPr>
      </w:pPr>
    </w:p>
    <w:p>
      <w:pPr>
        <w:ind w:right="80" w:firstLine="449"/>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Due to a more stable market for liquid leveraged finance instruments and the maturation and growth of some of our equity co-investments, our portfolio had unrealized appreciation for the three months ended June 30, 2008. The recent turmoil in the leveraged finance markets has resulted in an improved risk/reward environment for new investments. We did not experience any compromised liquidity during the recent turmoil in the global credit markets because of our ability to sell our senior secured loans and availability under our credit facility.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nine months ended June 30,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Investment income for the three and nine months ended June 30, 2008, was $9.7 million and $28.4 million, respectively. Investment income for the three and nine months ended June 30, 2008 was primarily attributed to $3.7 million and $11.6 million of interest income from senior secured loan investments, respectively; $3.7 million and $10.5 million from our second lien secured debt investments, respectively; and $1.7 million and $5.1 million from our subordinated debt investments, respectively. The remaining investment income was primarily attributed to interest income from short-term investments and to accretion of discount and amortization of premium.</w:t>
      </w:r>
    </w:p>
    <w:p>
      <w:pPr>
        <w:spacing w:after="0" w:line="147"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Investment income for the three months ended June 30, 2007 and for the period January 11, 2007 (inception) through June 30, 2007 totaled $5.4 million and $6.2 million, respectively, and was primarily attributed to senior secured loan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69" w:lineRule="exact"/>
        <w:rPr>
          <w:sz w:val="20"/>
          <w:szCs w:val="20"/>
          <w:color w:val="auto"/>
        </w:rPr>
      </w:pPr>
    </w:p>
    <w:p>
      <w:pPr>
        <w:jc w:val="both"/>
        <w:ind w:right="240" w:firstLine="449"/>
        <w:spacing w:after="0" w:line="256" w:lineRule="auto"/>
        <w:rPr>
          <w:sz w:val="20"/>
          <w:szCs w:val="20"/>
          <w:color w:val="auto"/>
        </w:rPr>
      </w:pPr>
      <w:r>
        <w:rPr>
          <w:rFonts w:ascii="Arial" w:cs="Arial" w:eastAsia="Arial" w:hAnsi="Arial"/>
          <w:sz w:val="18"/>
          <w:szCs w:val="18"/>
          <w:color w:val="auto"/>
        </w:rPr>
        <w:t>Net expenses for the three and nine months ended June 30, 2008, totaled $5.7 million and $15.2 million, respectively. Of these totals, $1.7 million and $4.4 million were attributable to credit facility related expenses, and $1.2 million and $3.6 million to general and administrative expenses, respectively. Net base management fee for the same periods totaled $1.8 million and $4.8 million, and performance-based incentive fee totaled $1.0 million and $2.4 million, respectively.</w:t>
      </w:r>
    </w:p>
    <w:p>
      <w:pPr>
        <w:spacing w:after="0" w:line="143"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Net expenses totaled $2.2 million and $3.2 million for the three months ended June 30, 2007 and for the period January 11, 2007 (inception) through June 30, 2007, respectively. Of these totals approximately $862,000 and $1.6 million were for interest and other credit facility expenses for the same periods, respectively. In addition, of these totals approximately $124,000 and $331,000 were for non-recurring, primarily legal and corporate tax expenses for the same periods, respectively. Net base management fee for the three months ended June 30, 2007 and for the period January 11, 2007 (inception) through June 30, 2007 totaled approximately $786,000 million. Expenses net of management fee, interest and other credit facility and non-recurring expenses totaled approximately $445,000 and $521,000 for the same periods,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69" w:lineRule="exact"/>
        <w:rPr>
          <w:sz w:val="20"/>
          <w:szCs w:val="20"/>
          <w:color w:val="auto"/>
        </w:rPr>
      </w:pPr>
    </w:p>
    <w:p>
      <w:pPr>
        <w:ind w:right="720" w:firstLine="449"/>
        <w:spacing w:after="0" w:line="268" w:lineRule="auto"/>
        <w:rPr>
          <w:sz w:val="20"/>
          <w:szCs w:val="20"/>
          <w:color w:val="auto"/>
        </w:rPr>
      </w:pPr>
      <w:r>
        <w:rPr>
          <w:rFonts w:ascii="Arial" w:cs="Arial" w:eastAsia="Arial" w:hAnsi="Arial"/>
          <w:sz w:val="18"/>
          <w:szCs w:val="18"/>
          <w:color w:val="auto"/>
        </w:rPr>
        <w:t>Net investment income totaled $3.9 million and $13.1 million or $0.19 and $0.62 per share, for the three and nine months ended June 30, 2008, respectively.</w:t>
      </w:r>
    </w:p>
    <w:p>
      <w:pPr>
        <w:spacing w:after="0" w:line="105"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Net investment income totaled $3.2 million or $0.15 per share and $3.0 million or $0.14 per share for the three months ended June 30, 2007 and for the period January 11, 2007 (inception) to June 30, 2007,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w:t>
      </w:r>
    </w:p>
    <w:p>
      <w:pPr>
        <w:spacing w:after="0" w:line="69" w:lineRule="exact"/>
        <w:rPr>
          <w:sz w:val="20"/>
          <w:szCs w:val="20"/>
          <w:color w:val="auto"/>
        </w:rPr>
      </w:pPr>
    </w:p>
    <w:p>
      <w:pPr>
        <w:ind w:right="560" w:firstLine="449"/>
        <w:spacing w:after="0" w:line="268" w:lineRule="auto"/>
        <w:rPr>
          <w:sz w:val="20"/>
          <w:szCs w:val="20"/>
          <w:color w:val="auto"/>
        </w:rPr>
      </w:pPr>
      <w:r>
        <w:rPr>
          <w:rFonts w:ascii="Arial" w:cs="Arial" w:eastAsia="Arial" w:hAnsi="Arial"/>
          <w:sz w:val="18"/>
          <w:szCs w:val="18"/>
          <w:color w:val="auto"/>
        </w:rPr>
        <w:t>Sales and repayments of long-term investments for the three and nine months ended June 30, 2008 totaled $9.2 million and $14.4 million, and net realized losses totaled approximately $402,000 and $621,000, respectively.</w:t>
      </w:r>
    </w:p>
    <w:p>
      <w:pPr>
        <w:spacing w:after="0" w:line="105" w:lineRule="exact"/>
        <w:rPr>
          <w:sz w:val="20"/>
          <w:szCs w:val="20"/>
          <w:color w:val="auto"/>
        </w:rPr>
      </w:pPr>
    </w:p>
    <w:p>
      <w:pPr>
        <w:ind w:right="560" w:firstLine="449"/>
        <w:spacing w:after="0" w:line="331" w:lineRule="auto"/>
        <w:rPr>
          <w:sz w:val="20"/>
          <w:szCs w:val="20"/>
          <w:color w:val="auto"/>
        </w:rPr>
      </w:pPr>
      <w:r>
        <w:rPr>
          <w:rFonts w:ascii="Arial" w:cs="Arial" w:eastAsia="Arial" w:hAnsi="Arial"/>
          <w:sz w:val="16"/>
          <w:szCs w:val="16"/>
          <w:color w:val="auto"/>
        </w:rPr>
        <w:t>Sales and repayments of long-term investments for the three months ended June 30, 2007 and for the period January 11, 2007 (inception) through June 30, 2007 totaled $84.6 million and $92.7 million, and net realized losses totaled approximately $35,000 and $15,000,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Appreciation/(Depreciation) on Investments and cash equivalents</w:t>
      </w:r>
    </w:p>
    <w:p>
      <w:pPr>
        <w:spacing w:after="0" w:line="69" w:lineRule="exact"/>
        <w:rPr>
          <w:sz w:val="20"/>
          <w:szCs w:val="20"/>
          <w:color w:val="auto"/>
        </w:rPr>
      </w:pPr>
    </w:p>
    <w:p>
      <w:pPr>
        <w:ind w:right="60" w:firstLine="449"/>
        <w:spacing w:after="0" w:line="331" w:lineRule="auto"/>
        <w:rPr>
          <w:sz w:val="20"/>
          <w:szCs w:val="20"/>
          <w:color w:val="auto"/>
        </w:rPr>
      </w:pPr>
      <w:r>
        <w:rPr>
          <w:rFonts w:ascii="Arial" w:cs="Arial" w:eastAsia="Arial" w:hAnsi="Arial"/>
          <w:sz w:val="16"/>
          <w:szCs w:val="16"/>
          <w:color w:val="auto"/>
        </w:rPr>
        <w:t>The Company’s investments and cash equivalents had a net increase and a net (decrease) in unrealized appreciation of $11.7 million and ($42.2) million, for the three and nine months ended June 30, 2008 respectively. On June 30, 2008, net unrealized depreciation on investments totaled $66.1 million.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30, 2007, unrealized depreciation on investments and cash equivalents totaled $5.1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Increase/(Decrease) in Net Assets From Operations</w:t>
      </w:r>
    </w:p>
    <w:p>
      <w:pPr>
        <w:spacing w:after="0" w:line="69"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Net increase/(decrease) in net assets resulting from operations totaled $15.2 million and ($29.7) million, or $0.72 and ($1.40) per share, for the three and nine months ended June 30, 2008 respectively.</w:t>
      </w:r>
    </w:p>
    <w:p>
      <w:pPr>
        <w:spacing w:after="0" w:line="105"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Net decrease in net assets resulting from operations totaled $2.0 million or $0.09 per share and $2.2 million or $0.10 per share for the three months ended June 30, 2007 and for the period from January 11, 2007 (inception) through June 30, 2007,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9"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On June 25, 2007, the Company entered into a Senior Secured Revolving Credit Agreement (the “Credit Agreement”) among us, various lenders and SunTrust Bank, as administrative agent for the lenders. SunTrust Robinson Humphrey Capital Markets acted as the joint lead arranger and book-runner, and Bear Stearns Corporate Lending Inc. acted as joint lead arranger and syndication agent. As of June 30, 2008, the Company had outstanding borrowings of $204.1 million (including $40.0 million temporary draw) under the Credit Agreement, with an average interest rate of 3.65%.</w:t>
      </w:r>
    </w:p>
    <w:p>
      <w:pPr>
        <w:spacing w:after="0" w:line="8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Under the Credit Agreement, the lenders agreed to extend us credit in an initial aggregate principal or face amount not exceeding $300.0 million at any one time outstanding. The Credit Agreement is a five-year revolving facility (with a stated maturity date of June 25, 2012) and is secured by substantially all of our investment portfolio assets. Pricing is set at 100 basis points over LIBOR.</w:t>
      </w:r>
    </w:p>
    <w:p>
      <w:pPr>
        <w:spacing w:after="0" w:line="113" w:lineRule="exact"/>
        <w:rPr>
          <w:sz w:val="20"/>
          <w:szCs w:val="20"/>
          <w:color w:val="auto"/>
        </w:rPr>
      </w:pPr>
    </w:p>
    <w:p>
      <w:pPr>
        <w:jc w:val="both"/>
        <w:ind w:right="400" w:firstLine="348"/>
        <w:spacing w:after="0" w:line="256" w:lineRule="auto"/>
        <w:rPr>
          <w:sz w:val="20"/>
          <w:szCs w:val="20"/>
          <w:color w:val="auto"/>
        </w:rPr>
      </w:pPr>
      <w:r>
        <w:rPr>
          <w:rFonts w:ascii="Arial" w:cs="Arial" w:eastAsia="Arial" w:hAnsi="Arial"/>
          <w:sz w:val="18"/>
          <w:szCs w:val="18"/>
          <w:color w:val="auto"/>
        </w:rPr>
        <w:t>The Company’s liquidity and capital resources are also generated and available from cash flows from operations, investment sales and repayments of senior and subordinated loans and income earned from investments and cash equivalents. On June 30, 2008, the Company had $204.1 million borrowings (including $40 million temporary draw) under our senior secured revolving credit facility. In the future, the Company may raise additional equity or debt capital off a shelf registration or may securitize a portion of its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331" w:lineRule="auto"/>
        <w:rPr>
          <w:sz w:val="20"/>
          <w:szCs w:val="20"/>
          <w:color w:val="auto"/>
        </w:rPr>
      </w:pPr>
      <w:r>
        <w:rPr>
          <w:rFonts w:ascii="Arial" w:cs="Arial" w:eastAsia="Arial" w:hAnsi="Arial"/>
          <w:sz w:val="16"/>
          <w:szCs w:val="16"/>
          <w:color w:val="auto"/>
        </w:rPr>
        <w:t>investments among other considerations. The primary use of existing funds and any funds raised in the future is expected to be for repayment of indebtedness, investments in portfolio companies, cash distributions to our shareholders or for other general corporate purposes.</w:t>
      </w:r>
    </w:p>
    <w:p>
      <w:pPr>
        <w:spacing w:after="0" w:line="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operating activities resulted in a net use of cash of $45.2 million and $397.1 million, respectively, for the three and nine months ended June 30, 2008, and our financing activities resulted in a net inflow of cash of $5.0 million and $180.2 million for the same periods, primarily from borrowings under our credit facility.</w:t>
      </w:r>
    </w:p>
    <w:p>
      <w:pPr>
        <w:spacing w:after="0" w:line="140"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Our operating activities resulted in a net outflow of cash equal to $144.7 million and $2.2 million for the three months ended June 30, 2007 and for the period January 11, 2007 (inception) through June 30, 2007, respectively, and our financing activities resulted in a net inflow of cash of $141.7 million and $290.3 million for the same periods, respectively, primarily from the issuance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 million, five-year, revolving credit facility maturing in June 2012 is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3"/>
                <w:szCs w:val="13"/>
                <w:b w:val="1"/>
                <w:bCs w:val="1"/>
                <w:color w:val="auto"/>
                <w:w w:val="99"/>
              </w:rPr>
              <w:t>Payments due by period (millions)</w:t>
            </w:r>
          </w:p>
        </w:tc>
        <w:tc>
          <w:tcPr>
            <w:tcW w:w="620" w:type="dxa"/>
            <w:vAlign w:val="bottom"/>
            <w:tcBorders>
              <w:bottom w:val="single" w:sz="8" w:color="auto"/>
            </w:tcBorders>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Less than</w:t>
            </w:r>
          </w:p>
        </w:tc>
        <w:tc>
          <w:tcPr>
            <w:tcW w:w="700" w:type="dxa"/>
            <w:vAlign w:val="bottom"/>
            <w:gridSpan w:val="2"/>
          </w:tcPr>
          <w:p>
            <w:pPr>
              <w:ind w:left="460"/>
              <w:spacing w:after="0" w:line="129" w:lineRule="exact"/>
              <w:rPr>
                <w:sz w:val="20"/>
                <w:szCs w:val="20"/>
                <w:color w:val="auto"/>
              </w:rPr>
            </w:pPr>
            <w:r>
              <w:rPr>
                <w:rFonts w:ascii="Arial" w:cs="Arial" w:eastAsia="Arial" w:hAnsi="Arial"/>
                <w:sz w:val="13"/>
                <w:szCs w:val="13"/>
                <w:b w:val="1"/>
                <w:bCs w:val="1"/>
                <w:color w:val="auto"/>
              </w:rPr>
              <w:t>1-3</w:t>
            </w:r>
          </w:p>
        </w:tc>
        <w:tc>
          <w:tcPr>
            <w:tcW w:w="880" w:type="dxa"/>
            <w:vAlign w:val="bottom"/>
            <w:gridSpan w:val="2"/>
          </w:tcPr>
          <w:p>
            <w:pPr>
              <w:jc w:val="right"/>
              <w:ind w:right="93"/>
              <w:spacing w:after="0" w:line="129" w:lineRule="exact"/>
              <w:rPr>
                <w:sz w:val="20"/>
                <w:szCs w:val="20"/>
                <w:color w:val="auto"/>
              </w:rPr>
            </w:pPr>
            <w:r>
              <w:rPr>
                <w:rFonts w:ascii="Arial" w:cs="Arial" w:eastAsia="Arial" w:hAnsi="Arial"/>
                <w:sz w:val="13"/>
                <w:szCs w:val="13"/>
                <w:b w:val="1"/>
                <w:bCs w:val="1"/>
                <w:color w:val="auto"/>
              </w:rPr>
              <w:t>3-5</w:t>
            </w:r>
          </w:p>
        </w:tc>
        <w:tc>
          <w:tcPr>
            <w:tcW w:w="5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6"/>
              </w:rPr>
              <w:t>More than</w:t>
            </w:r>
          </w:p>
        </w:tc>
      </w:t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5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1 year</w:t>
            </w: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years</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years</w:t>
            </w:r>
          </w:p>
        </w:tc>
        <w:tc>
          <w:tcPr>
            <w:tcW w:w="5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5 years</w:t>
            </w:r>
          </w:p>
        </w:tc>
      </w:tr>
      <w:tr>
        <w:trPr>
          <w:trHeight w:val="209"/>
        </w:trPr>
        <w:tc>
          <w:tcPr>
            <w:tcW w:w="398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22"/>
                <w:szCs w:val="22"/>
                <w:color w:val="auto"/>
                <w:vertAlign w:val="superscript"/>
              </w:rPr>
              <w:t>(1)</w:t>
            </w:r>
          </w:p>
        </w:tc>
        <w:tc>
          <w:tcPr>
            <w:tcW w:w="2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$204.1</w:t>
            </w:r>
            <w:r>
              <w:rPr>
                <w:rFonts w:ascii="Arial" w:cs="Arial" w:eastAsia="Arial" w:hAnsi="Arial"/>
                <w:sz w:val="11"/>
                <w:szCs w:val="11"/>
                <w:color w:val="auto"/>
              </w:rPr>
              <w:t>(2)</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$204.1</w:t>
            </w:r>
            <w:r>
              <w:rPr>
                <w:rFonts w:ascii="Arial" w:cs="Arial" w:eastAsia="Arial" w:hAnsi="Arial"/>
                <w:sz w:val="11"/>
                <w:szCs w:val="11"/>
                <w:color w:val="auto"/>
              </w:rPr>
              <w:t>(2)</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One June 30, 2008, $95.9 million remained unused under our senior secured revolving credit facility subject to maintenance of total assets to debt ratio.</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Including $40.0 million temporary draw.</w:t>
      </w:r>
    </w:p>
    <w:p>
      <w:pPr>
        <w:spacing w:after="0" w:line="16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have entered into certain contracts under which we have material future commitments. On April 17, 2007 we entered into an Investment Management Agreement with the Investment Adviser in accordance with the 1940 Act, effective as of the completion of our initial public offering, pursuant to which the Investment Adviser provides us with investment advisory and management services. Payments under the Investment Management Agreement in each reporting period are equal to (1) a management fee equal to a percentage of the value of our gross assets and (2) an incentive fee based on our performance (see note 3 to our financial statements for more information).</w:t>
      </w:r>
    </w:p>
    <w:p>
      <w:pPr>
        <w:spacing w:after="0" w:line="14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Pursuant to an Administration Agreement, dated April 17, 2007, the Administrator furnishes us with office facilities and administrative services necessary to conduct our day-to-day operations. If requested to provide managerial assistance to our portfolio companies, the Administrator will be paid an additional amount based on the services provided, which amount will not in any case exceed the amount we receive from the portfolio companies for such services. Payment under the Administration Agreement is based upon our allocable portion of the Administrator’s overhead in performing its obligations under the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ind w:right="40" w:firstLine="449"/>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engage in no off-balance sheet arrangements, including any risk management of commodity pricing or other hedging practices.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jc w:val="both"/>
        <w:ind w:right="120" w:firstLine="449"/>
        <w:spacing w:after="0" w:line="306" w:lineRule="auto"/>
        <w:rPr>
          <w:sz w:val="20"/>
          <w:szCs w:val="20"/>
          <w:color w:val="auto"/>
        </w:rPr>
      </w:pPr>
      <w:r>
        <w:rPr>
          <w:rFonts w:ascii="Arial" w:cs="Arial" w:eastAsia="Arial" w:hAnsi="Arial"/>
          <w:sz w:val="16"/>
          <w:szCs w:val="16"/>
          <w:color w:val="auto"/>
        </w:rPr>
        <w:t>In order to qualify as a regulated investment company and to avoid corporate level tax on income, we are required, under Subchapter M of the Code, to distribute at least 90% of our ordinary income and net short-term capital gains in excess of realized net long-term capital losses, if any, to our stockholders on an annual basis. Additionally, we must distribute at least 98% of our income (both ordinary income and net capital gains) to avoid an excise tax.</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331" w:lineRule="auto"/>
        <w:rPr>
          <w:sz w:val="20"/>
          <w:szCs w:val="20"/>
          <w:color w:val="auto"/>
        </w:rPr>
      </w:pPr>
      <w:r>
        <w:rPr>
          <w:rFonts w:ascii="Arial" w:cs="Arial" w:eastAsia="Arial" w:hAnsi="Arial"/>
          <w:sz w:val="16"/>
          <w:szCs w:val="16"/>
          <w:color w:val="auto"/>
        </w:rPr>
        <w:t>During the three and nine months ended June 30, 2008 we paid to stockholders distributions of $0.22 and $0.66 per share, for a total dividend of $4.6 million and $13.9 million, respectively. Tax characteristics of all distributions will be reported to stockholders on Form 1099 after the end of the calendar year.</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5" w:lineRule="exact"/>
        <w:rPr>
          <w:sz w:val="20"/>
          <w:szCs w:val="20"/>
          <w:color w:val="auto"/>
        </w:rPr>
      </w:pPr>
    </w:p>
    <w:p>
      <w:pPr>
        <w:ind w:right="560" w:firstLine="449"/>
        <w:spacing w:after="0" w:line="331" w:lineRule="auto"/>
        <w:rPr>
          <w:sz w:val="20"/>
          <w:szCs w:val="20"/>
          <w:color w:val="auto"/>
        </w:rPr>
      </w:pPr>
      <w:r>
        <w:rPr>
          <w:rFonts w:ascii="Arial" w:cs="Arial" w:eastAsia="Arial" w:hAnsi="Arial"/>
          <w:sz w:val="16"/>
          <w:szCs w:val="16"/>
          <w:color w:val="auto"/>
        </w:rPr>
        <w:t>We did not experience any compromised liquidity during the continued turmoil in the global credit markets because of our ability to liquidate our portfolio of senior secured loans, which totaled $133.2 million as of June 30, 2008, and availability under our credit facility.</w:t>
      </w:r>
    </w:p>
    <w:p>
      <w:pPr>
        <w:spacing w:after="0" w:line="2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Assuming that the balance sheet as of the period covered by this report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143"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 covered by this report, we did not engage in interest rate hedging activities.</w:t>
      </w: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As of the period covered by this report, we, including our Chief Executive Officer and Chief Financial Officer, evaluated the effectiveness of the design and operation of our disclosure controls and procedures (as defined in Rule 13a-15(e) under the Securities Exchange Act of 1934). Based on that evaluation, our management, including the Chief Executive Officer and Chief Financial Officer, concluded that our disclosure controls and procedures were effective in timely alerting management, including the Chief Executive Officer and Chief Financial Officer, of material information about us required to be included in periodic SEC filings. However, in evaluating our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period covered by this report that have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right="180" w:firstLine="449"/>
        <w:spacing w:after="0" w:line="294" w:lineRule="auto"/>
        <w:rPr>
          <w:sz w:val="20"/>
          <w:szCs w:val="20"/>
          <w:color w:val="auto"/>
        </w:rPr>
      </w:pPr>
      <w:r>
        <w:rPr>
          <w:rFonts w:ascii="Arial" w:cs="Arial" w:eastAsia="Arial" w:hAnsi="Arial"/>
          <w:sz w:val="16"/>
          <w:szCs w:val="16"/>
          <w:color w:val="auto"/>
        </w:rPr>
        <w:t>Neither our Investment Adviser, our Administrator or us is currently subject to any material legal proceedings, nor, to our knowledge, is any material legal proceeding threatened against us, or against the Investment Adviser or Administrator. From time to time, we, the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 xml:space="preserve">In addition to the other information set forth in this report, you should carefully consider the factors discussed in Part I, “Item 1A. Risk Factors” in our Annual Report on Form 10-K for the fiscal year ended September 30, 2007, which could materially affect our business, financial condition and/or operating results. The risks described in our Annual Report on Form 10-K are not the only risks facing our Company. Our annual report is posted on the SEC’s web 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on our web-site, </w:t>
      </w:r>
      <w:r>
        <w:rPr>
          <w:rFonts w:ascii="Arial" w:cs="Arial" w:eastAsia="Arial" w:hAnsi="Arial"/>
          <w:sz w:val="16"/>
          <w:szCs w:val="16"/>
          <w:u w:val="single" w:color="auto"/>
          <w:color w:val="auto"/>
        </w:rPr>
        <w:t>www.pennantpark.com</w:t>
      </w:r>
      <w:r>
        <w:rPr>
          <w:rFonts w:ascii="Arial" w:cs="Arial" w:eastAsia="Arial" w:hAnsi="Arial"/>
          <w:sz w:val="16"/>
          <w:szCs w:val="16"/>
          <w:color w:val="auto"/>
        </w:rPr>
        <w:t>. Additional risks and uncertainties not currently known to us or that we currently deem to be immaterial also may materially adversely affect our business, financial condition and/or operating results.</w:t>
      </w: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Unless specifically indicated otherwise, the following exhibits are incorporated by reference to exhibits previously filed with the SEC:</w:t>
      </w:r>
    </w:p>
    <w:p>
      <w:pPr>
        <w:spacing w:after="0" w:line="320" w:lineRule="exact"/>
        <w:rPr>
          <w:sz w:val="20"/>
          <w:szCs w:val="20"/>
          <w:color w:val="auto"/>
        </w:rPr>
      </w:pPr>
    </w:p>
    <w:p>
      <w:pPr>
        <w:ind w:left="880" w:hanging="789"/>
        <w:spacing w:after="0" w:line="268"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Articles of Incorporation (Incorporated by reference to the Registrant’s Pre-Effective Amendment No. 1 to the Registration Statement on Form N-2 (File No. 333-140092), filed on March 5, 2007).</w:t>
      </w:r>
    </w:p>
    <w:p>
      <w:pPr>
        <w:spacing w:after="0" w:line="78" w:lineRule="exact"/>
        <w:rPr>
          <w:sz w:val="20"/>
          <w:szCs w:val="20"/>
          <w:color w:val="auto"/>
        </w:rPr>
      </w:pPr>
    </w:p>
    <w:p>
      <w:pPr>
        <w:ind w:left="880" w:right="200" w:hanging="789"/>
        <w:spacing w:after="0" w:line="268" w:lineRule="auto"/>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(Incorporated by reference to Exhibit 3.2 to the Registrant’s Annual Report on Form 10-K (File No. 814-00736), filed on December 13, 2007).</w:t>
      </w:r>
    </w:p>
    <w:p>
      <w:pPr>
        <w:spacing w:after="0" w:line="78"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Share Certificate (Incorporated by reference to Exhibit 99(d)(1) to the Registrant’s Registration Statement on Form N-2 (File No. 333-</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150033), filed on April 2, 2008).</w:t>
      </w:r>
    </w:p>
    <w:p>
      <w:pPr>
        <w:spacing w:after="0" w:line="111"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Computation of Per Share Earnings (included in the notes to the unaudited financial statements contained in this Report).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 *</w:t>
      </w:r>
      <w:r>
        <w:rPr>
          <w:rFonts w:ascii="Arial" w:cs="Arial" w:eastAsia="Arial" w:hAnsi="Arial"/>
          <w:sz w:val="16"/>
          <w:szCs w:val="16"/>
          <w:color w:val="auto"/>
        </w:rPr>
        <w:t>Certification of Chief Executive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w:t>
      </w:r>
      <w:r>
        <w:rPr>
          <w:rFonts w:ascii="Arial" w:cs="Arial" w:eastAsia="Arial" w:hAnsi="Arial"/>
          <w:sz w:val="16"/>
          <w:szCs w:val="16"/>
          <w:color w:val="auto"/>
        </w:rPr>
        <w:t>Certification of Chief Financial Officer pursuant to Rule 13a-14 of the Securities Exchange Act of 1934, as amended.</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 *</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 *</w:t>
      </w:r>
      <w:r>
        <w:rPr>
          <w:rFonts w:ascii="Arial" w:cs="Arial" w:eastAsia="Arial" w:hAnsi="Arial"/>
          <w:sz w:val="16"/>
          <w:szCs w:val="16"/>
          <w:color w:val="auto"/>
        </w:rPr>
        <w:t>Certification of Chief Financial Officer pursuant to section 906 of The Sarbanes-Oxley Act of 2002.</w:t>
      </w:r>
    </w:p>
    <w:p>
      <w:pPr>
        <w:spacing w:after="0" w:line="117" w:lineRule="exact"/>
        <w:rPr>
          <w:sz w:val="20"/>
          <w:szCs w:val="20"/>
          <w:color w:val="auto"/>
        </w:rPr>
      </w:pPr>
    </w:p>
    <w:p>
      <w:pPr>
        <w:ind w:left="880" w:right="80" w:hanging="876"/>
        <w:spacing w:after="0" w:line="268"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Privacy Policy of the Registrant (Incorporated by reference to Exhibit 99.1 to the Registrant’s Annual Report on Form 10-K (File No. 814-00736), filed on December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1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2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tabs>
          <w:tab w:leader="none" w:pos="6360" w:val="left"/>
          <w:tab w:leader="none" w:pos="8100" w:val="left"/>
          <w:tab w:leader="none" w:pos="8420" w:val="left"/>
        </w:tabs>
        <w:rPr>
          <w:sz w:val="20"/>
          <w:szCs w:val="20"/>
          <w:color w:val="auto"/>
        </w:rPr>
      </w:pPr>
      <w:r>
        <w:rPr>
          <w:rFonts w:ascii="Arial" w:cs="Arial" w:eastAsia="Arial" w:hAnsi="Arial"/>
          <w:sz w:val="18"/>
          <w:szCs w:val="18"/>
          <w:color w:val="auto"/>
        </w:rPr>
        <w:t>Date: August 5,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10795</wp:posOffset>
            </wp:positionV>
            <wp:extent cx="2922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3"/>
          <w:szCs w:val="13"/>
          <w:b w:val="1"/>
          <w:bCs w:val="1"/>
          <w:color w:val="auto"/>
        </w:rPr>
        <w:t>Arthur H. Penn</w:t>
      </w:r>
    </w:p>
    <w:p>
      <w:pPr>
        <w:spacing w:after="0" w:line="1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Chief Executive Officer</w:t>
      </w:r>
    </w:p>
    <w:p>
      <w:pPr>
        <w:spacing w:after="0" w:line="219" w:lineRule="exact"/>
        <w:rPr>
          <w:sz w:val="20"/>
          <w:szCs w:val="20"/>
          <w:color w:val="auto"/>
        </w:rPr>
      </w:pPr>
    </w:p>
    <w:p>
      <w:pPr>
        <w:spacing w:after="0"/>
        <w:tabs>
          <w:tab w:leader="none" w:pos="6360" w:val="left"/>
          <w:tab w:leader="none" w:pos="8260" w:val="left"/>
          <w:tab w:leader="none" w:pos="8600" w:val="left"/>
        </w:tabs>
        <w:rPr>
          <w:sz w:val="20"/>
          <w:szCs w:val="20"/>
          <w:color w:val="auto"/>
        </w:rPr>
      </w:pPr>
      <w:r>
        <w:rPr>
          <w:rFonts w:ascii="Arial" w:cs="Arial" w:eastAsia="Arial" w:hAnsi="Arial"/>
          <w:sz w:val="18"/>
          <w:szCs w:val="18"/>
          <w:color w:val="auto"/>
        </w:rPr>
        <w:t>Date: August 5,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10795</wp:posOffset>
            </wp:positionV>
            <wp:extent cx="2922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3"/>
          <w:szCs w:val="13"/>
          <w:b w:val="1"/>
          <w:bCs w:val="1"/>
          <w:color w:val="auto"/>
        </w:rPr>
        <w:t>Aviv Efrat</w:t>
      </w:r>
    </w:p>
    <w:p>
      <w:pPr>
        <w:spacing w:after="0" w:line="12"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Chief Financial Officer</w:t>
      </w:r>
    </w:p>
    <w:p>
      <w:pPr>
        <w:jc w:val="center"/>
        <w:ind w:left="6740"/>
        <w:spacing w:after="0"/>
        <w:rPr>
          <w:sz w:val="20"/>
          <w:szCs w:val="20"/>
          <w:color w:val="auto"/>
        </w:rPr>
      </w:pPr>
      <w:r>
        <w:rPr>
          <w:rFonts w:ascii="Arial" w:cs="Arial" w:eastAsia="Arial" w:hAnsi="Arial"/>
          <w:sz w:val="13"/>
          <w:szCs w:val="13"/>
          <w:b w:val="1"/>
          <w:bCs w:val="1"/>
          <w:color w:val="auto"/>
        </w:rPr>
        <w:t>(Principal Accounting and Financial Officer)</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right="3500" w:firstLine="3505"/>
        <w:spacing w:after="0" w:line="394" w:lineRule="auto"/>
        <w:rPr>
          <w:sz w:val="20"/>
          <w:szCs w:val="20"/>
          <w:color w:val="auto"/>
        </w:rPr>
      </w:pPr>
      <w:r>
        <w:rPr>
          <w:rFonts w:ascii="Arial" w:cs="Arial" w:eastAsia="Arial" w:hAnsi="Arial"/>
          <w:sz w:val="18"/>
          <w:szCs w:val="18"/>
          <w:b w:val="1"/>
          <w:bCs w:val="1"/>
          <w:color w:val="auto"/>
        </w:rPr>
        <w:t xml:space="preserve">CERTIFICATION OF CHIEF EXECUTIVE OFFICER </w:t>
      </w:r>
      <w:r>
        <w:rPr>
          <w:rFonts w:ascii="Arial" w:cs="Arial" w:eastAsia="Arial" w:hAnsi="Arial"/>
          <w:sz w:val="18"/>
          <w:szCs w:val="18"/>
          <w:color w:val="auto"/>
        </w:rPr>
        <w:t>I, Arthur H. Penn, Chief Executive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1" w:lineRule="exact"/>
        <w:rPr>
          <w:sz w:val="20"/>
          <w:szCs w:val="20"/>
          <w:color w:val="auto"/>
        </w:rPr>
      </w:pPr>
    </w:p>
    <w:p>
      <w:pPr>
        <w:jc w:val="both"/>
        <w:ind w:right="240" w:firstLine="8"/>
        <w:spacing w:after="0" w:line="259"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w:t>
      </w:r>
    </w:p>
    <w:p>
      <w:pPr>
        <w:spacing w:after="0" w:line="58"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3520" w:firstLine="3529"/>
        <w:spacing w:after="0" w:line="394" w:lineRule="auto"/>
        <w:rPr>
          <w:sz w:val="20"/>
          <w:szCs w:val="20"/>
          <w:color w:val="auto"/>
        </w:rPr>
      </w:pPr>
      <w:r>
        <w:rPr>
          <w:rFonts w:ascii="Arial" w:cs="Arial" w:eastAsia="Arial" w:hAnsi="Arial"/>
          <w:sz w:val="18"/>
          <w:szCs w:val="18"/>
          <w:b w:val="1"/>
          <w:bCs w:val="1"/>
          <w:color w:val="auto"/>
        </w:rPr>
        <w:t xml:space="preserve">CERTIFICATION OF CHIEF FINANCIAL OFFICER </w:t>
      </w:r>
      <w:r>
        <w:rPr>
          <w:rFonts w:ascii="Arial" w:cs="Arial" w:eastAsia="Arial" w:hAnsi="Arial"/>
          <w:sz w:val="18"/>
          <w:szCs w:val="18"/>
          <w:color w:val="auto"/>
        </w:rPr>
        <w:t>I, Aviv Efrat, Chief Financial Officer of PennantPark Investment Corporation, certify that:</w:t>
      </w:r>
    </w:p>
    <w:p>
      <w:pPr>
        <w:spacing w:after="0" w:line="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PennantPark Investment Corporation;</w:t>
      </w:r>
    </w:p>
    <w:p>
      <w:pPr>
        <w:spacing w:after="0" w:line="171" w:lineRule="exact"/>
        <w:rPr>
          <w:rFonts w:ascii="Arial" w:cs="Arial" w:eastAsia="Arial" w:hAnsi="Arial"/>
          <w:sz w:val="18"/>
          <w:szCs w:val="18"/>
          <w:color w:val="auto"/>
        </w:rPr>
      </w:pPr>
    </w:p>
    <w:p>
      <w:pPr>
        <w:ind w:firstLine="8"/>
        <w:spacing w:after="0" w:line="331" w:lineRule="auto"/>
        <w:tabs>
          <w:tab w:leader="none" w:pos="1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6"/>
          <w:szCs w:val="16"/>
          <w:color w:val="auto"/>
        </w:rPr>
      </w:pPr>
    </w:p>
    <w:p>
      <w:pPr>
        <w:ind w:right="100" w:firstLine="8"/>
        <w:spacing w:after="0" w:line="268" w:lineRule="auto"/>
        <w:tabs>
          <w:tab w:leader="none" w:pos="1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1" w:lineRule="exact"/>
        <w:rPr>
          <w:rFonts w:ascii="Arial" w:cs="Arial" w:eastAsia="Arial" w:hAnsi="Arial"/>
          <w:sz w:val="18"/>
          <w:szCs w:val="18"/>
          <w:color w:val="auto"/>
        </w:rPr>
      </w:pPr>
    </w:p>
    <w:p>
      <w:pPr>
        <w:ind w:right="20" w:firstLine="8"/>
        <w:spacing w:after="0" w:line="268" w:lineRule="auto"/>
        <w:tabs>
          <w:tab w:leader="none" w:pos="1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1" w:lineRule="exact"/>
        <w:rPr>
          <w:sz w:val="20"/>
          <w:szCs w:val="20"/>
          <w:color w:val="auto"/>
        </w:rPr>
      </w:pPr>
    </w:p>
    <w:p>
      <w:pPr>
        <w:jc w:val="both"/>
        <w:ind w:right="240" w:firstLine="8"/>
        <w:spacing w:after="0" w:line="259"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subsidiaries, is made known to us by others within those entities, particularly during the period in which this Report is being prepared;</w:t>
      </w:r>
    </w:p>
    <w:p>
      <w:pPr>
        <w:spacing w:after="0" w:line="58" w:lineRule="exact"/>
        <w:rPr>
          <w:rFonts w:ascii="Arial" w:cs="Arial" w:eastAsia="Arial" w:hAnsi="Arial"/>
          <w:sz w:val="18"/>
          <w:szCs w:val="18"/>
          <w:color w:val="auto"/>
        </w:rPr>
      </w:pPr>
    </w:p>
    <w:p>
      <w:pPr>
        <w:ind w:right="140" w:firstLine="8"/>
        <w:spacing w:after="0" w:line="268" w:lineRule="auto"/>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right="180" w:firstLine="8"/>
        <w:spacing w:after="0" w:line="331"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7" w:lineRule="exact"/>
        <w:rPr>
          <w:sz w:val="20"/>
          <w:szCs w:val="20"/>
          <w:color w:val="auto"/>
        </w:rPr>
      </w:pPr>
    </w:p>
    <w:p>
      <w:pPr>
        <w:ind w:right="760" w:firstLine="8"/>
        <w:spacing w:after="0" w:line="331" w:lineRule="auto"/>
        <w:tabs>
          <w:tab w:leader="none" w:pos="1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6" w:lineRule="exact"/>
        <w:rPr>
          <w:sz w:val="20"/>
          <w:szCs w:val="20"/>
          <w:color w:val="auto"/>
        </w:rPr>
      </w:pPr>
    </w:p>
    <w:p>
      <w:pPr>
        <w:ind w:right="380" w:firstLine="8"/>
        <w:spacing w:after="0" w:line="268"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right="620" w:firstLine="8"/>
        <w:spacing w:after="0" w:line="268" w:lineRule="auto"/>
        <w:tabs>
          <w:tab w:leader="none" w:pos="1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June 30, 2008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2008</w:t>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this Report on Form 10-Q for the three months ended June 30, 2008 (the “Report”) of PennantPark Investment Corporation (the “Registrant”), as filed with the Securities and Exchange Commission on the date hereof, I, Aviv Efrat, Chief Financial Officer of the Registrant, hereby certify, to the best of my knowledge, that:</w:t>
      </w:r>
    </w:p>
    <w:p>
      <w:pPr>
        <w:spacing w:after="0" w:line="59"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13" w:lineRule="exact"/>
        <w:rPr>
          <w:rFonts w:ascii="Arial" w:cs="Arial" w:eastAsia="Arial" w:hAnsi="Arial"/>
          <w:sz w:val="16"/>
          <w:szCs w:val="16"/>
          <w:color w:val="auto"/>
        </w:rPr>
      </w:pPr>
    </w:p>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46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5, 2008</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lowerLetter"/>
      <w:start w:val="2"/>
    </w:lvl>
  </w:abstractNum>
  <w:abstractNum w:abstractNumId="8">
    <w:nsid w:val="7C83E458"/>
    <w:multiLevelType w:val="hybridMultilevel"/>
    <w:lvl w:ilvl="0">
      <w:lvlJc w:val="left"/>
      <w:lvlText w:val="(%1)"/>
      <w:numFmt w:val="lowerLetter"/>
      <w:start w:val="6"/>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2020-05-05T15:08:44Z</dcterms:created>
  <dcterms:modified xsi:type="dcterms:W3CDTF">2020-05-05T15:08:44Z</dcterms:modified>
</cp:coreProperties>
</file>