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Information Required in Proxy Statement</w:t>
      </w:r>
    </w:p>
    <w:p>
      <w:pPr>
        <w:jc w:val="center"/>
        <w:ind w:right="-79"/>
        <w:spacing w:after="0" w:line="238" w:lineRule="auto"/>
        <w:rPr>
          <w:sz w:val="20"/>
          <w:szCs w:val="20"/>
          <w:color w:val="auto"/>
        </w:rPr>
      </w:pPr>
      <w:r>
        <w:rPr>
          <w:rFonts w:ascii="Arial" w:cs="Arial" w:eastAsia="Arial" w:hAnsi="Arial"/>
          <w:sz w:val="32"/>
          <w:szCs w:val="32"/>
          <w:b w:val="1"/>
          <w:bCs w:val="1"/>
          <w:color w:val="auto"/>
        </w:rPr>
        <w:t>Schedule 14A Information</w:t>
      </w:r>
    </w:p>
    <w:p>
      <w:pPr>
        <w:jc w:val="center"/>
        <w:ind w:right="-79"/>
        <w:spacing w:after="0" w:line="232" w:lineRule="auto"/>
        <w:rPr>
          <w:sz w:val="20"/>
          <w:szCs w:val="20"/>
          <w:color w:val="auto"/>
        </w:rPr>
      </w:pPr>
      <w:r>
        <w:rPr>
          <w:rFonts w:ascii="Arial" w:cs="Arial" w:eastAsia="Arial" w:hAnsi="Arial"/>
          <w:sz w:val="22"/>
          <w:szCs w:val="22"/>
          <w:b w:val="1"/>
          <w:bCs w:val="1"/>
          <w:color w:val="auto"/>
        </w:rPr>
        <w:t>Proxy Statement Pursuant to Section 14(a)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34" w:lineRule="exact"/>
        <w:rPr>
          <w:sz w:val="24"/>
          <w:szCs w:val="24"/>
          <w:color w:val="auto"/>
        </w:rPr>
      </w:pPr>
    </w:p>
    <w:p>
      <w:pPr>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3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3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4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60" w:right="620" w:hanging="452"/>
        <w:spacing w:after="0" w:line="290"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-3075305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-2741295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-1926590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-1591945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-485775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-151130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35075"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6606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191770</wp:posOffset>
            </wp:positionV>
            <wp:extent cx="123507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December 19,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are cordially invited to attend the 2013 Joint Annual Meeting of Stockholders of PennantPark Investment Corporation (“PNNT”) and PennantPark Floating Rate Capital Ltd. (“PFLT” and PNNT each, a “Company” and together, the “Companies”) to be held on February 5, 2013 at 9:30 a.m., Eastern Time, at the offices of Dechert LLP, located at 1095 Avenue of the Americas, New York, New York.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Notice of Joint Annual Meeting of Stockholders and the Joint Proxy Statement of the Boards of Directors of the Companies, which is accessible 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Internet or by request, provides an outline of the business to be conducted at the Joint Annual Meeting of Stockholders. At the meeting, you will be asked to:</w:t>
      </w:r>
    </w:p>
    <w:p>
      <w:pPr>
        <w:spacing w:after="0" w:line="32" w:lineRule="exact"/>
        <w:rPr>
          <w:sz w:val="20"/>
          <w:szCs w:val="20"/>
          <w:color w:val="auto"/>
        </w:rPr>
      </w:pPr>
    </w:p>
    <w:p>
      <w:pPr>
        <w:ind w:right="500" w:firstLine="8"/>
        <w:spacing w:after="0" w:line="255"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one director for PNNT and/or four directors for PFLT and (2) ratify the selection of KPMG LLP as your Company’s independent registered public accounting firm for the fiscal year ending September 30, 2013. I will also report on the progress of the Companies during the past year and respond to stockholders’ questions.</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It is important that your shares be represented at the Joint Annual Meeting of Stockholders.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Joint Proxy Statement and proxy card(s) for your Company free of charge and you may vote your proxy by returning your proxy card(s) to us after you request the hard copy materials. Your vote and participation in the governance of your Company is very important to 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10121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21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ectPr>
          <w:pgSz w:w="11900" w:h="16838" w:orient="portrait"/>
          <w:cols w:equalWidth="0" w:num="1">
            <w:col w:w="11420"/>
          </w:cols>
          <w:pgMar w:left="240" w:top="8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JOINT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5, 2013</w:t>
      </w:r>
    </w:p>
    <w:p>
      <w:pPr>
        <w:spacing w:after="0" w:line="84" w:lineRule="exact"/>
        <w:rPr>
          <w:sz w:val="20"/>
          <w:szCs w:val="20"/>
          <w:color w:val="auto"/>
        </w:rPr>
      </w:pPr>
    </w:p>
    <w:p>
      <w:pPr>
        <w:ind w:left="10040"/>
        <w:spacing w:after="0"/>
        <w:rPr>
          <w:sz w:val="20"/>
          <w:szCs w:val="20"/>
          <w:color w:val="auto"/>
        </w:rPr>
      </w:pPr>
      <w:r>
        <w:rPr>
          <w:rFonts w:ascii="Arial" w:cs="Arial" w:eastAsia="Arial" w:hAnsi="Arial"/>
          <w:sz w:val="15"/>
          <w:szCs w:val="15"/>
          <w:color w:val="auto"/>
        </w:rPr>
        <w:t>December 19, 2012</w:t>
      </w:r>
    </w:p>
    <w:p>
      <w:pPr>
        <w:spacing w:after="0" w:line="12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Notice is hereby given to the owners of shares of common stock (the “Stockholders”) of PennantPark Investment Corporation (“PNNT”) and PennantPark Floating Rate Capital Ltd. (“PFLT” and PNNT each, a “Company” and together, the “Companies”) that: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2013 Joint Annual Meeting of Stockholders of the Companies (the “Annual Meeting”) will be held at the offices of Dechert LLP, located at 1095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Avenue of the Americas, New York, New York, on February 5, 2013 at 9:30 a.m., Eastern Time, for the following purposes:</w:t>
      </w:r>
    </w:p>
    <w:p>
      <w:pPr>
        <w:spacing w:after="0" w:line="57" w:lineRule="exact"/>
        <w:rPr>
          <w:sz w:val="20"/>
          <w:szCs w:val="20"/>
          <w:color w:val="auto"/>
        </w:rPr>
      </w:pPr>
    </w:p>
    <w:p>
      <w:pPr>
        <w:ind w:left="1400" w:right="520" w:hanging="933"/>
        <w:spacing w:after="0" w:line="254" w:lineRule="auto"/>
        <w:tabs>
          <w:tab w:leader="none" w:pos="89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For Stockholders of PNNT</w:t>
      </w:r>
      <w:r>
        <w:rPr>
          <w:rFonts w:ascii="Arial" w:cs="Arial" w:eastAsia="Arial" w:hAnsi="Arial"/>
          <w:sz w:val="18"/>
          <w:szCs w:val="18"/>
          <w:color w:val="auto"/>
        </w:rPr>
        <w:t>, to elect one director to the Board of Directors of PNNT, who will serve for a term of three years or until his successor is duly elected and qualifies; and</w:t>
      </w:r>
    </w:p>
    <w:p>
      <w:pPr>
        <w:ind w:left="1400" w:right="820" w:hanging="516"/>
        <w:spacing w:after="0" w:line="250" w:lineRule="auto"/>
        <w:tabs>
          <w:tab w:leader="none" w:pos="140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For Stockholders of PFLT</w:t>
      </w:r>
      <w:r>
        <w:rPr>
          <w:rFonts w:ascii="Arial" w:cs="Arial" w:eastAsia="Arial" w:hAnsi="Arial"/>
          <w:sz w:val="18"/>
          <w:szCs w:val="18"/>
          <w:color w:val="auto"/>
        </w:rPr>
        <w:t>, to elect four directors to the Board of Directors of PFLT, two of whom will each serve for a term of two</w:t>
      </w:r>
      <w:r>
        <w:rPr>
          <w:rFonts w:ascii="Arial" w:cs="Arial" w:eastAsia="Arial" w:hAnsi="Arial"/>
          <w:sz w:val="18"/>
          <w:szCs w:val="18"/>
          <w:i w:val="1"/>
          <w:iCs w:val="1"/>
          <w:color w:val="auto"/>
        </w:rPr>
        <w:t xml:space="preserve"> </w:t>
      </w:r>
      <w:r>
        <w:rPr>
          <w:rFonts w:ascii="Arial" w:cs="Arial" w:eastAsia="Arial" w:hAnsi="Arial"/>
          <w:sz w:val="18"/>
          <w:szCs w:val="18"/>
          <w:color w:val="auto"/>
        </w:rPr>
        <w:t>years or until his successor is duly elected and qualifies, and two of whom will each serve for a term of three years or until his successor is duly elected and qualifies; and</w:t>
      </w:r>
    </w:p>
    <w:p>
      <w:pPr>
        <w:spacing w:after="0" w:line="1" w:lineRule="exact"/>
        <w:rPr>
          <w:rFonts w:ascii="Arial" w:cs="Arial" w:eastAsia="Arial" w:hAnsi="Arial"/>
          <w:sz w:val="18"/>
          <w:szCs w:val="18"/>
          <w:color w:val="auto"/>
        </w:rPr>
      </w:pPr>
    </w:p>
    <w:p>
      <w:pPr>
        <w:ind w:left="1400" w:right="860" w:hanging="933"/>
        <w:spacing w:after="0" w:line="261" w:lineRule="auto"/>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For Stockholders of each Company</w:t>
      </w:r>
      <w:r>
        <w:rPr>
          <w:rFonts w:ascii="Arial" w:cs="Arial" w:eastAsia="Arial" w:hAnsi="Arial"/>
          <w:sz w:val="18"/>
          <w:szCs w:val="18"/>
          <w:color w:val="auto"/>
        </w:rPr>
        <w:t>, to ratify the selection of KPMG LLP to serve as the Company’s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for the fiscal year ending September 30, 2013.</w:t>
      </w:r>
    </w:p>
    <w:p>
      <w:pPr>
        <w:spacing w:after="0" w:line="5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You have the right to receive notice of, and to vote at, the Annual Meeting if you were a stockholder of record of PNNT at the close of business on December 11, 2012 and/or a stockholder of record of PFLT at the close of business on December 12, 2012. The Companies are furnishing a Joint Proxy Statement and proxy card(s) to their Stockholders on the Internet, rather than mailing printed copies of those materials to each Stockholder. If you received a Notice of Internet Availability of Proxy Materials by mail, you will not receive a printed copy of the Joint Proxy Statement and proxy card(s) unless you request them. Instead, the Notice of Internet Availability of Proxy Materials will instruct you as to how you may access and review the Joint Proxy Statement, and vote your proxy, on the Internet.</w:t>
      </w:r>
    </w:p>
    <w:p>
      <w:pPr>
        <w:spacing w:after="0" w:line="6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Your vote is extremely important to us. If you are unable to attend the Annual Meeting, we encourage you to vote your proxy on the Internet by following the instructions provided on the Notice of Internet Availability of Proxy Materials. You may also request from us free of charge hard copies of the Joint Proxy Statement and proxy card(s) for your Company by following the instructions on the Notice of Internet Availability of Proxy Materials. As to each Company, in the event there are not sufficient votes for a quorum or to approve that Company’s proposals at the time of the Annual Meeting, the Annual Meeting may be adjourned in order to permit further solicitation of proxies by the Company.</w:t>
      </w:r>
    </w:p>
    <w:p>
      <w:pPr>
        <w:spacing w:after="0" w:line="2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EACH COMPANY’S BOARD OF DIRECTORS, INCLUDING THE INDEPENDENT DIRECTORS, UNANIMOUSLY RECOMMENDS THAT YOU VOTE “FOR” EACH OF THE PROPOSALS.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97560"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7276465" cy="484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98" w:lineRule="exact"/>
        <w:rPr>
          <w:sz w:val="20"/>
          <w:szCs w:val="20"/>
          <w:color w:val="auto"/>
        </w:rPr>
      </w:pPr>
    </w:p>
    <w:p>
      <w:pPr>
        <w:ind w:left="140" w:right="120"/>
        <w:spacing w:after="0" w:line="310" w:lineRule="auto"/>
        <w:rPr>
          <w:sz w:val="20"/>
          <w:szCs w:val="20"/>
          <w:color w:val="auto"/>
        </w:rPr>
      </w:pPr>
      <w:r>
        <w:rPr>
          <w:rFonts w:ascii="Arial" w:cs="Arial" w:eastAsia="Arial" w:hAnsi="Arial"/>
          <w:sz w:val="16"/>
          <w:szCs w:val="16"/>
          <w:b w:val="1"/>
          <w:bCs w:val="1"/>
          <w:color w:val="auto"/>
        </w:rPr>
        <w:t>This is an important meeting. To ensure proper representation at the meeting, please follow the instructions on the Notice of Internet Availability of Proxy Materials to vote your proxy via the Internet or request, complete, sign, date and return a proxy card. Even if you vote your shares prior to the meeting, you still may attend the meeting and vote your shares in person if you wish to change your vote.</w:t>
      </w:r>
    </w:p>
    <w:p>
      <w:pPr>
        <w:sectPr>
          <w:pgSz w:w="11900" w:h="16838" w:orient="portrait"/>
          <w:cols w:equalWidth="0" w:num="1">
            <w:col w:w="11420"/>
          </w:cols>
          <w:pgMar w:left="240" w:top="274"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590 Madison Avenue, 15th Floor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32" w:lineRule="exact"/>
        <w:rPr>
          <w:rFonts w:ascii="Arial" w:cs="Arial" w:eastAsia="Arial" w:hAnsi="Arial"/>
          <w:sz w:val="16"/>
          <w:szCs w:val="16"/>
          <w:b w:val="1"/>
          <w:bCs w:val="1"/>
          <w:color w:val="auto"/>
        </w:rPr>
      </w:pPr>
    </w:p>
    <w:p>
      <w:pPr>
        <w:ind w:left="45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JOINT PROXY STATEMENT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2013 Joint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February 5, 2013</w:t>
      </w:r>
    </w:p>
    <w:p>
      <w:pPr>
        <w:spacing w:after="0" w:line="16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Joint Annual Meeting of Stockholders (“Notice of Annual Meeting”). Much of the information in this Joint Proxy Statement is required under the rules and regulations of the Securities and Exchange Commission (the “SEC”), and some of it is technical in nature. If there is anything you do not understand, please contact us at 212-905-1000.</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This Joint Proxy Statement is furnished in connection with the solicitation of proxies by the Boards of Directors (each, a “Board” and together, the “Boards”) of PennantPark Investment Corporation (“PNNT”) and PennantPark Floating Rate Capital Ltd. (“PFLT” and PNNT each, a “Company” and together, the “Companies,” “we,” “us” or “our”) for use at the Companies’ 2013 Joint Annual Meeting of Stockholders (the “Meeting”) to be held on Tuesday, February 5, 2013 at 9:30 a.m., Eastern Time, at the offices of Dechert LLP, located at 1095 Avenue of the Americas, New York, New York, and at any postponements or adjournments thereof. This Joint Proxy Statement and each Company’s Annual Report for the fiscal year ended September 30, 2012 are being provided to the stockholders thereof (the “Stockholders”) via the Internet on or about December 19, 2012. In addition, a Notice of Annual Meeting and a Notice of Internet Availability of Proxy Materials are being sent to Stockholders of record of PNNT as of December 11, 2012 and Stockholders of record of PFLT as of December 12, 2012.</w:t>
      </w:r>
    </w:p>
    <w:p>
      <w:pPr>
        <w:spacing w:after="0" w:line="14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Although each Company is a separate business development company that holds an annual meeting of stockholders, the Companies’ Proxy Statements have been combined into this Joint Proxy Statement to reduce expenses to the Companies of soliciting proxies for the Meeting.</w:t>
      </w:r>
    </w:p>
    <w:p>
      <w:pPr>
        <w:spacing w:after="0" w:line="8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your Company’s Board. If any other business is brought before the Meeting, your shares will be voted by the appropriate Proxy’s discretion unless you specifically state otherwise on your proxy.</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Companies’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90" w:lineRule="exact"/>
        <w:rPr>
          <w:sz w:val="20"/>
          <w:szCs w:val="20"/>
          <w:color w:val="auto"/>
        </w:rPr>
      </w:pPr>
    </w:p>
    <w:p>
      <w:pPr>
        <w:ind w:left="1580" w:right="300" w:hanging="1113"/>
        <w:spacing w:after="0" w:line="268"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8"/>
          <w:szCs w:val="18"/>
          <w:i w:val="1"/>
          <w:iCs w:val="1"/>
          <w:color w:val="auto"/>
        </w:rPr>
        <w:t xml:space="preserve">For Stockholders of PNNT, </w:t>
      </w:r>
      <w:r>
        <w:rPr>
          <w:rFonts w:ascii="Arial" w:cs="Arial" w:eastAsia="Arial" w:hAnsi="Arial"/>
          <w:sz w:val="18"/>
          <w:szCs w:val="18"/>
          <w:color w:val="auto"/>
        </w:rPr>
        <w:t>to elect one director to the Board of PNNT, who will serve for a term of three years or until his successor is</w:t>
      </w:r>
      <w:r>
        <w:rPr>
          <w:rFonts w:ascii="Arial" w:cs="Arial" w:eastAsia="Arial" w:hAnsi="Arial"/>
          <w:sz w:val="18"/>
          <w:szCs w:val="18"/>
          <w:i w:val="1"/>
          <w:iCs w:val="1"/>
          <w:color w:val="auto"/>
        </w:rPr>
        <w:t xml:space="preserve"> </w:t>
      </w:r>
      <w:r>
        <w:rPr>
          <w:rFonts w:ascii="Arial" w:cs="Arial" w:eastAsia="Arial" w:hAnsi="Arial"/>
          <w:sz w:val="18"/>
          <w:szCs w:val="18"/>
          <w:color w:val="auto"/>
        </w:rPr>
        <w:t>duly elected and qualifies;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4" w:name="page5"/>
    <w:bookmarkEnd w:id="4"/>
    <w:p>
      <w:pPr>
        <w:ind w:left="1580" w:right="60" w:hanging="546"/>
        <w:spacing w:after="0" w:line="259" w:lineRule="auto"/>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Stockholders of PFLT, </w:t>
      </w:r>
      <w:r>
        <w:rPr>
          <w:rFonts w:ascii="Arial" w:cs="Arial" w:eastAsia="Arial" w:hAnsi="Arial"/>
          <w:sz w:val="18"/>
          <w:szCs w:val="18"/>
          <w:color w:val="auto"/>
        </w:rPr>
        <w:t>to elect four directors to the Board of PFLT, two of whom will each serve for a term of two years or until his</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is duly elected and qualifies, and two of whom will each serve for a term of three years or until his successor is duly elected and qualifies(together with clause (a) above, “Proposal 1”); and</w:t>
      </w:r>
    </w:p>
    <w:p>
      <w:pPr>
        <w:spacing w:after="0" w:line="86" w:lineRule="exact"/>
        <w:rPr>
          <w:rFonts w:ascii="Arial" w:cs="Arial" w:eastAsia="Arial" w:hAnsi="Arial"/>
          <w:sz w:val="18"/>
          <w:szCs w:val="18"/>
          <w:color w:val="auto"/>
        </w:rPr>
      </w:pPr>
    </w:p>
    <w:p>
      <w:pPr>
        <w:ind w:left="1580" w:right="600" w:hanging="1113"/>
        <w:spacing w:after="0" w:line="268" w:lineRule="auto"/>
        <w:tabs>
          <w:tab w:leader="none" w:pos="15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For Stockholders of each Company, </w:t>
      </w:r>
      <w:r>
        <w:rPr>
          <w:rFonts w:ascii="Arial" w:cs="Arial" w:eastAsia="Arial" w:hAnsi="Arial"/>
          <w:sz w:val="18"/>
          <w:szCs w:val="18"/>
          <w:color w:val="auto"/>
        </w:rPr>
        <w:t>to ratify the selection of KPMG LLP to serve as the Company’s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for the fiscal year ending September 30, 2013 (“Proposal 2”).</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You may vote your shares at the Meeting only if you were a Stockholder of record of PNNT at the close of business on December 11, 2012 and/or a Stockholder of record of PFLT at the close of business on December 12, 2012 (each, a “Record Date”). There were 66,356,911 shares of PNNT common stock and 6,850,667 shares of PFLT common stock (the “Common Stock”) outstanding on the respective Record Date. Stockholders are entitled to one vote for each share held of Common Stock of their Company. Stockholders can vote only on matters affecting the Company (or Companies) in which they hold shares of Common Stock. Because the proposals stated above and in the Notice of Annual Meeting are separate for each Company, it is essential that Stockholders who own shares in both Companies vote by Internet, telephone or mail in accordance with the instructions on the proxy card(s), with respect to each proxy card they receive.</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Quorum Required</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a Company to conduct business at the Meeting, a quorum of Stockholders of that Company must be present at the Meeting. The presence at the Meeting, in person or by proxy, of the holders of a majority of the shares of Common Stock of a Company outstanding on the Record Date will constitute a quorum of such Company. Abstentions and shares held by a broker or other nominee for which the nominee has not received voting instructions from the record holder, and does not have discretionary authority to vote the shares on non-routine proposals (which are considered “broker non-votes” with respect to such proposals), will be treated as shares present for quorum purposes. If there are not enough votes for a quorum of a Company, the chairman of the Meeting will adjourn the Meeting with respect to that Company to permit the further solicitation of proxies.</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Votes Required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PNNT, the election of a director to the Board of the Company requires the affirmative vote of a majority of the Company’s outstanding shares of Common Stock. If you vote “Withhold Authority” with respect to a nominee, your shares will not be voted with respect to the person indicated. Because a director is elected by a majority of the votes of the outstanding Common Stock of PNNT, votes to withhold authority, as well as abstentions and broker non-votes (as discussed below) or no votes, will have the effect of a vote against the nominee.</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PFLT, the election of a director to the Board of the Company requires the affirmative vote of a majority of the votes cast for and affirmatively withheld at the Meeting in person or by proxy. If you vote “Withhold Authority” with respect to a nominee, your shares will not be voted with respect to the person indicated. Votes to withhold authority with respect to a nominee will be included in determining the number of votes cast and, as a result, will have the effect of a vote against the nominee. Abstentions and broker non-votes will have no effect on the result of the vote.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of a Company may not cumulate their votes.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388"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Ratification of Independent Registered Public Accounting Firm</w:t>
      </w:r>
    </w:p>
    <w:p>
      <w:pPr>
        <w:spacing w:after="0" w:line="9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For each Company, the affirmative vote of a majority of the votes of that Company cast at the Meeting in person or by proxy is required to ratify the appointment of KPMG LLP to serve as such Company’s independent registered public accounting firm. Abstentions will not be included in determining the number of votes cast and, as a result, will have no effect on this proposal.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96"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 xml:space="preserve">Broker non-votes are votes that are not cast by a broker or other nominee on a non-routine matter because the shares entitled to cast the vote are held in street name, the broker lacks discretionary authority to vote the shares and the broker has not received voting instructions from the beneficial owner. Proposal 1 is a non-routine matter for both Companies. As a result, if you hold shares of a Company’s Common Stock in “street name” through a broker, bank or other nominee, your broker, bank or nominee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 permitted to exercise voting discretion with respect to Proposal 1 for that Company. Thus, if you are a Stockholder of PNNT and you do not give your broker or nominee specific instructions on how to vote for you or do not vote for yourself in accordance with the voting instructions in the Notice of Internet Availability of Proxy Materials or by requesting hard copy proxy materials from us and returning a proxy card or by other arrangement with your broker or nominee, your shares will have the effect of a vote against Proposal 1 for PNNT. </w:t>
      </w:r>
      <w:r>
        <w:rPr>
          <w:rFonts w:ascii="Arial" w:cs="Arial" w:eastAsia="Arial" w:hAnsi="Arial"/>
          <w:sz w:val="16"/>
          <w:szCs w:val="16"/>
          <w:b w:val="1"/>
          <w:bCs w:val="1"/>
          <w:color w:val="auto"/>
        </w:rPr>
        <w:t>For this reason, it is imperative that</w:t>
      </w:r>
    </w:p>
    <w:p>
      <w:pPr>
        <w:ind w:right="80"/>
        <w:spacing w:after="0" w:line="295" w:lineRule="auto"/>
        <w:rPr>
          <w:sz w:val="20"/>
          <w:szCs w:val="20"/>
          <w:color w:val="auto"/>
        </w:rPr>
      </w:pPr>
      <w:r>
        <w:rPr>
          <w:rFonts w:ascii="Arial" w:cs="Arial" w:eastAsia="Arial" w:hAnsi="Arial"/>
          <w:sz w:val="16"/>
          <w:szCs w:val="16"/>
          <w:b w:val="1"/>
          <w:bCs w:val="1"/>
          <w:color w:val="auto"/>
        </w:rPr>
        <w:t>Stockholders of PNNT vote or provide instructions to their brokers as to how to vote with respect to Proposal 1. If you are a Stockholder of PFLT and you do not give your broker or nominee specific instructions on how to vote for you or do not vote yourself in accordance with the voting instructions in the Notice of Internet Availability of Proxy Materials or by requesting hard copy proxy materials from us and returning a proxy card or by other arrangement with your broker or nominee, your shares will not be counted as votes cast and will have no effect on the result of Proposal 1.</w:t>
      </w:r>
    </w:p>
    <w:p>
      <w:pPr>
        <w:spacing w:after="0" w:line="11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Proposal 2 is a routine matter for both Companies. As a result, if you beneficially own shares of Common Stock of a Company and you do not provide your broker or nominee with proxy instructions, either by voting in accordance with the instructions on the Notice of Internet Availability of Proxy Materials or by requesting hard copy proxy materials from us and returning a proxy card or by other arrangement with your broker or nominee, your broker or nominee will be able to vote your shares for you on this routine matter.</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Adjournment and Additional Solicitation. </w:t>
      </w:r>
      <w:r>
        <w:rPr>
          <w:rFonts w:ascii="Arial" w:cs="Arial" w:eastAsia="Arial" w:hAnsi="Arial"/>
          <w:sz w:val="16"/>
          <w:szCs w:val="16"/>
          <w:color w:val="auto"/>
        </w:rPr>
        <w:t>As to each Company, if there appear not to be enough votes to approve a proposal at the Meeting, the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Meeting or the Stockholders of such Company who are represented in person or by proxy may vote to adjourn the Meeting with respect to that Company to permit further solicitation of proxies. If a vote to adjourn is submitted to the Stockholders, Messrs. Adam Bernstein and Jeffrey Flug are the persons named as proxies for PNNT and will vote proxies held by them for such adjournment, unless marked to be voted against any proposal for which an adjournment is sought, to permit the further solicitation of proxies. Mr. Arthur H. Penn is the person named as proxy for PFLT and will vote proxies held by him for such adjournment, unless marked to be voted against any proposal for which an adjournment is sought, to permit the further solicitation of proxies.</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Stockholder vote may be taken on any of the proposals in this Joint Proxy Statement prior to any such adjournment if there are sufficient votes for approval of such proposal.</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Each Company will bear the expense of its solicitation of proxies for the Meeting, including the cost of preparing and posting this Joint Proxy Statement and the Annual Reports to the Internet and the cost of mailing the Notice of Annual Meeting, the Notice of Internet Availability of Proxy Materials and any requested proxy materials to its respective Stockholders. The Companies intend to use the services of Broadridge Financial Solutions, Inc., a leading provider of investor communications solutions, to aid in the distribution and collection of proxy votes. The Companies expect to pay market rates for such services. If brokers, trustees or fiduciaries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other institutions holding shares in their own names or in the names of their nominee, which shares are beneficially owned by others, forward the Joint Proxy Statement and relevant proxy card(s) to, and obtain proxies from, such beneficial owners, the applicable Company will reimburse such persons for their reasonable expenses in so doing.</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the solicitation of proxies by the use of the Internet, proxies may be solicited in person and/or by telephone, mail or facsimile transmission by directors or officers of the Companies, officers or employees of PennantPark Investment Advisers, LLC, the Companies’ investment adviser (the “Adviser”), PennantPark Investment Administration, LLC, the Companies’ administrator (the “Administrator”), and/or by a retained solicitor. No additional compensation will be paid to such directors, officers or regular employees for such services. If the Companies retain a solicitor, the Companies have estimated that they will pay an aggregate of approximately $60,000 for such services. If the Companies engage a solicitor, you could be contacted by telephone on behalf of your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18"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Stockholders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www.proxyvote.com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also will receive upon request an e-mail confirming their instructions.</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Notice of Internet Availability of Proxy Materials.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and returning it, by mail, in time to be received before the Meeting, by attending the Meeting or by a notice, provided in writing and signed by the Stockholder, delivered to the Companies’ Secretary on any business day before the date of the Meeting.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the Record Dates, to our knowledge, no person would be deemed to “control” (as such term is defined in the Investment Company Act of 1940, as amended (the “1940 Act”)) either Company.</w:t>
      </w:r>
    </w:p>
    <w:p>
      <w:pPr>
        <w:spacing w:after="0" w:line="132" w:lineRule="exact"/>
        <w:rPr>
          <w:sz w:val="20"/>
          <w:szCs w:val="20"/>
          <w:color w:val="auto"/>
        </w:rPr>
      </w:pPr>
    </w:p>
    <w:p>
      <w:pPr>
        <w:jc w:val="both"/>
        <w:ind w:right="180" w:firstLine="456"/>
        <w:spacing w:after="0" w:line="370" w:lineRule="auto"/>
        <w:rPr>
          <w:sz w:val="20"/>
          <w:szCs w:val="20"/>
          <w:color w:val="auto"/>
        </w:rPr>
      </w:pPr>
      <w:r>
        <w:rPr>
          <w:rFonts w:ascii="Arial" w:cs="Arial" w:eastAsia="Arial" w:hAnsi="Arial"/>
          <w:sz w:val="15"/>
          <w:szCs w:val="15"/>
          <w:color w:val="auto"/>
        </w:rPr>
        <w:t>Each Company’s Board is composed of the same individuals. Our directors consist of an interested director and four independent directors. An interested director is an “interested person” of the Companies, as defined in the 1940 Act, and independent directors are all other directors (the “Independent Directors”).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ind w:right="2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as of December 5, 2012, certain ownership information with respect to each Company’s Common Stock for those persons who directly or indirectly own, control or hold with the power to vote, 5 percent or more of a Company’s outstanding Common Stock and all officers and directors of the Companies, as a group.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4"/>
          </w:tcPr>
          <w:p>
            <w:pPr>
              <w:jc w:val="center"/>
              <w:ind w:right="200"/>
              <w:spacing w:after="0"/>
              <w:rPr>
                <w:sz w:val="20"/>
                <w:szCs w:val="20"/>
                <w:color w:val="auto"/>
              </w:rPr>
            </w:pPr>
            <w:r>
              <w:rPr>
                <w:rFonts w:ascii="Arial" w:cs="Arial" w:eastAsia="Arial" w:hAnsi="Arial"/>
                <w:sz w:val="14"/>
                <w:szCs w:val="14"/>
                <w:color w:val="auto"/>
                <w:w w:val="84"/>
              </w:rPr>
              <w:t>Percentage of</w:t>
            </w:r>
          </w:p>
        </w:tc>
        <w:tc>
          <w:tcPr>
            <w:tcW w:w="0" w:type="dxa"/>
            <w:vAlign w:val="bottom"/>
          </w:tcPr>
          <w:p>
            <w:pPr>
              <w:spacing w:after="0"/>
              <w:rPr>
                <w:sz w:val="1"/>
                <w:szCs w:val="1"/>
                <w:color w:val="auto"/>
              </w:rPr>
            </w:pPr>
          </w:p>
        </w:tc>
      </w:tr>
      <w:tr>
        <w:trPr>
          <w:trHeight w:val="149"/>
        </w:trPr>
        <w:tc>
          <w:tcPr>
            <w:tcW w:w="6400" w:type="dxa"/>
            <w:vAlign w:val="bottom"/>
            <w:gridSpan w:val="3"/>
            <w:vMerge w:val="restart"/>
          </w:tcPr>
          <w:p>
            <w:pPr>
              <w:spacing w:after="0"/>
              <w:rPr>
                <w:sz w:val="20"/>
                <w:szCs w:val="20"/>
                <w:color w:val="auto"/>
              </w:rPr>
            </w:pPr>
            <w:r>
              <w:rPr>
                <w:rFonts w:ascii="Arial" w:cs="Arial" w:eastAsia="Arial" w:hAnsi="Arial"/>
                <w:sz w:val="14"/>
                <w:szCs w:val="14"/>
                <w:color w:val="auto"/>
              </w:rPr>
              <w:t>Name and address</w:t>
            </w:r>
            <w:r>
              <w:rPr>
                <w:rFonts w:ascii="Arial" w:cs="Arial" w:eastAsia="Arial" w:hAnsi="Arial"/>
                <w:sz w:val="22"/>
                <w:szCs w:val="22"/>
                <w:color w:val="auto"/>
                <w:vertAlign w:val="superscript"/>
              </w:rPr>
              <w:t>(1)</w:t>
            </w:r>
          </w:p>
        </w:tc>
        <w:tc>
          <w:tcPr>
            <w:tcW w:w="1860" w:type="dxa"/>
            <w:vAlign w:val="bottom"/>
            <w:gridSpan w:val="2"/>
            <w:vMerge w:val="restart"/>
          </w:tcPr>
          <w:p>
            <w:pPr>
              <w:ind w:left="260"/>
              <w:spacing w:after="0"/>
              <w:rPr>
                <w:sz w:val="20"/>
                <w:szCs w:val="20"/>
                <w:color w:val="auto"/>
              </w:rPr>
            </w:pPr>
            <w:r>
              <w:rPr>
                <w:rFonts w:ascii="Arial" w:cs="Arial" w:eastAsia="Arial" w:hAnsi="Arial"/>
                <w:sz w:val="14"/>
                <w:szCs w:val="14"/>
                <w:color w:val="auto"/>
              </w:rPr>
              <w:t>Type of ownership</w:t>
            </w:r>
            <w:r>
              <w:rPr>
                <w:rFonts w:ascii="Arial" w:cs="Arial" w:eastAsia="Arial" w:hAnsi="Arial"/>
                <w:sz w:val="22"/>
                <w:szCs w:val="22"/>
                <w:color w:val="auto"/>
                <w:vertAlign w:val="superscript"/>
              </w:rPr>
              <w:t>(5)</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89"/>
              </w:rPr>
              <w:t>Common Stock</w:t>
            </w:r>
          </w:p>
        </w:tc>
        <w:tc>
          <w:tcPr>
            <w:tcW w:w="0" w:type="dxa"/>
            <w:vAlign w:val="bottom"/>
          </w:tcPr>
          <w:p>
            <w:pPr>
              <w:spacing w:after="0"/>
              <w:rPr>
                <w:sz w:val="1"/>
                <w:szCs w:val="1"/>
                <w:color w:val="auto"/>
              </w:rPr>
            </w:pPr>
          </w:p>
        </w:tc>
      </w:tr>
      <w:tr>
        <w:trPr>
          <w:trHeight w:val="153"/>
        </w:trPr>
        <w:tc>
          <w:tcPr>
            <w:tcW w:w="6400" w:type="dxa"/>
            <w:vAlign w:val="bottom"/>
            <w:gridSpan w:val="3"/>
            <w:vMerge w:val="continue"/>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1860" w:type="dxa"/>
            <w:vAlign w:val="bottom"/>
            <w:gridSpan w:val="4"/>
          </w:tcPr>
          <w:p>
            <w:pPr>
              <w:ind w:left="400"/>
              <w:spacing w:after="0" w:line="146" w:lineRule="exact"/>
              <w:rPr>
                <w:sz w:val="20"/>
                <w:szCs w:val="20"/>
                <w:color w:val="auto"/>
              </w:rPr>
            </w:pPr>
            <w:r>
              <w:rPr>
                <w:rFonts w:ascii="Arial" w:cs="Arial" w:eastAsia="Arial" w:hAnsi="Arial"/>
                <w:sz w:val="14"/>
                <w:szCs w:val="14"/>
                <w:color w:val="auto"/>
              </w:rPr>
              <w:t>Shares Owned</w:t>
            </w:r>
          </w:p>
        </w:tc>
        <w:tc>
          <w:tcPr>
            <w:tcW w:w="1300" w:type="dxa"/>
            <w:vAlign w:val="bottom"/>
            <w:gridSpan w:val="4"/>
          </w:tcPr>
          <w:p>
            <w:pPr>
              <w:jc w:val="center"/>
              <w:ind w:right="200"/>
              <w:spacing w:after="0" w:line="146" w:lineRule="exact"/>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524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gridSpan w:val="2"/>
          </w:tcPr>
          <w:p>
            <w:pPr>
              <w:ind w:left="140"/>
              <w:spacing w:after="0" w:line="149" w:lineRule="exact"/>
              <w:rPr>
                <w:sz w:val="20"/>
                <w:szCs w:val="20"/>
                <w:color w:val="auto"/>
              </w:rPr>
            </w:pPr>
            <w:r>
              <w:rPr>
                <w:rFonts w:ascii="Arial" w:cs="Arial" w:eastAsia="Arial" w:hAnsi="Arial"/>
                <w:sz w:val="14"/>
                <w:szCs w:val="14"/>
                <w:color w:val="auto"/>
              </w:rPr>
              <w:t>PNNT</w:t>
            </w:r>
          </w:p>
        </w:tc>
        <w:tc>
          <w:tcPr>
            <w:tcW w:w="620" w:type="dxa"/>
            <w:vAlign w:val="bottom"/>
            <w:tcBorders>
              <w:top w:val="single" w:sz="8" w:color="auto"/>
            </w:tcBorders>
          </w:tcPr>
          <w:p>
            <w:pPr>
              <w:jc w:val="right"/>
              <w:ind w:right="74"/>
              <w:spacing w:after="0" w:line="149" w:lineRule="exact"/>
              <w:rPr>
                <w:sz w:val="20"/>
                <w:szCs w:val="20"/>
                <w:color w:val="auto"/>
              </w:rPr>
            </w:pPr>
            <w:r>
              <w:rPr>
                <w:rFonts w:ascii="Arial" w:cs="Arial" w:eastAsia="Arial" w:hAnsi="Arial"/>
                <w:sz w:val="14"/>
                <w:szCs w:val="14"/>
                <w:color w:val="auto"/>
              </w:rPr>
              <w:t>PFLT</w:t>
            </w:r>
          </w:p>
        </w:tc>
        <w:tc>
          <w:tcPr>
            <w:tcW w:w="300" w:type="dxa"/>
            <w:vAlign w:val="bottom"/>
          </w:tcPr>
          <w:p>
            <w:pPr>
              <w:spacing w:after="0"/>
              <w:rPr>
                <w:sz w:val="12"/>
                <w:szCs w:val="12"/>
                <w:color w:val="auto"/>
              </w:rPr>
            </w:pPr>
          </w:p>
        </w:tc>
        <w:tc>
          <w:tcPr>
            <w:tcW w:w="780" w:type="dxa"/>
            <w:vAlign w:val="bottom"/>
            <w:tcBorders>
              <w:top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color w:val="auto"/>
                <w:w w:val="94"/>
              </w:rPr>
              <w:t>PNNT</w:t>
            </w:r>
          </w:p>
        </w:tc>
        <w:tc>
          <w:tcPr>
            <w:tcW w:w="3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81"/>
              </w:rPr>
              <w:t>PFLT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Sherleigh Associates LLC</w:t>
            </w:r>
          </w:p>
        </w:tc>
        <w:tc>
          <w:tcPr>
            <w:tcW w:w="16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660 Madison Avenue</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10021</w:t>
            </w:r>
          </w:p>
        </w:tc>
        <w:tc>
          <w:tcPr>
            <w:tcW w:w="1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354,893</w:t>
            </w:r>
          </w:p>
        </w:tc>
        <w:tc>
          <w:tcPr>
            <w:tcW w:w="7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3"/>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CCEEFF"/>
          </w:tcPr>
          <w:p>
            <w:pPr>
              <w:jc w:val="center"/>
              <w:ind w:left="19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186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tcPr>
          <w:p>
            <w:pPr>
              <w:jc w:val="right"/>
              <w:spacing w:after="0"/>
              <w:rPr>
                <w:sz w:val="20"/>
                <w:szCs w:val="20"/>
                <w:color w:val="auto"/>
              </w:rPr>
            </w:pPr>
            <w:r>
              <w:rPr>
                <w:rFonts w:ascii="Arial" w:cs="Arial" w:eastAsia="Arial" w:hAnsi="Arial"/>
                <w:sz w:val="18"/>
                <w:szCs w:val="18"/>
                <w:color w:val="auto"/>
              </w:rPr>
              <w:t>12,265</w:t>
            </w:r>
          </w:p>
        </w:tc>
        <w:tc>
          <w:tcPr>
            <w:tcW w:w="3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jc w:val="center"/>
              <w:ind w:left="199"/>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1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141,388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center"/>
              <w:ind w:left="19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186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113,482</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29,500</w:t>
            </w:r>
          </w:p>
        </w:tc>
        <w:tc>
          <w:tcPr>
            <w:tcW w:w="360" w:type="dxa"/>
            <w:vAlign w:val="bottom"/>
          </w:tcPr>
          <w:p>
            <w:pPr>
              <w:jc w:val="center"/>
              <w:ind w:left="199"/>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(3)(4)</w:t>
            </w:r>
          </w:p>
        </w:tc>
        <w:tc>
          <w:tcPr>
            <w:tcW w:w="186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520,774</w:t>
            </w:r>
          </w:p>
        </w:tc>
        <w:tc>
          <w:tcPr>
            <w:tcW w:w="3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667</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0.8%</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Aviv Efrat</w:t>
            </w:r>
          </w:p>
        </w:tc>
        <w:tc>
          <w:tcPr>
            <w:tcW w:w="186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tcPr>
          <w:p>
            <w:pPr>
              <w:jc w:val="right"/>
              <w:spacing w:after="0"/>
              <w:rPr>
                <w:sz w:val="20"/>
                <w:szCs w:val="20"/>
                <w:color w:val="auto"/>
              </w:rPr>
            </w:pPr>
            <w:r>
              <w:rPr>
                <w:rFonts w:ascii="Arial" w:cs="Arial" w:eastAsia="Arial" w:hAnsi="Arial"/>
                <w:sz w:val="18"/>
                <w:szCs w:val="18"/>
                <w:color w:val="auto"/>
              </w:rPr>
              <w:t>43,515</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5,750</w:t>
            </w:r>
          </w:p>
        </w:tc>
        <w:tc>
          <w:tcPr>
            <w:tcW w:w="360" w:type="dxa"/>
            <w:vAlign w:val="bottom"/>
          </w:tcPr>
          <w:p>
            <w:pPr>
              <w:jc w:val="center"/>
              <w:ind w:left="199"/>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920,395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40,917</w:t>
            </w: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1.3%</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5"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of PNNT held by JAM Investments, LLC.</w:t>
      </w:r>
    </w:p>
    <w:p>
      <w:pPr>
        <w:ind w:left="460" w:right="18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Penn is the Managing Member of the Adviser and may therefore be deemed to own beneficially the 337,374 shares of PNNT and 667 shares of PFLT held by the Adviser.</w:t>
      </w:r>
    </w:p>
    <w:p>
      <w:pPr>
        <w:ind w:left="460" w:right="4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Adviser paid to PFLT’s underwriters 2% of the sales load, or $2.1 million in the aggregate, with respect to the initial public offering and exercise of the over-allotment option of shares of PFLT’s Common Stock. PFLT (and, indirectly, its Stockholders) is obligated to repay this amount if certain conditions occur. If one or more of these conditions does not occur on or before April 7, 2014, PFLT will not be obligated to repay this amount. PFLT will repay such amount to the Adviser in cash, and the Adviser has agreed to use such payment to purchase shares of PFLT’s Common Stock in the secondary market.</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8"/>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Pursuant to Section 16(a) of the Securities Exchange Act of 1934, as amended (the “Exchange Act”), each Company’s directors and other executive officer and any persons holding more than 10% of that Company’s Common Stock are required to report their beneficial ownership and any changes therein to the SEC and the Company. Specific due dates for those reports have been established, and the Companies are required to report herein any failure to file such reports by those due dates. Based on the Companies’ review of Forms 3, 4 and 5 filed by such persons and information provided by the Companies’ directors and other executive officer, the Companies believe that, during the fiscal year ended September 30, 2012, all Section 16(a) filing requirements applicable to such persons were met in a timely manner.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Dollar Range of Securities Beneficially Owned by Directors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dollar range of each Company’s Common Stock beneficially owned by each of our directors as of December 5,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to beneficial ownership is based on information furnished to the Companies by such persons.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Directors of the Companies</w:t>
            </w:r>
          </w:p>
        </w:tc>
        <w:tc>
          <w:tcPr>
            <w:tcW w:w="4760" w:type="dxa"/>
            <w:vAlign w:val="bottom"/>
            <w:tcBorders>
              <w:bottom w:val="single" w:sz="8" w:color="auto"/>
            </w:tcBorders>
            <w:gridSpan w:val="5"/>
          </w:tcPr>
          <w:p>
            <w:pPr>
              <w:ind w:left="1540"/>
              <w:spacing w:after="0"/>
              <w:rPr>
                <w:sz w:val="20"/>
                <w:szCs w:val="20"/>
                <w:color w:val="auto"/>
              </w:rPr>
            </w:pPr>
            <w:r>
              <w:rPr>
                <w:rFonts w:ascii="Arial" w:cs="Arial" w:eastAsia="Arial" w:hAnsi="Arial"/>
                <w:sz w:val="14"/>
                <w:szCs w:val="14"/>
                <w:b w:val="1"/>
                <w:bCs w:val="1"/>
                <w:color w:val="auto"/>
                <w:w w:val="85"/>
              </w:rPr>
              <w:t>Dollar Range of the Common Stock of the Companies</w:t>
            </w:r>
            <w:r>
              <w:rPr>
                <w:rFonts w:ascii="Arial" w:cs="Arial" w:eastAsia="Arial" w:hAnsi="Arial"/>
                <w:sz w:val="22"/>
                <w:szCs w:val="22"/>
                <w:b w:val="1"/>
                <w:bCs w:val="1"/>
                <w:color w:val="auto"/>
                <w:w w:val="85"/>
                <w:vertAlign w:val="superscript"/>
              </w:rPr>
              <w:t>(1)</w:t>
            </w:r>
          </w:p>
        </w:tc>
        <w:tc>
          <w:tcPr>
            <w:tcW w:w="1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Independent directors</w:t>
            </w:r>
          </w:p>
        </w:tc>
        <w:tc>
          <w:tcPr>
            <w:tcW w:w="2420" w:type="dxa"/>
            <w:vAlign w:val="bottom"/>
            <w:gridSpan w:val="2"/>
          </w:tcPr>
          <w:p>
            <w:pPr>
              <w:jc w:val="center"/>
              <w:ind w:right="740"/>
              <w:spacing w:after="0" w:line="142" w:lineRule="exact"/>
              <w:rPr>
                <w:sz w:val="20"/>
                <w:szCs w:val="20"/>
                <w:color w:val="auto"/>
              </w:rPr>
            </w:pPr>
            <w:r>
              <w:rPr>
                <w:rFonts w:ascii="Arial" w:cs="Arial" w:eastAsia="Arial" w:hAnsi="Arial"/>
                <w:sz w:val="14"/>
                <w:szCs w:val="14"/>
                <w:b w:val="1"/>
                <w:bCs w:val="1"/>
                <w:color w:val="auto"/>
                <w:w w:val="94"/>
              </w:rPr>
              <w:t>PNNT</w:t>
            </w:r>
          </w:p>
        </w:tc>
        <w:tc>
          <w:tcPr>
            <w:tcW w:w="2340" w:type="dxa"/>
            <w:vAlign w:val="bottom"/>
            <w:gridSpan w:val="3"/>
          </w:tcPr>
          <w:p>
            <w:pPr>
              <w:jc w:val="center"/>
              <w:ind w:right="760"/>
              <w:spacing w:after="0" w:line="142" w:lineRule="exact"/>
              <w:rPr>
                <w:sz w:val="20"/>
                <w:szCs w:val="20"/>
                <w:color w:val="auto"/>
              </w:rPr>
            </w:pPr>
            <w:r>
              <w:rPr>
                <w:rFonts w:ascii="Arial" w:cs="Arial" w:eastAsia="Arial" w:hAnsi="Arial"/>
                <w:sz w:val="14"/>
                <w:szCs w:val="14"/>
                <w:b w:val="1"/>
                <w:bCs w:val="1"/>
                <w:color w:val="auto"/>
                <w:w w:val="97"/>
              </w:rPr>
              <w:t>PFLT</w:t>
            </w:r>
          </w:p>
        </w:tc>
        <w:tc>
          <w:tcPr>
            <w:tcW w:w="1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$500,001 - $1,000,000</w:t>
            </w:r>
          </w:p>
        </w:tc>
        <w:tc>
          <w:tcPr>
            <w:tcW w:w="7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$50,001 - $100,000</w:t>
            </w:r>
          </w:p>
        </w:tc>
        <w:tc>
          <w:tcPr>
            <w:tcW w:w="7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Marshall Brozost</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w w:val="93"/>
              </w:rPr>
              <w:t>$100,001 - $500,000</w:t>
            </w:r>
          </w:p>
        </w:tc>
        <w:tc>
          <w:tcPr>
            <w:tcW w:w="720" w:type="dxa"/>
            <w:vAlign w:val="bottom"/>
          </w:tcPr>
          <w:p>
            <w:pPr>
              <w:spacing w:after="0"/>
              <w:rPr>
                <w:sz w:val="18"/>
                <w:szCs w:val="18"/>
                <w:color w:val="auto"/>
              </w:rPr>
            </w:pPr>
          </w:p>
        </w:tc>
        <w:tc>
          <w:tcPr>
            <w:tcW w:w="2340" w:type="dxa"/>
            <w:vAlign w:val="bottom"/>
            <w:gridSpan w:val="3"/>
          </w:tcPr>
          <w:p>
            <w:pPr>
              <w:jc w:val="center"/>
              <w:ind w:right="760"/>
              <w:spacing w:after="0"/>
              <w:rPr>
                <w:sz w:val="20"/>
                <w:szCs w:val="20"/>
                <w:color w:val="auto"/>
              </w:rPr>
            </w:pPr>
            <w:r>
              <w:rPr>
                <w:rFonts w:ascii="Arial" w:cs="Arial" w:eastAsia="Arial" w:hAnsi="Arial"/>
                <w:sz w:val="18"/>
                <w:szCs w:val="18"/>
                <w:color w:val="auto"/>
                <w:w w:val="88"/>
              </w:rPr>
              <w:t>None</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242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87"/>
              </w:rPr>
              <w:t>Over $1,000,000</w:t>
            </w:r>
          </w:p>
        </w:tc>
        <w:tc>
          <w:tcPr>
            <w:tcW w:w="2340" w:type="dxa"/>
            <w:vAlign w:val="bottom"/>
            <w:gridSpan w:val="3"/>
            <w:shd w:val="clear" w:color="auto" w:fill="CCEEFF"/>
          </w:tcPr>
          <w:p>
            <w:pPr>
              <w:jc w:val="center"/>
              <w:ind w:right="760"/>
              <w:spacing w:after="0"/>
              <w:rPr>
                <w:sz w:val="20"/>
                <w:szCs w:val="20"/>
                <w:color w:val="auto"/>
              </w:rPr>
            </w:pPr>
            <w:r>
              <w:rPr>
                <w:rFonts w:ascii="Arial" w:cs="Arial" w:eastAsia="Arial" w:hAnsi="Arial"/>
                <w:sz w:val="18"/>
                <w:szCs w:val="18"/>
                <w:color w:val="auto"/>
                <w:w w:val="88"/>
              </w:rPr>
              <w:t>None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Samuel L. Katz</w:t>
            </w:r>
          </w:p>
        </w:tc>
        <w:tc>
          <w:tcPr>
            <w:tcW w:w="2420" w:type="dxa"/>
            <w:vAlign w:val="bottom"/>
            <w:gridSpan w:val="2"/>
          </w:tcPr>
          <w:p>
            <w:pPr>
              <w:jc w:val="center"/>
              <w:ind w:right="720"/>
              <w:spacing w:after="0"/>
              <w:rPr>
                <w:sz w:val="20"/>
                <w:szCs w:val="20"/>
                <w:color w:val="auto"/>
              </w:rPr>
            </w:pPr>
            <w:r>
              <w:rPr>
                <w:rFonts w:ascii="Arial" w:cs="Arial" w:eastAsia="Arial" w:hAnsi="Arial"/>
                <w:sz w:val="18"/>
                <w:szCs w:val="18"/>
                <w:color w:val="auto"/>
                <w:w w:val="87"/>
              </w:rPr>
              <w:t>Over $1,000,000</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86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(3)(4)</w:t>
            </w:r>
          </w:p>
        </w:tc>
        <w:tc>
          <w:tcPr>
            <w:tcW w:w="2420" w:type="dxa"/>
            <w:vAlign w:val="bottom"/>
            <w:gridSpan w:val="2"/>
          </w:tcPr>
          <w:p>
            <w:pPr>
              <w:jc w:val="center"/>
              <w:ind w:right="720"/>
              <w:spacing w:after="0"/>
              <w:rPr>
                <w:sz w:val="20"/>
                <w:szCs w:val="20"/>
                <w:color w:val="auto"/>
              </w:rPr>
            </w:pPr>
            <w:r>
              <w:rPr>
                <w:rFonts w:ascii="Arial" w:cs="Arial" w:eastAsia="Arial" w:hAnsi="Arial"/>
                <w:sz w:val="18"/>
                <w:szCs w:val="18"/>
                <w:color w:val="auto"/>
                <w:w w:val="87"/>
              </w:rPr>
              <w:t>Over $1,000,000</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$1 - $10,000</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Also reflects holdings of the Adviser.</w:t>
      </w:r>
    </w:p>
    <w:p>
      <w:pPr>
        <w:spacing w:after="0" w:line="9" w:lineRule="exact"/>
        <w:rPr>
          <w:rFonts w:ascii="Arial" w:cs="Arial" w:eastAsia="Arial" w:hAnsi="Arial"/>
          <w:sz w:val="18"/>
          <w:szCs w:val="18"/>
          <w:color w:val="auto"/>
        </w:rPr>
      </w:pPr>
    </w:p>
    <w:p>
      <w:pPr>
        <w:ind w:left="460" w:hanging="452"/>
        <w:spacing w:after="0" w:line="29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Adviser paid to PFLT’s underwriters 2% of the sales load, or $2.1 million in the aggregate, with respect to the initial public offering and exercise of the over-allotment option of shares of PFLT’s Common Stock. PFLT (and, indirectly, its Stockholders) is obligated to repay this amount if certain conditions occur. If one or more of these conditions does not occur on or before April 7, 2014, PFLT will not be obligated to repay this amount. PFLT will repay such amount to the Adviser in cash, and the Adviser has agreed to use such payment to purchase shares of PFLT’s Common Stock in the secondary market.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DIRECTORS</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accordance with its bylaws, each of the Companies currently has five members on its Board. Directors are divided into three classes and are elected for staggered terms of three years each, with a term of office of one of the three classes of directors expiring each year. Each director will hold office for the term to which he is elected or until his successor is duly elected and qualifies. After this election, the terms of Class I, II and III will expire as follows: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Companies</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I</w:t>
            </w: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Class II</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Class III</w:t>
            </w:r>
          </w:p>
        </w:tc>
      </w:tr>
      <w:tr>
        <w:trPr>
          <w:trHeight w:val="195"/>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3"/>
              </w:rPr>
              <w:t>PennantPark</w:t>
            </w:r>
          </w:p>
        </w:tc>
        <w:tc>
          <w:tcPr>
            <w:tcW w:w="6480" w:type="dxa"/>
            <w:vAlign w:val="bottom"/>
          </w:tcPr>
          <w:p>
            <w:pPr>
              <w:ind w:left="240"/>
              <w:spacing w:after="0" w:line="188" w:lineRule="exact"/>
              <w:rPr>
                <w:sz w:val="20"/>
                <w:szCs w:val="20"/>
                <w:color w:val="auto"/>
              </w:rPr>
            </w:pPr>
            <w:r>
              <w:rPr>
                <w:rFonts w:ascii="Arial" w:cs="Arial" w:eastAsia="Arial" w:hAnsi="Arial"/>
                <w:sz w:val="18"/>
                <w:szCs w:val="18"/>
                <w:color w:val="auto"/>
              </w:rPr>
              <w:t>Investment Corporation</w:t>
            </w:r>
          </w:p>
        </w:tc>
        <w:tc>
          <w:tcPr>
            <w:tcW w:w="4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w w:val="89"/>
              </w:rPr>
              <w:t>2014</w:t>
            </w:r>
          </w:p>
        </w:tc>
        <w:tc>
          <w:tcPr>
            <w:tcW w:w="480" w:type="dxa"/>
            <w:vAlign w:val="bottom"/>
          </w:tcPr>
          <w:p>
            <w:pPr>
              <w:spacing w:after="0"/>
              <w:rPr>
                <w:sz w:val="16"/>
                <w:szCs w:val="16"/>
                <w:color w:val="auto"/>
              </w:rPr>
            </w:pPr>
          </w:p>
        </w:tc>
        <w:tc>
          <w:tcPr>
            <w:tcW w:w="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4"/>
              </w:rPr>
              <w:t>2015</w:t>
            </w:r>
          </w:p>
        </w:tc>
        <w:tc>
          <w:tcPr>
            <w:tcW w:w="480" w:type="dxa"/>
            <w:vAlign w:val="bottom"/>
          </w:tcPr>
          <w:p>
            <w:pPr>
              <w:spacing w:after="0"/>
              <w:rPr>
                <w:sz w:val="16"/>
                <w:szCs w:val="16"/>
                <w:color w:val="auto"/>
              </w:rPr>
            </w:pPr>
          </w:p>
        </w:tc>
        <w:tc>
          <w:tcPr>
            <w:tcW w:w="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4"/>
              </w:rPr>
              <w:t>2016</w:t>
            </w: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PennantPark Floating Rate Capital Ltd.</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2015</w:t>
            </w:r>
          </w:p>
        </w:tc>
        <w:tc>
          <w:tcPr>
            <w:tcW w:w="4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4"/>
              </w:rPr>
              <w:t>2016</w:t>
            </w:r>
          </w:p>
        </w:tc>
        <w:tc>
          <w:tcPr>
            <w:tcW w:w="4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2014</w:t>
            </w:r>
          </w:p>
        </w:tc>
      </w:tr>
    </w:tbl>
    <w:p>
      <w:pPr>
        <w:spacing w:after="0" w:line="15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Stockholder can vote for, or withhold his or her vote from, any nominee for his or her Company’s Board. In the absence of instructions to the contrary, it is the intention of the persons named as proxies to vote such proxy FOR the election of each nominee named below. If a nominee should decline or be unable to serve as a director, it is intended that the proxy will be voted for the election of such person as is nominated by the relevant Board as a replacement. The Boards have no reason to believe that either of their nominees will be unable or unwilling to serve.</w:t>
      </w:r>
    </w:p>
    <w:p>
      <w:pPr>
        <w:spacing w:after="0" w:line="107" w:lineRule="exact"/>
        <w:rPr>
          <w:sz w:val="20"/>
          <w:szCs w:val="20"/>
          <w:color w:val="auto"/>
        </w:rPr>
      </w:pPr>
    </w:p>
    <w:p>
      <w:pPr>
        <w:ind w:right="800" w:firstLine="456"/>
        <w:spacing w:after="0" w:line="275" w:lineRule="auto"/>
        <w:rPr>
          <w:sz w:val="20"/>
          <w:szCs w:val="20"/>
          <w:color w:val="auto"/>
        </w:rPr>
      </w:pPr>
      <w:r>
        <w:rPr>
          <w:rFonts w:ascii="Arial" w:cs="Arial" w:eastAsia="Arial" w:hAnsi="Arial"/>
          <w:sz w:val="18"/>
          <w:szCs w:val="18"/>
          <w:b w:val="1"/>
          <w:bCs w:val="1"/>
          <w:color w:val="auto"/>
        </w:rPr>
        <w:t>EACH BOARD, INCLUDING ITS INDEPENDENT DIRECTORS, UNANIMOUSLY RECOMMENDS THAT YOU VOTE FOR THE ELECTION OF THE NOMINEES NAMED IN THIS JOINT PROXY STATEMENT.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about the Nominees and Directors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Certain information with respect to the nominees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each Company. The nominees currently serve as directors of each Company.</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Mr. Arthur H. Penn has been nominated for election as a Class III director of PNNT for a three-year term expiring in 2016. Mr. Penn is not being proposed for election pursuant to any agreement or understanding between Mr. Penn and PNNT.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of Mr. Marshall Brozost and Mr. Samuel L. Katz has been nominated for election as a Class I director of PFLT for a two-year term expiring in 2015.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Neither Mr. Brozost nor Mr. Katz is being proposed for election pursuant to any agreement or understanding between either Mr. Brozost or Mr. Katz and PFLT.</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Each of Mr. Adam K. Bernstein and Mr. Jeffrey Flug has been nominated for election as a Class II director of PFLT for a three-year term expiring in 2016. Neither Mr. Bernstein nor Mr. Flug is being proposed for election pursuant to any agreement or understanding between either Mr. Bernstein or Mr. Flug and PFLT.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Nominees for Directors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8"/>
              </w:rPr>
              <w:t>Company,</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 of Office</w:t>
            </w: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Name, Address and Age </w:t>
            </w:r>
            <w:r>
              <w:rPr>
                <w:rFonts w:ascii="Arial" w:cs="Arial" w:eastAsia="Arial" w:hAnsi="Arial"/>
                <w:sz w:val="22"/>
                <w:szCs w:val="22"/>
                <w:b w:val="1"/>
                <w:bCs w:val="1"/>
                <w:color w:val="auto"/>
                <w:vertAlign w:val="superscript"/>
              </w:rPr>
              <w:t>(1)</w:t>
            </w:r>
          </w:p>
        </w:tc>
        <w:tc>
          <w:tcPr>
            <w:tcW w:w="170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Position(s) held</w:t>
            </w:r>
          </w:p>
        </w:tc>
        <w:tc>
          <w:tcPr>
            <w:tcW w:w="1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and Length of</w:t>
            </w:r>
          </w:p>
        </w:tc>
        <w:tc>
          <w:tcPr>
            <w:tcW w:w="0" w:type="dxa"/>
            <w:vAlign w:val="bottom"/>
          </w:tcPr>
          <w:p>
            <w:pPr>
              <w:spacing w:after="0"/>
              <w:rPr>
                <w:sz w:val="1"/>
                <w:szCs w:val="1"/>
                <w:color w:val="auto"/>
              </w:rPr>
            </w:pPr>
          </w:p>
        </w:tc>
      </w:tr>
      <w:tr>
        <w:trPr>
          <w:trHeight w:val="181"/>
        </w:trPr>
        <w:tc>
          <w:tcPr>
            <w:tcW w:w="2540" w:type="dxa"/>
            <w:vAlign w:val="bottom"/>
            <w:gridSpan w:val="2"/>
            <w:vMerge w:val="continue"/>
          </w:tcPr>
          <w:p>
            <w:pPr>
              <w:spacing w:after="0"/>
              <w:rPr>
                <w:sz w:val="15"/>
                <w:szCs w:val="15"/>
                <w:color w:val="auto"/>
              </w:rPr>
            </w:pPr>
          </w:p>
        </w:tc>
        <w:tc>
          <w:tcPr>
            <w:tcW w:w="1700" w:type="dxa"/>
            <w:vAlign w:val="bottom"/>
          </w:tcPr>
          <w:p>
            <w:pPr>
              <w:ind w:left="420"/>
              <w:spacing w:after="0"/>
              <w:rPr>
                <w:sz w:val="20"/>
                <w:szCs w:val="20"/>
                <w:color w:val="auto"/>
              </w:rPr>
            </w:pPr>
            <w:r>
              <w:rPr>
                <w:rFonts w:ascii="Arial" w:cs="Arial" w:eastAsia="Arial" w:hAnsi="Arial"/>
                <w:sz w:val="14"/>
                <w:szCs w:val="14"/>
                <w:b w:val="1"/>
                <w:bCs w:val="1"/>
                <w:color w:val="auto"/>
              </w:rPr>
              <w:t>with Company</w:t>
            </w:r>
          </w:p>
        </w:tc>
        <w:tc>
          <w:tcPr>
            <w:tcW w:w="14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0" w:type="dxa"/>
            <w:vAlign w:val="bottom"/>
          </w:tcPr>
          <w:p>
            <w:pPr>
              <w:spacing w:after="0"/>
              <w:rPr>
                <w:sz w:val="1"/>
                <w:szCs w:val="1"/>
                <w:color w:val="auto"/>
              </w:rPr>
            </w:pPr>
          </w:p>
        </w:tc>
      </w:tr>
      <w:tr>
        <w:trPr>
          <w:trHeight w:val="181"/>
        </w:trPr>
        <w:tc>
          <w:tcPr>
            <w:tcW w:w="16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3"/>
              </w:rPr>
              <w:t>Independent Directors</w:t>
            </w:r>
          </w:p>
        </w:tc>
        <w:tc>
          <w:tcPr>
            <w:tcW w:w="92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Adam K. Bernstein (49)</w:t>
            </w: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PNNT - Class II</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Director since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February 2007;</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Term Expires</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04"/>
        </w:trPr>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PFLT - Class II</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Nominee</w:t>
            </w: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Director since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October 2010;</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Term Expires 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520" w:val="left"/>
          <w:tab w:leader="none" w:pos="4360" w:val="left"/>
        </w:tabs>
        <w:rPr>
          <w:sz w:val="20"/>
          <w:szCs w:val="20"/>
          <w:color w:val="auto"/>
        </w:rPr>
      </w:pPr>
      <w:r>
        <w:rPr>
          <w:rFonts w:ascii="Arial" w:cs="Arial" w:eastAsia="Arial" w:hAnsi="Arial"/>
          <w:sz w:val="18"/>
          <w:szCs w:val="18"/>
          <w:color w:val="auto"/>
        </w:rPr>
        <w:t>Marshall Brozost (45)</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PNNT - Class I</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Director since</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February 2007;</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Term Expires 2014</w:t>
      </w:r>
    </w:p>
    <w:p>
      <w:pPr>
        <w:spacing w:after="0" w:line="97" w:lineRule="exact"/>
        <w:rPr>
          <w:sz w:val="20"/>
          <w:szCs w:val="20"/>
          <w:color w:val="auto"/>
        </w:rPr>
      </w:pPr>
    </w:p>
    <w:p>
      <w:pPr>
        <w:ind w:left="2540"/>
        <w:spacing w:after="0"/>
        <w:tabs>
          <w:tab w:leader="none" w:pos="436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PFLT - Class I</w:t>
      </w:r>
    </w:p>
    <w:p>
      <w:pPr>
        <w:spacing w:after="0" w:line="15" w:lineRule="exact"/>
        <w:rPr>
          <w:sz w:val="20"/>
          <w:szCs w:val="20"/>
          <w:color w:val="auto"/>
        </w:rPr>
      </w:pPr>
    </w:p>
    <w:p>
      <w:pPr>
        <w:ind w:left="2540"/>
        <w:spacing w:after="0"/>
        <w:tabs>
          <w:tab w:leader="none" w:pos="4360" w:val="left"/>
        </w:tabs>
        <w:rPr>
          <w:sz w:val="20"/>
          <w:szCs w:val="20"/>
          <w:color w:val="auto"/>
        </w:rPr>
      </w:pPr>
      <w:r>
        <w:rPr>
          <w:rFonts w:ascii="Arial" w:cs="Arial" w:eastAsia="Arial" w:hAnsi="Arial"/>
          <w:sz w:val="18"/>
          <w:szCs w:val="18"/>
          <w:color w:val="auto"/>
        </w:rPr>
        <w:t>Nominee</w:t>
      </w:r>
      <w:r>
        <w:rPr>
          <w:sz w:val="20"/>
          <w:szCs w:val="20"/>
          <w:color w:val="auto"/>
        </w:rPr>
        <w:tab/>
      </w:r>
      <w:r>
        <w:rPr>
          <w:rFonts w:ascii="Arial" w:cs="Arial" w:eastAsia="Arial" w:hAnsi="Arial"/>
          <w:sz w:val="18"/>
          <w:szCs w:val="18"/>
          <w:color w:val="auto"/>
        </w:rPr>
        <w:t>Director since</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October 2010;</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Term Expires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Directorships</w:t>
            </w: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Held by Director</w:t>
            </w:r>
          </w:p>
        </w:tc>
      </w:tr>
      <w:tr>
        <w:trPr>
          <w:trHeight w:val="149"/>
        </w:trPr>
        <w:tc>
          <w:tcPr>
            <w:tcW w:w="3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Principal</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Nominee for</w:t>
            </w:r>
          </w:p>
        </w:tc>
      </w:tr>
      <w:tr>
        <w:trPr>
          <w:trHeight w:val="149"/>
        </w:trPr>
        <w:tc>
          <w:tcPr>
            <w:tcW w:w="3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Occupation(s)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w:t>
            </w:r>
          </w:p>
        </w:tc>
      </w:tr>
      <w:tr>
        <w:trPr>
          <w:trHeight w:val="134"/>
        </w:trPr>
        <w:tc>
          <w:tcPr>
            <w:tcW w:w="30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During the Past 5</w:t>
            </w: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During the</w:t>
            </w:r>
          </w:p>
        </w:tc>
      </w:tr>
      <w:tr>
        <w:trPr>
          <w:trHeight w:val="189"/>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87"/>
              </w:rPr>
              <w:t xml:space="preserve">Past 5 Years </w:t>
            </w:r>
            <w:r>
              <w:rPr>
                <w:rFonts w:ascii="Arial" w:cs="Arial" w:eastAsia="Arial" w:hAnsi="Arial"/>
                <w:sz w:val="21"/>
                <w:szCs w:val="21"/>
                <w:b w:val="1"/>
                <w:bCs w:val="1"/>
                <w:color w:val="auto"/>
                <w:w w:val="87"/>
                <w:vertAlign w:val="superscript"/>
              </w:rPr>
              <w:t>(2)</w:t>
            </w:r>
          </w:p>
        </w:tc>
      </w:tr>
      <w:tr>
        <w:trPr>
          <w:trHeight w:val="404"/>
        </w:trPr>
        <w:tc>
          <w:tcPr>
            <w:tcW w:w="3060" w:type="dxa"/>
            <w:vAlign w:val="bottom"/>
            <w:gridSpan w:val="2"/>
          </w:tcPr>
          <w:p>
            <w:pPr>
              <w:spacing w:after="0"/>
              <w:rPr>
                <w:sz w:val="20"/>
                <w:szCs w:val="20"/>
                <w:color w:val="auto"/>
              </w:rPr>
            </w:pPr>
            <w:r>
              <w:rPr>
                <w:rFonts w:ascii="Arial" w:cs="Arial" w:eastAsia="Arial" w:hAnsi="Arial"/>
                <w:sz w:val="18"/>
                <w:szCs w:val="18"/>
                <w:color w:val="auto"/>
                <w:w w:val="92"/>
              </w:rPr>
              <w:t>President of The Bernstein Companies, a</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None.</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w w:val="94"/>
              </w:rPr>
              <w:t>Washington, D.C.-based real estate firm</w:t>
            </w:r>
          </w:p>
        </w:tc>
        <w:tc>
          <w:tcPr>
            <w:tcW w:w="18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w w:val="92"/>
              </w:rPr>
              <w:t>that he joined in 1986. Mr. Bernstein also</w:t>
            </w:r>
          </w:p>
        </w:tc>
        <w:tc>
          <w:tcPr>
            <w:tcW w:w="18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serves as the President and Chief</w:t>
            </w:r>
          </w:p>
        </w:tc>
        <w:tc>
          <w:tcPr>
            <w:tcW w:w="18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w w:val="95"/>
              </w:rPr>
              <w:t>Executive Officer of Consortium Atlantic</w:t>
            </w:r>
          </w:p>
        </w:tc>
        <w:tc>
          <w:tcPr>
            <w:tcW w:w="18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w w:val="99"/>
              </w:rPr>
              <w:t>Realty Trust, Inc., a private real estate</w:t>
            </w:r>
          </w:p>
        </w:tc>
        <w:tc>
          <w:tcPr>
            <w:tcW w:w="18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investment trust operating in the Mid-</w:t>
            </w:r>
          </w:p>
        </w:tc>
        <w:tc>
          <w:tcPr>
            <w:tcW w:w="18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Atlantic region since its formation in</w:t>
            </w:r>
          </w:p>
        </w:tc>
        <w:tc>
          <w:tcPr>
            <w:tcW w:w="1820" w:type="dxa"/>
            <w:vAlign w:val="bottom"/>
          </w:tcPr>
          <w:p>
            <w:pPr>
              <w:spacing w:after="0"/>
              <w:rPr>
                <w:sz w:val="18"/>
                <w:szCs w:val="18"/>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Partner at Schulte Roth &amp; Zabel LLP,</w:t>
      </w:r>
      <w:r>
        <w:rPr>
          <w:sz w:val="20"/>
          <w:szCs w:val="20"/>
          <w:color w:val="auto"/>
        </w:rPr>
        <w:tab/>
      </w:r>
      <w:r>
        <w:rPr>
          <w:rFonts w:ascii="Arial" w:cs="Arial" w:eastAsia="Arial" w:hAnsi="Arial"/>
          <w:sz w:val="15"/>
          <w:szCs w:val="15"/>
          <w:color w:val="auto"/>
        </w:rPr>
        <w:t>None.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where he practices in the real estate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private equity groups, since May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 to Schulte Roth &amp; Zabel,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Brozost practiced law at Dewey &amp;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LeBoeuf LLP from 2005 to 2012,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Solomon &amp; Weinberg LLP from 2004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2005 and at O’Melveny &amp; Myers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2001 to 2004.</w:t>
      </w:r>
    </w:p>
    <w:p>
      <w:pPr>
        <w:sectPr>
          <w:pgSz w:w="11900" w:h="16838" w:orient="portrait"/>
          <w:cols w:equalWidth="0" w:num="2">
            <w:col w:w="6420" w:space="120"/>
            <w:col w:w="4880"/>
          </w:cols>
          <w:pgMar w:left="240" w:top="280"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8"/>
              </w:rPr>
              <w:t>Company,</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 of Office</w:t>
            </w: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Name, Address and Age </w:t>
            </w:r>
            <w:r>
              <w:rPr>
                <w:rFonts w:ascii="Arial" w:cs="Arial" w:eastAsia="Arial" w:hAnsi="Arial"/>
                <w:sz w:val="22"/>
                <w:szCs w:val="22"/>
                <w:b w:val="1"/>
                <w:bCs w:val="1"/>
                <w:color w:val="auto"/>
                <w:vertAlign w:val="superscript"/>
              </w:rPr>
              <w:t>(1)</w:t>
            </w:r>
          </w:p>
        </w:tc>
        <w:tc>
          <w:tcPr>
            <w:tcW w:w="170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Position(s) held</w:t>
            </w:r>
          </w:p>
        </w:tc>
        <w:tc>
          <w:tcPr>
            <w:tcW w:w="1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and Length of</w:t>
            </w:r>
          </w:p>
        </w:tc>
        <w:tc>
          <w:tcPr>
            <w:tcW w:w="0" w:type="dxa"/>
            <w:vAlign w:val="bottom"/>
          </w:tcPr>
          <w:p>
            <w:pPr>
              <w:spacing w:after="0"/>
              <w:rPr>
                <w:sz w:val="1"/>
                <w:szCs w:val="1"/>
                <w:color w:val="auto"/>
              </w:rPr>
            </w:pPr>
          </w:p>
        </w:tc>
      </w:tr>
      <w:tr>
        <w:trPr>
          <w:trHeight w:val="181"/>
        </w:trPr>
        <w:tc>
          <w:tcPr>
            <w:tcW w:w="2540" w:type="dxa"/>
            <w:vAlign w:val="bottom"/>
            <w:gridSpan w:val="2"/>
            <w:vMerge w:val="continue"/>
          </w:tcPr>
          <w:p>
            <w:pPr>
              <w:spacing w:after="0"/>
              <w:rPr>
                <w:sz w:val="15"/>
                <w:szCs w:val="15"/>
                <w:color w:val="auto"/>
              </w:rPr>
            </w:pPr>
          </w:p>
        </w:tc>
        <w:tc>
          <w:tcPr>
            <w:tcW w:w="1700" w:type="dxa"/>
            <w:vAlign w:val="bottom"/>
          </w:tcPr>
          <w:p>
            <w:pPr>
              <w:ind w:left="420"/>
              <w:spacing w:after="0"/>
              <w:rPr>
                <w:sz w:val="20"/>
                <w:szCs w:val="20"/>
                <w:color w:val="auto"/>
              </w:rPr>
            </w:pPr>
            <w:r>
              <w:rPr>
                <w:rFonts w:ascii="Arial" w:cs="Arial" w:eastAsia="Arial" w:hAnsi="Arial"/>
                <w:sz w:val="14"/>
                <w:szCs w:val="14"/>
                <w:b w:val="1"/>
                <w:bCs w:val="1"/>
                <w:color w:val="auto"/>
              </w:rPr>
              <w:t>with Company</w:t>
            </w:r>
          </w:p>
        </w:tc>
        <w:tc>
          <w:tcPr>
            <w:tcW w:w="14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0" w:type="dxa"/>
            <w:vAlign w:val="bottom"/>
          </w:tcPr>
          <w:p>
            <w:pPr>
              <w:spacing w:after="0"/>
              <w:rPr>
                <w:sz w:val="1"/>
                <w:szCs w:val="1"/>
                <w:color w:val="auto"/>
              </w:rPr>
            </w:pPr>
          </w:p>
        </w:tc>
      </w:tr>
      <w:tr>
        <w:trPr>
          <w:trHeight w:val="181"/>
        </w:trPr>
        <w:tc>
          <w:tcPr>
            <w:tcW w:w="16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i w:val="1"/>
                <w:iCs w:val="1"/>
                <w:color w:val="auto"/>
                <w:w w:val="86"/>
              </w:rPr>
              <w:t>Nominees for Directors</w:t>
            </w:r>
          </w:p>
        </w:tc>
        <w:tc>
          <w:tcPr>
            <w:tcW w:w="920" w:type="dxa"/>
            <w:vAlign w:val="bottom"/>
          </w:tcPr>
          <w:p>
            <w:pPr>
              <w:ind w:left="80"/>
              <w:spacing w:after="0" w:line="182" w:lineRule="exact"/>
              <w:rPr>
                <w:sz w:val="20"/>
                <w:szCs w:val="20"/>
                <w:color w:val="auto"/>
              </w:rPr>
            </w:pPr>
            <w:r>
              <w:rPr>
                <w:rFonts w:ascii="Arial" w:cs="Arial" w:eastAsia="Arial" w:hAnsi="Arial"/>
                <w:sz w:val="18"/>
                <w:szCs w:val="18"/>
                <w:i w:val="1"/>
                <w:iCs w:val="1"/>
                <w:color w:val="auto"/>
                <w:w w:val="91"/>
              </w:rPr>
              <w:t>(continued)</w:t>
            </w:r>
          </w:p>
        </w:tc>
        <w:tc>
          <w:tcPr>
            <w:tcW w:w="1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Jeffrey Flug (50)</w:t>
            </w: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PNNT - Class II</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Director since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February 2007;</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Term Expires</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04"/>
        </w:trPr>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PFLT - Class II</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Nominee</w:t>
            </w: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Director since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October 2010;</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Term Expires 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520" w:val="left"/>
          <w:tab w:leader="none" w:pos="4360" w:val="left"/>
        </w:tabs>
        <w:rPr>
          <w:sz w:val="20"/>
          <w:szCs w:val="20"/>
          <w:color w:val="auto"/>
        </w:rPr>
      </w:pPr>
      <w:r>
        <w:rPr>
          <w:rFonts w:ascii="Arial" w:cs="Arial" w:eastAsia="Arial" w:hAnsi="Arial"/>
          <w:sz w:val="18"/>
          <w:szCs w:val="18"/>
          <w:color w:val="auto"/>
        </w:rPr>
        <w:t>Samuel L. Katz (47)</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PNNT - Class I</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Director since</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February 2007;</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Term Expires 2014</w:t>
      </w:r>
    </w:p>
    <w:p>
      <w:pPr>
        <w:spacing w:after="0" w:line="97" w:lineRule="exact"/>
        <w:rPr>
          <w:sz w:val="20"/>
          <w:szCs w:val="20"/>
          <w:color w:val="auto"/>
        </w:rPr>
      </w:pPr>
    </w:p>
    <w:p>
      <w:pPr>
        <w:ind w:left="2540"/>
        <w:spacing w:after="0"/>
        <w:tabs>
          <w:tab w:leader="none" w:pos="436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PFLT - Class I</w:t>
      </w:r>
    </w:p>
    <w:p>
      <w:pPr>
        <w:spacing w:after="0" w:line="15" w:lineRule="exact"/>
        <w:rPr>
          <w:sz w:val="20"/>
          <w:szCs w:val="20"/>
          <w:color w:val="auto"/>
        </w:rPr>
      </w:pPr>
    </w:p>
    <w:p>
      <w:pPr>
        <w:ind w:left="2540"/>
        <w:spacing w:after="0"/>
        <w:tabs>
          <w:tab w:leader="none" w:pos="4360" w:val="left"/>
        </w:tabs>
        <w:rPr>
          <w:sz w:val="20"/>
          <w:szCs w:val="20"/>
          <w:color w:val="auto"/>
        </w:rPr>
      </w:pPr>
      <w:r>
        <w:rPr>
          <w:rFonts w:ascii="Arial" w:cs="Arial" w:eastAsia="Arial" w:hAnsi="Arial"/>
          <w:sz w:val="18"/>
          <w:szCs w:val="18"/>
          <w:color w:val="auto"/>
        </w:rPr>
        <w:t>Nominee</w:t>
      </w:r>
      <w:r>
        <w:rPr>
          <w:sz w:val="20"/>
          <w:szCs w:val="20"/>
          <w:color w:val="auto"/>
        </w:rPr>
        <w:tab/>
      </w:r>
      <w:r>
        <w:rPr>
          <w:rFonts w:ascii="Arial" w:cs="Arial" w:eastAsia="Arial" w:hAnsi="Arial"/>
          <w:sz w:val="18"/>
          <w:szCs w:val="18"/>
          <w:color w:val="auto"/>
        </w:rPr>
        <w:t>Director since</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October 2010;</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Term Expires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Directorships</w:t>
            </w: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Held by Director</w:t>
            </w:r>
          </w:p>
        </w:tc>
      </w:tr>
      <w:tr>
        <w:trPr>
          <w:trHeight w:val="149"/>
        </w:trPr>
        <w:tc>
          <w:tcPr>
            <w:tcW w:w="3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Principal</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Nominee for</w:t>
            </w:r>
          </w:p>
        </w:tc>
      </w:tr>
      <w:tr>
        <w:trPr>
          <w:trHeight w:val="149"/>
        </w:trPr>
        <w:tc>
          <w:tcPr>
            <w:tcW w:w="3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Occupation(s)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w:t>
            </w:r>
          </w:p>
        </w:tc>
      </w:tr>
      <w:tr>
        <w:trPr>
          <w:trHeight w:val="134"/>
        </w:trPr>
        <w:tc>
          <w:tcPr>
            <w:tcW w:w="30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During the Past 5</w:t>
            </w: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During the</w:t>
            </w:r>
          </w:p>
        </w:tc>
      </w:tr>
      <w:tr>
        <w:trPr>
          <w:trHeight w:val="189"/>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87"/>
              </w:rPr>
              <w:t xml:space="preserve">Past 5 Years </w:t>
            </w:r>
            <w:r>
              <w:rPr>
                <w:rFonts w:ascii="Arial" w:cs="Arial" w:eastAsia="Arial" w:hAnsi="Arial"/>
                <w:sz w:val="21"/>
                <w:szCs w:val="21"/>
                <w:b w:val="1"/>
                <w:bCs w:val="1"/>
                <w:color w:val="auto"/>
                <w:w w:val="87"/>
                <w:vertAlign w:val="superscript"/>
              </w:rPr>
              <w:t>(2)</w:t>
            </w:r>
          </w:p>
        </w:tc>
      </w:tr>
      <w:tr>
        <w:trPr>
          <w:trHeight w:val="404"/>
        </w:trPr>
        <w:tc>
          <w:tcPr>
            <w:tcW w:w="3060" w:type="dxa"/>
            <w:vAlign w:val="bottom"/>
            <w:gridSpan w:val="2"/>
          </w:tcPr>
          <w:p>
            <w:pPr>
              <w:spacing w:after="0"/>
              <w:rPr>
                <w:sz w:val="20"/>
                <w:szCs w:val="20"/>
                <w:color w:val="auto"/>
              </w:rPr>
            </w:pPr>
            <w:r>
              <w:rPr>
                <w:rFonts w:ascii="Arial" w:cs="Arial" w:eastAsia="Arial" w:hAnsi="Arial"/>
                <w:sz w:val="18"/>
                <w:szCs w:val="18"/>
                <w:color w:val="auto"/>
              </w:rPr>
              <w:t>Mr. Flug has held a variety of senior</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Sears Hometown and</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w w:val="95"/>
              </w:rPr>
              <w:t>positions, including, currently, President</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Outlet Store (October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of Union Square Hospitality Group, an</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2012)</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w w:val="97"/>
              </w:rPr>
              <w:t>exclusive chain of restaurants. Mr. Flug</w:t>
            </w:r>
          </w:p>
        </w:tc>
        <w:tc>
          <w:tcPr>
            <w:tcW w:w="18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also has served as Chief Executive</w:t>
            </w:r>
          </w:p>
        </w:tc>
        <w:tc>
          <w:tcPr>
            <w:tcW w:w="18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w w:val="93"/>
              </w:rPr>
              <w:t>Officer and Executive Director from 2006</w:t>
            </w:r>
          </w:p>
        </w:tc>
        <w:tc>
          <w:tcPr>
            <w:tcW w:w="18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w w:val="96"/>
              </w:rPr>
              <w:t>to 2008 of Millennium Promise Alliance,</w:t>
            </w:r>
          </w:p>
        </w:tc>
        <w:tc>
          <w:tcPr>
            <w:tcW w:w="18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Inc., a non-profit organization whose</w:t>
            </w:r>
          </w:p>
        </w:tc>
        <w:tc>
          <w:tcPr>
            <w:tcW w:w="18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mission is to eradicate extreme global</w:t>
            </w:r>
          </w:p>
        </w:tc>
        <w:tc>
          <w:tcPr>
            <w:tcW w:w="18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poverty. From 2000 to 2006, Mr. Flug</w:t>
            </w:r>
          </w:p>
        </w:tc>
        <w:tc>
          <w:tcPr>
            <w:tcW w:w="18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was a Managing Director and Head of</w:t>
            </w:r>
          </w:p>
        </w:tc>
        <w:tc>
          <w:tcPr>
            <w:tcW w:w="18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w w:val="95"/>
              </w:rPr>
              <w:t>North American Institutional Sales at JP</w:t>
            </w:r>
          </w:p>
        </w:tc>
        <w:tc>
          <w:tcPr>
            <w:tcW w:w="1820" w:type="dxa"/>
            <w:vAlign w:val="bottom"/>
          </w:tcPr>
          <w:p>
            <w:pPr>
              <w:spacing w:after="0"/>
              <w:rPr>
                <w:sz w:val="18"/>
                <w:szCs w:val="18"/>
                <w:color w:val="auto"/>
              </w:rPr>
            </w:pPr>
          </w:p>
        </w:tc>
      </w:t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Morgan’s Investment Bank.</w:t>
            </w:r>
          </w:p>
        </w:tc>
        <w:tc>
          <w:tcPr>
            <w:tcW w:w="18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Managing Partner since 2007 of TZP</w:t>
      </w:r>
      <w:r>
        <w:rPr>
          <w:sz w:val="20"/>
          <w:szCs w:val="20"/>
          <w:color w:val="auto"/>
        </w:rPr>
        <w:tab/>
      </w:r>
      <w:r>
        <w:rPr>
          <w:rFonts w:ascii="Arial" w:cs="Arial" w:eastAsia="Arial" w:hAnsi="Arial"/>
          <w:sz w:val="15"/>
          <w:szCs w:val="15"/>
          <w:color w:val="auto"/>
        </w:rPr>
        <w:t>None.</w:t>
      </w:r>
    </w:p>
    <w:p>
      <w:pPr>
        <w:spacing w:after="0" w:line="15" w:lineRule="exact"/>
        <w:rPr>
          <w:sz w:val="20"/>
          <w:szCs w:val="20"/>
          <w:color w:val="auto"/>
        </w:rPr>
      </w:pPr>
    </w:p>
    <w:p>
      <w:pPr>
        <w:ind w:right="1960"/>
        <w:spacing w:after="0" w:line="287" w:lineRule="auto"/>
        <w:rPr>
          <w:sz w:val="20"/>
          <w:szCs w:val="20"/>
          <w:color w:val="auto"/>
        </w:rPr>
      </w:pPr>
      <w:r>
        <w:rPr>
          <w:rFonts w:ascii="Arial" w:cs="Arial" w:eastAsia="Arial" w:hAnsi="Arial"/>
          <w:sz w:val="16"/>
          <w:szCs w:val="16"/>
          <w:color w:val="auto"/>
        </w:rPr>
        <w:t>Group LLC, a private equity fund. Before joining TZP Group, Mr. Katz was Chief Executive Officer of MacAndrews &amp; Forbes Acquisition Holdings, Inc. from 2006 to 2007. Prior to that position, Mr. Katz was Chairman and Chief Executive Officer of the Cendant Travel Distribution Services Division from 2001 to 2005.</w:t>
      </w:r>
    </w:p>
    <w:p>
      <w:pPr>
        <w:sectPr>
          <w:pgSz w:w="11900" w:h="16838" w:orient="portrait"/>
          <w:cols w:equalWidth="0" w:num="2">
            <w:col w:w="6420" w:space="120"/>
            <w:col w:w="4880"/>
          </w:cols>
          <w:pgMar w:left="240" w:top="263"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8"/>
              </w:rPr>
              <w:t>Company,</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 of Office</w:t>
            </w: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Name, Address and Age </w:t>
            </w:r>
            <w:r>
              <w:rPr>
                <w:rFonts w:ascii="Arial" w:cs="Arial" w:eastAsia="Arial" w:hAnsi="Arial"/>
                <w:sz w:val="22"/>
                <w:szCs w:val="22"/>
                <w:b w:val="1"/>
                <w:bCs w:val="1"/>
                <w:color w:val="auto"/>
                <w:vertAlign w:val="superscript"/>
              </w:rPr>
              <w:t>(1)</w:t>
            </w:r>
          </w:p>
        </w:tc>
        <w:tc>
          <w:tcPr>
            <w:tcW w:w="170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Position(s) held</w:t>
            </w:r>
          </w:p>
        </w:tc>
        <w:tc>
          <w:tcPr>
            <w:tcW w:w="1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and Length of</w:t>
            </w:r>
          </w:p>
        </w:tc>
        <w:tc>
          <w:tcPr>
            <w:tcW w:w="0" w:type="dxa"/>
            <w:vAlign w:val="bottom"/>
          </w:tcPr>
          <w:p>
            <w:pPr>
              <w:spacing w:after="0"/>
              <w:rPr>
                <w:sz w:val="1"/>
                <w:szCs w:val="1"/>
                <w:color w:val="auto"/>
              </w:rPr>
            </w:pPr>
          </w:p>
        </w:tc>
      </w:tr>
      <w:tr>
        <w:trPr>
          <w:trHeight w:val="181"/>
        </w:trPr>
        <w:tc>
          <w:tcPr>
            <w:tcW w:w="2540" w:type="dxa"/>
            <w:vAlign w:val="bottom"/>
            <w:gridSpan w:val="2"/>
            <w:vMerge w:val="continue"/>
          </w:tcPr>
          <w:p>
            <w:pPr>
              <w:spacing w:after="0"/>
              <w:rPr>
                <w:sz w:val="15"/>
                <w:szCs w:val="15"/>
                <w:color w:val="auto"/>
              </w:rPr>
            </w:pPr>
          </w:p>
        </w:tc>
        <w:tc>
          <w:tcPr>
            <w:tcW w:w="1700" w:type="dxa"/>
            <w:vAlign w:val="bottom"/>
          </w:tcPr>
          <w:p>
            <w:pPr>
              <w:ind w:left="420"/>
              <w:spacing w:after="0"/>
              <w:rPr>
                <w:sz w:val="20"/>
                <w:szCs w:val="20"/>
                <w:color w:val="auto"/>
              </w:rPr>
            </w:pPr>
            <w:r>
              <w:rPr>
                <w:rFonts w:ascii="Arial" w:cs="Arial" w:eastAsia="Arial" w:hAnsi="Arial"/>
                <w:sz w:val="14"/>
                <w:szCs w:val="14"/>
                <w:b w:val="1"/>
                <w:bCs w:val="1"/>
                <w:color w:val="auto"/>
              </w:rPr>
              <w:t>with Company</w:t>
            </w:r>
          </w:p>
        </w:tc>
        <w:tc>
          <w:tcPr>
            <w:tcW w:w="14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0" w:type="dxa"/>
            <w:vAlign w:val="bottom"/>
          </w:tcPr>
          <w:p>
            <w:pPr>
              <w:spacing w:after="0"/>
              <w:rPr>
                <w:sz w:val="1"/>
                <w:szCs w:val="1"/>
                <w:color w:val="auto"/>
              </w:rPr>
            </w:pPr>
          </w:p>
        </w:tc>
      </w:tr>
      <w:tr>
        <w:trPr>
          <w:trHeight w:val="175"/>
        </w:trPr>
        <w:tc>
          <w:tcPr>
            <w:tcW w:w="16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i w:val="1"/>
                <w:iCs w:val="1"/>
                <w:color w:val="auto"/>
                <w:w w:val="86"/>
              </w:rPr>
              <w:t>Nominees for Directors</w:t>
            </w:r>
          </w:p>
        </w:tc>
        <w:tc>
          <w:tcPr>
            <w:tcW w:w="920" w:type="dxa"/>
            <w:vAlign w:val="bottom"/>
          </w:tcPr>
          <w:p>
            <w:pPr>
              <w:ind w:left="80"/>
              <w:spacing w:after="0" w:line="176" w:lineRule="exact"/>
              <w:rPr>
                <w:sz w:val="20"/>
                <w:szCs w:val="20"/>
                <w:color w:val="auto"/>
              </w:rPr>
            </w:pPr>
            <w:r>
              <w:rPr>
                <w:rFonts w:ascii="Arial" w:cs="Arial" w:eastAsia="Arial" w:hAnsi="Arial"/>
                <w:sz w:val="18"/>
                <w:szCs w:val="18"/>
                <w:i w:val="1"/>
                <w:iCs w:val="1"/>
                <w:color w:val="auto"/>
                <w:w w:val="91"/>
              </w:rPr>
              <w:t>(continued)</w:t>
            </w:r>
          </w:p>
        </w:tc>
        <w:tc>
          <w:tcPr>
            <w:tcW w:w="1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Arthur H. Penn (49)</w:t>
            </w:r>
            <w:r>
              <w:rPr>
                <w:rFonts w:ascii="Arial" w:cs="Arial" w:eastAsia="Arial" w:hAnsi="Arial"/>
                <w:sz w:val="11"/>
                <w:szCs w:val="11"/>
                <w:color w:val="auto"/>
              </w:rPr>
              <w:t>(3)</w:t>
            </w: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PNNT - Class III</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Nominee</w:t>
            </w: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Director since</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February 2007;</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Chief Executive</w:t>
            </w: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Term Expires 2016</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Officer and</w:t>
            </w: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Chairman of the</w:t>
            </w: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Board of</w:t>
            </w: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Directors</w:t>
            </w: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Chief Executive</w:t>
            </w: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PFLT - Class III</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Officer and</w:t>
            </w: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Director since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Chairman of the</w:t>
            </w: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October 2010;</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Board of</w:t>
            </w: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Term Expires 2014</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Directors</w:t>
            </w: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1682115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Directorships</w:t>
            </w: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Held by Director</w:t>
            </w:r>
          </w:p>
        </w:tc>
      </w:tr>
      <w:tr>
        <w:trPr>
          <w:trHeight w:val="149"/>
        </w:trPr>
        <w:tc>
          <w:tcPr>
            <w:tcW w:w="3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Principal</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Nominee for</w:t>
            </w:r>
          </w:p>
        </w:tc>
      </w:tr>
      <w:tr>
        <w:trPr>
          <w:trHeight w:val="149"/>
        </w:trPr>
        <w:tc>
          <w:tcPr>
            <w:tcW w:w="3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Occupation(s)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w:t>
            </w:r>
          </w:p>
        </w:tc>
      </w:tr>
      <w:tr>
        <w:trPr>
          <w:trHeight w:val="134"/>
        </w:trPr>
        <w:tc>
          <w:tcPr>
            <w:tcW w:w="30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During the Past 5</w:t>
            </w: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During the</w:t>
            </w:r>
          </w:p>
        </w:tc>
      </w:tr>
      <w:tr>
        <w:trPr>
          <w:trHeight w:val="189"/>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87"/>
              </w:rPr>
              <w:t xml:space="preserve">Past 5 Years </w:t>
            </w:r>
            <w:r>
              <w:rPr>
                <w:rFonts w:ascii="Arial" w:cs="Arial" w:eastAsia="Arial" w:hAnsi="Arial"/>
                <w:sz w:val="21"/>
                <w:szCs w:val="21"/>
                <w:b w:val="1"/>
                <w:bCs w:val="1"/>
                <w:color w:val="auto"/>
                <w:w w:val="87"/>
                <w:vertAlign w:val="superscript"/>
              </w:rPr>
              <w:t>(2)</w:t>
            </w: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Founder, Chairman and Chief Executive</w:t>
      </w:r>
      <w:r>
        <w:rPr>
          <w:sz w:val="20"/>
          <w:szCs w:val="20"/>
          <w:color w:val="auto"/>
        </w:rPr>
        <w:tab/>
      </w:r>
      <w:r>
        <w:rPr>
          <w:rFonts w:ascii="Arial" w:cs="Arial" w:eastAsia="Arial" w:hAnsi="Arial"/>
          <w:sz w:val="15"/>
          <w:szCs w:val="15"/>
          <w:color w:val="auto"/>
        </w:rPr>
        <w:t>None.</w:t>
      </w:r>
    </w:p>
    <w:p>
      <w:pPr>
        <w:spacing w:after="0" w:line="15" w:lineRule="exact"/>
        <w:rPr>
          <w:sz w:val="20"/>
          <w:szCs w:val="20"/>
          <w:color w:val="auto"/>
        </w:rPr>
      </w:pPr>
    </w:p>
    <w:p>
      <w:pPr>
        <w:ind w:right="1940"/>
        <w:spacing w:after="0" w:line="284" w:lineRule="auto"/>
        <w:rPr>
          <w:sz w:val="20"/>
          <w:szCs w:val="20"/>
          <w:color w:val="auto"/>
        </w:rPr>
      </w:pPr>
      <w:r>
        <w:rPr>
          <w:rFonts w:ascii="Arial" w:cs="Arial" w:eastAsia="Arial" w:hAnsi="Arial"/>
          <w:sz w:val="16"/>
          <w:szCs w:val="16"/>
          <w:color w:val="auto"/>
        </w:rPr>
        <w:t>Officer of PNNT and of PFLT since their inception in 2007 and 2010, respectively. Mr. Penn also is the Founder and Managing Member of the Adviser. Before founding PNNT, Mr. Penn was the Co-Founder of Apollo Investment Management, where he was a Managing Partner from 2004 to 2007. He also served as Chief Operating Officer of Apollo Investment Corporation from inception in 2004 to 2006 and served as President and Chief Operating Officer in 2006. He formerly was a Managing Partner of Apollo Value Fund L.P. (formerly Apollo Distressed Investment Fund, L.P.) from 2003 to 2006.</w:t>
      </w:r>
    </w:p>
    <w:p>
      <w:pPr>
        <w:spacing w:after="0" w:line="200" w:lineRule="exact"/>
        <w:rPr>
          <w:sz w:val="20"/>
          <w:szCs w:val="20"/>
          <w:color w:val="auto"/>
        </w:rPr>
      </w:pPr>
    </w:p>
    <w:p>
      <w:pPr>
        <w:sectPr>
          <w:pgSz w:w="11900" w:h="16838" w:orient="portrait"/>
          <w:cols w:equalWidth="0" w:num="2">
            <w:col w:w="6420" w:space="120"/>
            <w:col w:w="4880"/>
          </w:cols>
          <w:pgMar w:left="240" w:top="26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each Company and of the Adviser.</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Each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NASDAQ corporate governance rules require listed companies to have a board of directors with at least a majority of independent directors. Under NASDAQ corporate governance rules, in order for a director to be deemed independent, the Board of each Company must determine that the individual does not have a relationship that would interfere with the director’s exercise of independent judgment in carrying out his responsibilities. 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3" w:right="239" w:bottom="1440" w:gutter="0" w:footer="0" w:header="0"/>
          <w:type w:val="continuous"/>
        </w:sectPr>
      </w:pPr>
    </w:p>
    <w:bookmarkStart w:id="13" w:name="page14"/>
    <w:bookmarkEnd w:id="13"/>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annual basis, each director is required to complete an independence questionnaire designed to provide information to assist the Companies’ Boards in determining whether the director is independent under NASDAQ corporate governance rules, the 1940 Act and applicable corporate governance guidelines. The Boards have determined that each of their directors, other than Mr. Penn, is independent under the listing standards of the NASDAQ Global Select Market and the 1940 Act. Each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Each Board limits membership on its Audit Committee and its Nominating and Corporate Governance Committee to Independent Directors.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Boards’ Oversight Role in Management</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Each Board performs its risk oversight function primarily through (1) its two standing committees, which report to the entire Board and are comprised solely of Independent Directors and (2) monitoring by the Company’s Chief Compliance Officer (the “CCO”) in accordance with the Company’s compliance policies and procedures.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described below in more detail under “Audit Committees” and “Nominating and Corporate Governance Committees,” each Board’s Audit Committee and Nominating and Corporate Governance Committee assist the Board in fulfilling its risk oversight responsibilities. Each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Each Nominating and Corporate Governance Committee’s risk oversight responsibilities include selecting, researching and nominating directors for election by the Company’s Stockholders, developing and recommending to its Board a set of corporate governance principles and overseeing the evaluation of the Board and the Company’s management. Both the Audit Committee and the Nominating and Corporate Governance Committee of each Board consist solely of Independent Directors.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Board also performs its risk oversight responsibilities with the assistance of a CCO, who is the same individual for both Companies. The Companies’ CCO prepares a written report annually discussing the adequacy and effectiveness of the compliance policies and procedures of the Companies and certain of their service providers. The CCO’s report, which is reviewed by the Boards, addresses, at a minimum: (1) the operation of the compliance policies and procedures of the Companies and certain of their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Boards would reasonably need to know to oversee the Companies’ compliance activities and risks. In addition, the CCO meets separately in executive session with the Independent Directors at least once each year.</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Each Company believes that its Board’s role in risk oversight is effective and appropriate given the extensive regulation to which it is already subject as a business development company. Specifically, as a business development company, each Company must comply with certain regulatory requirements that control the levels of risk in its business and operations. For example, the ability of each Company to incur indebtedness is limited such that its asset coverage must equal at least 200% immediately after each time it incurs indebtedness and each Company generally must invest at least 70% of its total assets in “qualifying assets.” Each Company also has elected to be treated as a regulated investment company (a “RIC”) under Subchapter M of the Internal Revenue Code of 1986, as amended. As a RIC, each Company must, among other things, meet certain income source and asset diversification requirements.</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Each Company believes that the extent of its Board’s and its committees’ roles in risk oversight complements the Board’s leadership structure. Because they are comprised solely of Independent Directors,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Committees and the Nominating and Corporate Governance Committees are able to exercise their oversight responsibilities without any conflict of interest that might discourage critical questioning and review. Through regular executive session meetings with the Companies’ independent registered public accounting firms, their CCO and their Chief Executive Officer, the Independent Directors have similarly established direct communication and oversight channels that the Boards believe foster open communication and early detection of issues of concern.</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Each Company believes that its Board’s role in risk oversight must be evaluated on a case by case basis and that the current configuration and allocation of responsibilities among the Board and its committees with respect to the oversight of risk is appropriate. However, each Board and its committees continually re-examine the manner in which they administer their respective risk oversight functions, including through formal annual assessments of performance, to ensure that they meet their Company’s needs.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Boards’ Composition and Leadership Structure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1940 Act requires that at least a majority of each Company’s directors not be “interested persons” (as defined in the 1940 Act) of the Company. Currently, four of the five directors on each Board are Independent Directors; however, the Chairman of the Boards is an interested person of each Company. The Independent Directors believe that the combined position of Chief Executive Officer of the Companies and Chairman of the Boards of the Companies results in greater efficiencies in managing the Companies, by eliminating the need to transfer substantial information quickly and repeatedly between the Chief Executive Officer and the Chairman, and the ability to capitalize on the specialized knowledge acquired from the duties of the roles. The Boards have not identified a lead Independent Director; however, each Board has determined that its leadership structure, in which 80%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Below is additional information about each director (supplementing the information provided in the table above) that describes some of the specific experiences, qualifications, attributes and/or skills that each director possesses, and which each Board believes has prepared each director to be an effective director. Each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each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Each Board believes that its members satisfy this standard. Experience relevant to having this ability may be achieved through a director’s educational background, business or professional training or practice (</w:t>
      </w:r>
      <w:r>
        <w:rPr>
          <w:rFonts w:ascii="Arial" w:cs="Arial" w:eastAsia="Arial" w:hAnsi="Arial"/>
          <w:sz w:val="16"/>
          <w:szCs w:val="16"/>
          <w:i w:val="1"/>
          <w:iCs w:val="1"/>
          <w:color w:val="auto"/>
        </w:rPr>
        <w:t>e.g</w:t>
      </w:r>
      <w:r>
        <w:rPr>
          <w:rFonts w:ascii="Arial" w:cs="Arial" w:eastAsia="Arial" w:hAnsi="Arial"/>
          <w:sz w:val="16"/>
          <w:szCs w:val="16"/>
          <w:color w:val="auto"/>
        </w:rPr>
        <w:t>., finance, accounting or law), public service or academic positions, experience from service as a board member (including the Boards of the Companies)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Companies’ counsel. Both the Independent Directors’ and the Companies’ counsels have significant experience advising funds and fund board members. Each Board and its committees have the ability to engage other experts as appropriate. Each Board evaluates its performance on an annual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Chairman of each Board and Chief Executive Officer of each Company, Mr. Penn assumes a leading role in strategic planning and supports major transaction initiatives of the Companies. Mr. Penn also manages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jc w:val="both"/>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day-to-day operations of the Companies, with the support of the other investment professionals and officers. As Chief Executive Officer, Mr. Penn has general responsibility for the implementation of the policies of the Companies, as determined by the Boards, and for the management of the business and affairs of the Companies.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Experience, Qualifications, Attributes and/or Skills that Led to the Boards’ Conclusion that such Members Should Serve as Directors of the Companies</w:t>
      </w:r>
    </w:p>
    <w:p>
      <w:pPr>
        <w:spacing w:after="0" w:line="11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Each Board believes that, collectively, the directors have balanced and diverse experience, qualifications, attributes and skills, which allow the Board to operate effectively in governing the Company and protecting the interests of its Stockholders. Below is a description of the various experiences, qualifications, attributes and/or skills with respect to each director considered by the Boards.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Board benefits from Mr. Penn’s business leadership and experience and knowledge of senior loan, mezzanine lending, leveraged finance, distressed debt and private equity businesses, as well as diverse management practices. Mr. Penn is the Founder, Chairman and Chief Executive Officer of the Companies and Managing Member of the Adviser and the Administrator. Mr. Penn co-founded Apollo Investment Management in 2004, where he was a Managing Partner from 2004 to 2006. He also served as President and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Companies and Managing Member of the Adviser and the Administrator provide him with a specific and valuable understanding of the Companies, their operations and the business and regulatory issues facing them.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9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Mr. Bernstein brings to the Boards 27 years of experience in leading a real estate development, investment and management business in the Mid-Atlantic region of the United States. Mr. Bernstein affords the Boards his vast experience in the area of strategic and financial planning and capital and risk management. Mr. Bernstein is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2006. In 2012, Mr. Bernstein was appointed to the Board of Overseers of the School of Arts and Sciences at the University of Pennsylvania.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Mr. Brozost brings to the Boards 19 years of experience in the areas of finance, private equity, mergers and acquisitions and restructurings. Since May 2012, Mr. Brozost has been a Partner at Schulte Roth &amp; Zabel LLP, where he practices in the real estate and private equity groups. Prior to Schulte Roth &amp; Zabel, Mr. Brozost practiced law at Dewey &amp; LeBoeuf LLP from 2005 to 2012, at Solomon &amp; Weinberg LLP from 2004 to 2005 and at O’Melveny &amp; Myers LLP from 2001 to 2004. Mr. Brozost also served as a Vice President of Nomura Asset Capital Corporation from 1997 through 2000.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Jeffrey Flug</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Mr. Flug brings to the Boards expertise in fixed income, investment banking, accounting and business operations. Since 2009, Mr. Flug has held a variety of senior positions, including, currently, President of Union Square Hospitality Group,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Mr. Katz brings to the Boards a diverse knowledge of business and finance as a result of his career over the past 27 years. Mr. Katz is the Managing Partner of TZP Group, LLP,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Each Board has established an Audit Committee and a Nominating and Corporate Governance Committee. For the fiscal year ended September 30, 2012, the Boards of both PNNT and PFLT held four board meetings, four Audit Committee meetings and one Nominating and Corporate Governance Committee meeting. All directors attended at least 75% of the aggregate number of meetings of the respective Board and of the respective committees on which they served. The Companies require each director to make a diligent effort to attend all Board and committee meetings, and encourage directors to attend the Companies’ annual stockholder meetings. Last year, all of the members of the Boards attended the joint annual stockholders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members of the Audit Committee of each Company are Messrs. Bernstein, Brozost, Flug and Katz, each of whom is independent for purposes of the 1940 Act and the NASDAQ corporate governance rules. Messrs. Flug and Katz serve as Co-Chairmen of the Audit Committees. Each Audit Committee operates pursuant to a separate Audit Committee Charter approved by its Board. Each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 on Form 10-K; reviewing and discussing with management and the auditors the Company’s quarterly financial statements prior to the filings of their quarterly reports on Form 10-Q; pre-approving the auditors’ engagement to render audit and/or permissible non-audit services; and evaluating the qualifications, performance and independence of the auditors. The Audit Committees are also responsible for aiding the Boards in fair value pricing of debt and equity securities for their respective funds. The Boards and Audit Committees use the services of nationally recognized independent valuation firms to help them determine the fair value of certain securities held by the Companies. The Boards have determined that each of Messrs. Flug and Katz is an “audit committee financial expert” as that term is defined under Item 407 of Regulation S-K under the Exchange Act. Each Audit Committee Charter is available on the Companies’ website (http://www.pennantpark.com).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Nominating and Corporate Governance Committees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members of the Nominating and Corporate Governance Committee of each Company are Messrs. Bernstein, Brozost, Flug and Katz, each of whom is independent for purposes of the 1940 Act and the NASDAQ corporate governance rules. Messrs. Bernstein and Brozost serve as Co-Chairmen of the Nominating and Corporate Governance Committees. Each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each Company has adopted a written Nominating and Corporate Governance Committee Charter that is available on the Companies’ website (http://www.pennantpark.com).</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590 Madison Avenue, 15th Floor, New York, New York 10022. When submitting a nomination to a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Criteria considered by the Nominating and Corporate Governance Committees in evaluating the qualifications of individuals for election as director of the Boards include: compliance with the independence and other applicable requirements of the NASDAQ corporate governance rules and the 1940 Act, and all other applicable laws, rules, regulations and listing standards; the criteria, policies and principles set forth in the Companies’ Nominating and Corporate Governance Committee Charters; and the ability to contribute to the effective management of the Companies, taking into account the needs of the Companies and such factors as the individual’s experience, perspective, skills and knowledge of the industry in which the Companies operate. Neither Nominating and Corporate Governance Committee has adopted a formal policy with regard to the consideration of diversity in identifying individuals for election as members of the Board, but the Nominating and Corporate Governance Committees will consider such factors as they may deem are in the best interests of the Companies and their Stockholders. Those factors may include a person’s differences of viewpoint, professional experience, education and skills, as well as his or her race, gender and national origin. In addition, as part of each Board’s annual-self assessment, the members of the Nominating and Corporate Governance Committee evaluates the membership of the Board and whether the Board maintains satisfactory policies regarding membership selection.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Neither Company has a compensation committee because the Companies’ executive officer does not receive compensation from either Company. Each Board, as a whole, participates in the consideration of director compensation and decisions on director compensation are based on a review of data of comparable business development companies.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Communication with the Boards of Directors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Stockholders with questions about a Company are encouraged to contact the Companies’ Investor Relations Department at 590 Madison Avenue, 15th Floor, New York, New York 10022 or by visiting the investor relations web page on our website (http://www.pennantpark.com). However, if Stockholders believe that their questions have not been addressed, they may communicate with the relevant Board by sending their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8" w:name="page19"/>
    <w:bookmarkEnd w:id="18"/>
    <w:p>
      <w:pPr>
        <w:ind w:right="8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communications to Thomas J. Friedmann, Secretary, c/o PennantPark, 590 Madison Avenue, 15th Floor, New York, New York 10022. All Stockholder communications received in this manner will be delivered to one or more members of the relevant Board.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Executive Officer Who is Not a Director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pertains to our executive officer who is not a director of the Companies.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5"/>
              </w:rPr>
              <w:t>Position(s) held</w:t>
            </w:r>
          </w:p>
        </w:tc>
        <w:tc>
          <w:tcPr>
            <w:tcW w:w="220" w:type="dxa"/>
            <w:vAlign w:val="bottom"/>
          </w:tcPr>
          <w:p>
            <w:pPr>
              <w:spacing w:after="0"/>
              <w:rPr>
                <w:sz w:val="14"/>
                <w:szCs w:val="14"/>
                <w:color w:val="auto"/>
              </w:rPr>
            </w:pPr>
          </w:p>
        </w:tc>
        <w:tc>
          <w:tcPr>
            <w:tcW w:w="6840" w:type="dxa"/>
            <w:vAlign w:val="bottom"/>
          </w:tcPr>
          <w:p>
            <w:pPr>
              <w:spacing w:after="0"/>
              <w:rPr>
                <w:sz w:val="14"/>
                <w:szCs w:val="14"/>
                <w:color w:val="auto"/>
              </w:rPr>
            </w:pPr>
          </w:p>
        </w:tc>
      </w:tr>
      <w:tr>
        <w:trPr>
          <w:trHeight w:val="196"/>
        </w:trPr>
        <w:tc>
          <w:tcPr>
            <w:tcW w:w="940" w:type="dxa"/>
            <w:vAlign w:val="bottom"/>
            <w:tcBorders>
              <w:bottom w:val="single" w:sz="8" w:color="auto"/>
            </w:tcBorders>
          </w:tcPr>
          <w:p>
            <w:pPr>
              <w:spacing w:after="0" w:line="176" w:lineRule="exact"/>
              <w:rPr>
                <w:sz w:val="20"/>
                <w:szCs w:val="20"/>
                <w:color w:val="auto"/>
              </w:rPr>
            </w:pPr>
            <w:r>
              <w:rPr>
                <w:rFonts w:ascii="Arial" w:cs="Arial" w:eastAsia="Arial" w:hAnsi="Arial"/>
                <w:sz w:val="13"/>
                <w:szCs w:val="13"/>
                <w:b w:val="1"/>
                <w:bCs w:val="1"/>
                <w:color w:val="auto"/>
              </w:rPr>
              <w:t xml:space="preserve">and Age </w:t>
            </w:r>
            <w:r>
              <w:rPr>
                <w:rFonts w:ascii="Arial" w:cs="Arial" w:eastAsia="Arial" w:hAnsi="Arial"/>
                <w:sz w:val="20"/>
                <w:szCs w:val="20"/>
                <w:b w:val="1"/>
                <w:bCs w:val="1"/>
                <w:color w:val="auto"/>
                <w:vertAlign w:val="superscript"/>
              </w:rPr>
              <w:t>(1)</w:t>
            </w:r>
          </w:p>
        </w:tc>
        <w:tc>
          <w:tcPr>
            <w:tcW w:w="1240" w:type="dxa"/>
            <w:vAlign w:val="bottom"/>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with the Companies</w:t>
            </w:r>
          </w:p>
        </w:tc>
        <w:tc>
          <w:tcPr>
            <w:tcW w:w="220" w:type="dxa"/>
            <w:vAlign w:val="bottom"/>
          </w:tcPr>
          <w:p>
            <w:pPr>
              <w:spacing w:after="0"/>
              <w:rPr>
                <w:sz w:val="17"/>
                <w:szCs w:val="17"/>
                <w:color w:val="auto"/>
              </w:rPr>
            </w:pPr>
          </w:p>
        </w:tc>
        <w:tc>
          <w:tcPr>
            <w:tcW w:w="684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Principal Occupation(s) During the Past 5 Years</w:t>
            </w:r>
          </w:p>
        </w:tc>
      </w:tr>
      <w:tr>
        <w:trPr>
          <w:trHeight w:val="195"/>
        </w:trPr>
        <w:tc>
          <w:tcPr>
            <w:tcW w:w="2180" w:type="dxa"/>
            <w:vAlign w:val="bottom"/>
            <w:gridSpan w:val="2"/>
          </w:tcPr>
          <w:p>
            <w:pPr>
              <w:spacing w:after="0" w:line="195" w:lineRule="exact"/>
              <w:rPr>
                <w:sz w:val="20"/>
                <w:szCs w:val="20"/>
                <w:color w:val="auto"/>
              </w:rPr>
            </w:pPr>
            <w:r>
              <w:rPr>
                <w:rFonts w:ascii="Arial" w:cs="Arial" w:eastAsia="Arial" w:hAnsi="Arial"/>
                <w:sz w:val="18"/>
                <w:szCs w:val="18"/>
                <w:color w:val="auto"/>
              </w:rPr>
              <w:t>Aviv Efrat (48)</w:t>
            </w:r>
          </w:p>
        </w:tc>
        <w:tc>
          <w:tcPr>
            <w:tcW w:w="2180" w:type="dxa"/>
            <w:vAlign w:val="bottom"/>
          </w:tcPr>
          <w:p>
            <w:pPr>
              <w:jc w:val="center"/>
              <w:spacing w:after="0" w:line="195" w:lineRule="exact"/>
              <w:rPr>
                <w:sz w:val="20"/>
                <w:szCs w:val="20"/>
                <w:color w:val="auto"/>
              </w:rPr>
            </w:pPr>
            <w:r>
              <w:rPr>
                <w:rFonts w:ascii="Arial" w:cs="Arial" w:eastAsia="Arial" w:hAnsi="Arial"/>
                <w:sz w:val="18"/>
                <w:szCs w:val="18"/>
                <w:color w:val="auto"/>
                <w:w w:val="90"/>
              </w:rPr>
              <w:t>PNNT and PFLT -</w:t>
            </w:r>
          </w:p>
        </w:tc>
        <w:tc>
          <w:tcPr>
            <w:tcW w:w="22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w w:val="95"/>
              </w:rPr>
              <w:t>Chief Financial Officer and Treasurer of PNNT and PFLT since their inception in 2007 and</w:t>
            </w:r>
          </w:p>
        </w:tc>
      </w:tr>
      <w:tr>
        <w:trPr>
          <w:trHeight w:val="216"/>
        </w:trPr>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Chief Financial Officer and</w:t>
            </w: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w w:val="93"/>
              </w:rPr>
              <w:t>2010, respectively. Managing Director of the Administrator since inception in 2007. Mr. Efrat</w:t>
            </w:r>
          </w:p>
        </w:tc>
      </w:tr>
      <w:tr>
        <w:trPr>
          <w:trHeight w:val="216"/>
        </w:trPr>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Treasurer</w:t>
            </w: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w w:val="91"/>
              </w:rPr>
              <w:t>was a Director at BlackRock, Inc. from 1997 to 2007 where he was responsible for a variety of</w:t>
            </w:r>
          </w:p>
        </w:tc>
      </w:tr>
      <w:tr>
        <w:trPr>
          <w:trHeight w:val="216"/>
        </w:trPr>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w w:val="97"/>
              </w:rPr>
              <w:t>administrative, operational and financial aspects of closed-end and open-end registered</w:t>
            </w:r>
          </w:p>
        </w:tc>
      </w:tr>
      <w:tr>
        <w:trPr>
          <w:trHeight w:val="222"/>
        </w:trPr>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rPr>
              <w:t>investment companies.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business address of the executive officer is c/o PennantPark, 590 Madison Avenue, 15th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Chief Compliance Officer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pertains to our CCO who is not a director of the Companies.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4"/>
              </w:rPr>
              <w:t>Position held</w:t>
            </w:r>
          </w:p>
        </w:tc>
        <w:tc>
          <w:tcPr>
            <w:tcW w:w="220" w:type="dxa"/>
            <w:vAlign w:val="bottom"/>
          </w:tcPr>
          <w:p>
            <w:pPr>
              <w:spacing w:after="0"/>
              <w:rPr>
                <w:sz w:val="14"/>
                <w:szCs w:val="14"/>
                <w:color w:val="auto"/>
              </w:rPr>
            </w:pPr>
          </w:p>
        </w:tc>
        <w:tc>
          <w:tcPr>
            <w:tcW w:w="6840" w:type="dxa"/>
            <w:vAlign w:val="bottom"/>
          </w:tcPr>
          <w:p>
            <w:pPr>
              <w:spacing w:after="0"/>
              <w:rPr>
                <w:sz w:val="14"/>
                <w:szCs w:val="14"/>
                <w:color w:val="auto"/>
              </w:rPr>
            </w:pPr>
          </w:p>
        </w:tc>
      </w:tr>
      <w:tr>
        <w:trPr>
          <w:trHeight w:val="196"/>
        </w:trPr>
        <w:tc>
          <w:tcPr>
            <w:tcW w:w="940" w:type="dxa"/>
            <w:vAlign w:val="bottom"/>
            <w:tcBorders>
              <w:bottom w:val="single" w:sz="8" w:color="auto"/>
            </w:tcBorders>
          </w:tcPr>
          <w:p>
            <w:pPr>
              <w:spacing w:after="0" w:line="176" w:lineRule="exact"/>
              <w:rPr>
                <w:sz w:val="20"/>
                <w:szCs w:val="20"/>
                <w:color w:val="auto"/>
              </w:rPr>
            </w:pPr>
            <w:r>
              <w:rPr>
                <w:rFonts w:ascii="Arial" w:cs="Arial" w:eastAsia="Arial" w:hAnsi="Arial"/>
                <w:sz w:val="13"/>
                <w:szCs w:val="13"/>
                <w:b w:val="1"/>
                <w:bCs w:val="1"/>
                <w:color w:val="auto"/>
              </w:rPr>
              <w:t xml:space="preserve">and Age </w:t>
            </w:r>
            <w:r>
              <w:rPr>
                <w:rFonts w:ascii="Arial" w:cs="Arial" w:eastAsia="Arial" w:hAnsi="Arial"/>
                <w:sz w:val="20"/>
                <w:szCs w:val="20"/>
                <w:b w:val="1"/>
                <w:bCs w:val="1"/>
                <w:color w:val="auto"/>
                <w:vertAlign w:val="superscript"/>
              </w:rPr>
              <w:t>(1)</w:t>
            </w:r>
          </w:p>
        </w:tc>
        <w:tc>
          <w:tcPr>
            <w:tcW w:w="1240" w:type="dxa"/>
            <w:vAlign w:val="bottom"/>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with the Companies</w:t>
            </w:r>
          </w:p>
        </w:tc>
        <w:tc>
          <w:tcPr>
            <w:tcW w:w="220" w:type="dxa"/>
            <w:vAlign w:val="bottom"/>
          </w:tcPr>
          <w:p>
            <w:pPr>
              <w:spacing w:after="0"/>
              <w:rPr>
                <w:sz w:val="17"/>
                <w:szCs w:val="17"/>
                <w:color w:val="auto"/>
              </w:rPr>
            </w:pPr>
          </w:p>
        </w:tc>
        <w:tc>
          <w:tcPr>
            <w:tcW w:w="684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Principal Occupation(s) During the Past 5 Years</w:t>
            </w:r>
          </w:p>
        </w:tc>
      </w:tr>
      <w:tr>
        <w:trPr>
          <w:trHeight w:val="195"/>
        </w:trPr>
        <w:tc>
          <w:tcPr>
            <w:tcW w:w="2180" w:type="dxa"/>
            <w:vAlign w:val="bottom"/>
            <w:gridSpan w:val="2"/>
          </w:tcPr>
          <w:p>
            <w:pPr>
              <w:spacing w:after="0" w:line="195" w:lineRule="exact"/>
              <w:rPr>
                <w:sz w:val="20"/>
                <w:szCs w:val="20"/>
                <w:color w:val="auto"/>
              </w:rPr>
            </w:pPr>
            <w:r>
              <w:rPr>
                <w:rFonts w:ascii="Arial" w:cs="Arial" w:eastAsia="Arial" w:hAnsi="Arial"/>
                <w:sz w:val="18"/>
                <w:szCs w:val="18"/>
                <w:color w:val="auto"/>
              </w:rPr>
              <w:t>Guy F. Talarico (57)</w:t>
            </w:r>
          </w:p>
        </w:tc>
        <w:tc>
          <w:tcPr>
            <w:tcW w:w="2180" w:type="dxa"/>
            <w:vAlign w:val="bottom"/>
          </w:tcPr>
          <w:p>
            <w:pPr>
              <w:jc w:val="center"/>
              <w:spacing w:after="0" w:line="195" w:lineRule="exact"/>
              <w:rPr>
                <w:sz w:val="20"/>
                <w:szCs w:val="20"/>
                <w:color w:val="auto"/>
              </w:rPr>
            </w:pPr>
            <w:r>
              <w:rPr>
                <w:rFonts w:ascii="Arial" w:cs="Arial" w:eastAsia="Arial" w:hAnsi="Arial"/>
                <w:sz w:val="18"/>
                <w:szCs w:val="18"/>
                <w:color w:val="auto"/>
                <w:w w:val="90"/>
              </w:rPr>
              <w:t>PNNT and PFLT -</w:t>
            </w:r>
          </w:p>
        </w:tc>
        <w:tc>
          <w:tcPr>
            <w:tcW w:w="22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w w:val="92"/>
              </w:rPr>
              <w:t>Chief Compliance Officer of PNNT and PFLT since May 2008 and March 2011, respectively.</w:t>
            </w:r>
          </w:p>
        </w:tc>
      </w:tr>
      <w:tr>
        <w:trPr>
          <w:trHeight w:val="216"/>
        </w:trPr>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Chief Compliance Officer</w:t>
            </w: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w w:val="90"/>
              </w:rPr>
              <w:t>Mr. Talarico has served as Chief Compliance Officer for investment advisers, private funds and</w:t>
            </w:r>
          </w:p>
        </w:tc>
      </w:tr>
      <w:tr>
        <w:trPr>
          <w:trHeight w:val="216"/>
        </w:trPr>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w w:val="94"/>
              </w:rPr>
              <w:t>investment companies since 2004. From 2001 to 2004, Mr. Talarico was Senior Director at</w:t>
            </w:r>
          </w:p>
        </w:tc>
      </w:tr>
      <w:tr>
        <w:trPr>
          <w:trHeight w:val="216"/>
        </w:trPr>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w w:val="92"/>
              </w:rPr>
              <w:t>Investors Bank &amp; Trust Company where he provided services to investment advisers, mutual</w:t>
            </w:r>
          </w:p>
        </w:tc>
      </w:tr>
      <w:tr>
        <w:trPr>
          <w:trHeight w:val="216"/>
        </w:trPr>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w w:val="89"/>
              </w:rPr>
              <w:t>funds and institutions. From 1986 to 2001, Mr. Talarico was a division executive with JPMorgan</w:t>
            </w:r>
          </w:p>
        </w:tc>
      </w:tr>
      <w:tr>
        <w:trPr>
          <w:trHeight w:val="222"/>
        </w:trPr>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rPr>
              <w:t>Chase Bank,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business address of the CCO is c/o PennantPark, 590 Madison Avenue, 15th Floor, New York, New York 10022.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Code of Conduct and Code of Ethics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expect each of our officers and directors, as well as any person affiliated with our operations, to act in accordance with the highest standards of personal and professional integrity at all times, and to comply with the Companies’ policies and procedures and all laws, rules and regulations of any applicable international, federal, provincial, state or local government. To this effect, each Company has adopted a Joint Code of Conduct, which is posted on the Companies’ website (http://www.pennantpark.com). The Joint Code of Conduct applies to the directors, officers and their respective staffs.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required by the 1940 Act, each Company maintains a Joint Code of Ethics with the Adviser that establishes procedures that apply to the Companies’ directors, officers, their respective staffs and the employees of the Adviser with respect to their personal investments and investment transactions. The Joint Code of Ethics generally does not permit investments by a Company’s directors, officers or any other covered person in securities that may be purchased or held by the Company. Each Company filed its Joint Code of Ethics as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9" w:name="page20"/>
    <w:bookmarkEnd w:id="19"/>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14.1 to its Annual Report on Form 10-K, filed with the SEC on November 14, 2012. You may access the Joint Codes of Ethics via the Internet site of the SEC (http://www.sec.gov) or our website (http://www.pennantpark.com). Each Company intends to disclose any material amendments to or waivers of required provisions of its Joint Code of Conduct or its Joint Code of Ethics on Form 8-K.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PNNT, each Independent Director receives an annual payment of $90,000 for services performed on behalf of PNNT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PNNT has purchased directors’ and officers’ liability insurance on behalf of its directors and officers.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PFLT, each Independent Director receives an annual payment of $50,000 for services performed on behalf of PFLT as a director. The Independent Directors also receive $1,250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PFLT has purchased directors’ and officers’ liability insurance on behalf of its directors and officers.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information regarding the compensation paid by the Companies to our directors for the fiscal year ended September 30,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 compensation is paid directly by either Company to any interested director or executive officer of the Companies.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PNNT</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PFLT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Pension or</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6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2"/>
              </w:rPr>
              <w:t>Pension or</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3"/>
              </w:rPr>
              <w:t>Aggregate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retirement</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Aggregate</w:t>
            </w: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benefits accrued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benefits accrued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740"/>
              <w:spacing w:after="0" w:line="135" w:lineRule="exact"/>
              <w:rPr>
                <w:sz w:val="20"/>
                <w:szCs w:val="20"/>
                <w:color w:val="auto"/>
              </w:rPr>
            </w:pPr>
            <w:r>
              <w:rPr>
                <w:rFonts w:ascii="Arial" w:cs="Arial" w:eastAsia="Arial" w:hAnsi="Arial"/>
                <w:sz w:val="14"/>
                <w:szCs w:val="14"/>
                <w:b w:val="1"/>
                <w:bCs w:val="1"/>
                <w:color w:val="auto"/>
                <w:w w:val="96"/>
              </w:rPr>
              <w:t>from the</w:t>
            </w: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as part of our</w:t>
            </w:r>
          </w:p>
        </w:tc>
        <w:tc>
          <w:tcPr>
            <w:tcW w:w="52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740"/>
              <w:spacing w:after="0" w:line="135" w:lineRule="exact"/>
              <w:rPr>
                <w:sz w:val="20"/>
                <w:szCs w:val="20"/>
                <w:color w:val="auto"/>
              </w:rPr>
            </w:pPr>
            <w:r>
              <w:rPr>
                <w:rFonts w:ascii="Arial" w:cs="Arial" w:eastAsia="Arial" w:hAnsi="Arial"/>
                <w:sz w:val="14"/>
                <w:szCs w:val="14"/>
                <w:b w:val="1"/>
                <w:bCs w:val="1"/>
                <w:color w:val="auto"/>
                <w:w w:val="96"/>
              </w:rPr>
              <w:t>from the</w:t>
            </w:r>
          </w:p>
        </w:tc>
        <w:tc>
          <w:tcPr>
            <w:tcW w:w="14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9"/>
              </w:rPr>
              <w:t>as part of our</w:t>
            </w:r>
          </w:p>
        </w:tc>
        <w:tc>
          <w:tcPr>
            <w:tcW w:w="9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c>
          <w:tcPr>
            <w:tcW w:w="0" w:type="dxa"/>
            <w:vAlign w:val="bottom"/>
          </w:tcPr>
          <w:p>
            <w:pPr>
              <w:spacing w:after="0"/>
              <w:rPr>
                <w:sz w:val="1"/>
                <w:szCs w:val="1"/>
                <w:color w:val="auto"/>
              </w:rPr>
            </w:pPr>
          </w:p>
        </w:tc>
      </w:tr>
      <w:tr>
        <w:trPr>
          <w:trHeight w:val="162"/>
        </w:trPr>
        <w:tc>
          <w:tcPr>
            <w:tcW w:w="2460" w:type="dxa"/>
            <w:vAlign w:val="bottom"/>
            <w:gridSpan w:val="6"/>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Company</w:t>
            </w:r>
          </w:p>
        </w:tc>
        <w:tc>
          <w:tcPr>
            <w:tcW w:w="94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2"/>
              </w:rPr>
              <w:t>expense</w:t>
            </w:r>
            <w:r>
              <w:rPr>
                <w:rFonts w:ascii="Arial" w:cs="Arial" w:eastAsia="Arial" w:hAnsi="Arial"/>
                <w:sz w:val="18"/>
                <w:szCs w:val="18"/>
                <w:b w:val="1"/>
                <w:bCs w:val="1"/>
                <w:color w:val="auto"/>
                <w:w w:val="92"/>
                <w:vertAlign w:val="superscript"/>
              </w:rPr>
              <w:t>(1)</w:t>
            </w:r>
          </w:p>
        </w:tc>
        <w:tc>
          <w:tcPr>
            <w:tcW w:w="5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1460" w:type="dxa"/>
            <w:vAlign w:val="bottom"/>
            <w:gridSpan w:val="2"/>
          </w:tcPr>
          <w:p>
            <w:pPr>
              <w:jc w:val="center"/>
              <w:ind w:right="480"/>
              <w:spacing w:after="0" w:line="162" w:lineRule="exact"/>
              <w:rPr>
                <w:sz w:val="20"/>
                <w:szCs w:val="20"/>
                <w:color w:val="auto"/>
              </w:rPr>
            </w:pPr>
            <w:r>
              <w:rPr>
                <w:rFonts w:ascii="Arial" w:cs="Arial" w:eastAsia="Arial" w:hAnsi="Arial"/>
                <w:sz w:val="12"/>
                <w:szCs w:val="12"/>
                <w:b w:val="1"/>
                <w:bCs w:val="1"/>
                <w:color w:val="auto"/>
                <w:w w:val="92"/>
              </w:rPr>
              <w:t>expense</w:t>
            </w:r>
            <w:r>
              <w:rPr>
                <w:rFonts w:ascii="Arial" w:cs="Arial" w:eastAsia="Arial" w:hAnsi="Arial"/>
                <w:sz w:val="18"/>
                <w:szCs w:val="18"/>
                <w:b w:val="1"/>
                <w:bCs w:val="1"/>
                <w:color w:val="auto"/>
                <w:w w:val="92"/>
                <w:vertAlign w:val="superscript"/>
              </w:rPr>
              <w:t>(1)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director/officer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440" w:type="dxa"/>
            <w:vAlign w:val="bottom"/>
            <w:gridSpan w:val="5"/>
            <w:shd w:val="clear" w:color="auto" w:fill="CCEEFF"/>
          </w:tcPr>
          <w:p>
            <w:pPr>
              <w:spacing w:after="0" w:line="149" w:lineRule="exact"/>
              <w:rPr>
                <w:sz w:val="20"/>
                <w:szCs w:val="20"/>
                <w:color w:val="auto"/>
              </w:rPr>
            </w:pPr>
            <w:r>
              <w:rPr>
                <w:rFonts w:ascii="Arial" w:cs="Arial" w:eastAsia="Arial" w:hAnsi="Arial"/>
                <w:sz w:val="16"/>
                <w:szCs w:val="16"/>
                <w:b w:val="1"/>
                <w:bCs w:val="1"/>
                <w:color w:val="auto"/>
              </w:rPr>
              <w:t>Independent directors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8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ind w:left="78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gridSpan w:val="2"/>
          </w:tcPr>
          <w:p>
            <w:pPr>
              <w:jc w:val="right"/>
              <w:ind w:right="600"/>
              <w:spacing w:after="0"/>
              <w:rPr>
                <w:sz w:val="20"/>
                <w:szCs w:val="20"/>
                <w:color w:val="auto"/>
              </w:rPr>
            </w:pPr>
            <w:r>
              <w:rPr>
                <w:rFonts w:ascii="Arial" w:cs="Arial" w:eastAsia="Arial" w:hAnsi="Arial"/>
                <w:sz w:val="18"/>
                <w:szCs w:val="18"/>
                <w:color w:val="auto"/>
              </w:rPr>
              <w:t>102,500</w:t>
            </w:r>
          </w:p>
        </w:tc>
        <w:tc>
          <w:tcPr>
            <w:tcW w:w="9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8"/>
              </w:rPr>
              <w:t>None</w:t>
            </w:r>
          </w:p>
        </w:tc>
        <w:tc>
          <w:tcPr>
            <w:tcW w:w="720" w:type="dxa"/>
            <w:vAlign w:val="bottom"/>
            <w:tcBorders>
              <w:top w:val="single" w:sz="8" w:color="CCEEFF"/>
            </w:tcBorders>
            <w:gridSpan w:val="2"/>
          </w:tcPr>
          <w:p>
            <w:pPr>
              <w:ind w:left="5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gridSpan w:val="2"/>
          </w:tcPr>
          <w:p>
            <w:pPr>
              <w:ind w:left="100"/>
              <w:spacing w:after="0"/>
              <w:rPr>
                <w:sz w:val="20"/>
                <w:szCs w:val="20"/>
                <w:color w:val="auto"/>
              </w:rPr>
            </w:pPr>
            <w:r>
              <w:rPr>
                <w:rFonts w:ascii="Arial" w:cs="Arial" w:eastAsia="Arial" w:hAnsi="Arial"/>
                <w:sz w:val="18"/>
                <w:szCs w:val="18"/>
                <w:color w:val="auto"/>
              </w:rPr>
              <w:t>102,500</w:t>
            </w:r>
          </w:p>
        </w:tc>
        <w:tc>
          <w:tcPr>
            <w:tcW w:w="40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56,250</w:t>
            </w:r>
          </w:p>
        </w:tc>
        <w:tc>
          <w:tcPr>
            <w:tcW w:w="6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gridSpan w:val="2"/>
          </w:tcPr>
          <w:p>
            <w:pPr>
              <w:jc w:val="center"/>
              <w:ind w:right="480"/>
              <w:spacing w:after="0"/>
              <w:rPr>
                <w:sz w:val="20"/>
                <w:szCs w:val="20"/>
                <w:color w:val="auto"/>
              </w:rPr>
            </w:pPr>
            <w:r>
              <w:rPr>
                <w:rFonts w:ascii="Arial" w:cs="Arial" w:eastAsia="Arial" w:hAnsi="Arial"/>
                <w:sz w:val="18"/>
                <w:szCs w:val="18"/>
                <w:color w:val="auto"/>
                <w:w w:val="88"/>
              </w:rPr>
              <w:t>None</w:t>
            </w:r>
          </w:p>
        </w:tc>
        <w:tc>
          <w:tcPr>
            <w:tcW w:w="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56,250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102,500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102,500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6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8"/>
              </w:rPr>
              <w:t>None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112,500</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112,500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58,750</w:t>
            </w:r>
          </w:p>
        </w:tc>
        <w:tc>
          <w:tcPr>
            <w:tcW w:w="60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None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Samuel L. Katz</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112,500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112,500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58,750</w:t>
            </w:r>
          </w:p>
        </w:tc>
        <w:tc>
          <w:tcPr>
            <w:tcW w:w="6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8"/>
              </w:rPr>
              <w:t>None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460" w:type="dxa"/>
            <w:vAlign w:val="bottom"/>
            <w:gridSpan w:val="6"/>
          </w:tcPr>
          <w:p>
            <w:pPr>
              <w:spacing w:after="0"/>
              <w:rPr>
                <w:sz w:val="20"/>
                <w:szCs w:val="20"/>
                <w:color w:val="auto"/>
              </w:rPr>
            </w:pPr>
            <w:r>
              <w:rPr>
                <w:rFonts w:ascii="Arial" w:cs="Arial" w:eastAsia="Arial" w:hAnsi="Arial"/>
                <w:sz w:val="18"/>
                <w:szCs w:val="18"/>
                <w:b w:val="1"/>
                <w:bCs w:val="1"/>
                <w:color w:val="auto"/>
              </w:rPr>
              <w:t>Interested director</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Arthur H. Penn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None</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None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None</w:t>
            </w:r>
          </w:p>
        </w:tc>
        <w:tc>
          <w:tcPr>
            <w:tcW w:w="14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8"/>
              </w:rPr>
              <w:t>None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84"/>
        </w:trPr>
        <w:tc>
          <w:tcPr>
            <w:tcW w:w="2460" w:type="dxa"/>
            <w:vAlign w:val="bottom"/>
            <w:gridSpan w:val="6"/>
          </w:tcPr>
          <w:p>
            <w:pPr>
              <w:spacing w:after="0"/>
              <w:rPr>
                <w:sz w:val="20"/>
                <w:szCs w:val="20"/>
                <w:color w:val="auto"/>
              </w:rPr>
            </w:pPr>
            <w:r>
              <w:rPr>
                <w:rFonts w:ascii="Arial" w:cs="Arial" w:eastAsia="Arial" w:hAnsi="Arial"/>
                <w:sz w:val="18"/>
                <w:szCs w:val="18"/>
                <w:b w:val="1"/>
                <w:bCs w:val="1"/>
                <w:color w:val="auto"/>
              </w:rPr>
              <w:t>Executive officer</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None</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None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None</w:t>
            </w:r>
          </w:p>
        </w:tc>
        <w:tc>
          <w:tcPr>
            <w:tcW w:w="14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8"/>
              </w:rPr>
              <w:t>None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0" w:name="page21"/>
    <w:bookmarkEnd w:id="20"/>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Efrat also is an employee of the Administrator.</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Certain Relationships and Related Party Transactions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Company’s investment activities are managed by the Adviser and supervised by its Board, 80% of who are Independent Directors. PNNT’s Investment Management Agreement with the Adviser was re-approved by its Board, including a majority of the Independent Directors, in February 2012. PFLT’s Investment Management Agreement with the Adviser was approved by its Board, including a majority of the Independent Directors, in March 2011. Under each Company’s Investment Management Agreement, the Adviser, subject to the overall supervision of the Board, manages the day-to-day operations of and provides investment advisory services to the Company. For providing these services, the Adviser receives a fee from each Company, consisting of two components: a base management fee and an incentive fee. For the fiscal year ended September 30, 2012, the Adviser earned a base management fee of $17.5 million and an incentive fee of $14.2 million from PNNT, and a base management fee of $1.5 million and an incentive fee of $0.3million from PFLT.</w:t>
      </w:r>
    </w:p>
    <w:p>
      <w:pPr>
        <w:spacing w:after="0" w:line="118"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For PFLT, the Adviser paid to the Company’s underwriters 2% of the sales load, or $2.1 million in the aggregate, with respect to the initial public offering and exercise of the over-allotment option of shares of PFLT’s Common Stock. PFLT (and, indirectly, its Stockholders) is obligated to repay this amount if certain conditions occur. If one or more of these conditions does not occur on or before April 7, 2014, PFLT will not be obligated to repay this amount. PFLT will repay such amount to the Adviser in cash, and the Adviser has agreed to use such payment to purchase shares of PFLT’s Common Stock in the secondary market.</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Each Company also has entered into an Administration Agreement with the Administrator. Under each Company’s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and their respective staffs. Aviv Efrat, each Company’s Chief Financial Officer, is the Managing Director of the Administrator. For the fiscal year ended September 30, 2012, the Adviser and the Administrator, collectively, were reimbursed $3.6 million from PNNT and $0.1 million from PFLT, for the services described above.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 has granted a non-exclusive, royalty-free license to each Company to use the name “PennantPark.”</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pursuant to the terms of each Administration Agreement, the Administrator provides the Companies with the office facilities and administrative services necessary to conduct their day-to-day operations. The Adviser is the sole member of, and controls, the Administrator.</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of each Company, in consultation with the Companies’ Chief Executive Officer, CCO and legal counsel, has established a written policy to govern the review of potential related party transactions. The Audit Committee of each Company conducts quarterly reviews of any potential related party transactions and, during these reviews, it also considers any conflicts of interest brought to its attention pursuant to the Company’s Joint Code of Conduct or Joint Code of Ethics.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28"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RATIFICATION OF SELECTION OF INDEPENDENT REGISTERED PUBLIC ACCOUNTING FIRM</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KPMG LLP (“KPMG”) has been selected as the independent registered public accounting firm to audit the consolidated financial statements of each Company and its subsidiaries on and during the Company’s fiscal year ending September 30, 2013. KPMG was selected by each Audit Committee, and that selection was ratified by a majority of each Company’s Board, including all of the Independent Directors, by a vote cast in person. The Companies do not know of any direct or indirect financial interest of KPMG in the Companies. Representative(s) of KPMG will attend the Meeting and will have the opportunity to make a statement if they desire to do so and will be available to answer questions.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PNNT</w:t>
            </w:r>
          </w:p>
        </w:tc>
        <w:tc>
          <w:tcPr>
            <w:tcW w:w="80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729"/>
              <w:spacing w:after="0"/>
              <w:rPr>
                <w:sz w:val="20"/>
                <w:szCs w:val="20"/>
                <w:color w:val="auto"/>
              </w:rPr>
            </w:pPr>
            <w:r>
              <w:rPr>
                <w:rFonts w:ascii="Arial" w:cs="Arial" w:eastAsia="Arial" w:hAnsi="Arial"/>
                <w:sz w:val="14"/>
                <w:szCs w:val="14"/>
                <w:color w:val="auto"/>
              </w:rPr>
              <w:t>PFLT</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jc w:val="right"/>
              <w:spacing w:after="0" w:line="131" w:lineRule="exact"/>
              <w:rPr>
                <w:sz w:val="20"/>
                <w:szCs w:val="20"/>
                <w:color w:val="auto"/>
              </w:rPr>
            </w:pPr>
            <w:r>
              <w:rPr>
                <w:rFonts w:ascii="Arial" w:cs="Arial" w:eastAsia="Arial" w:hAnsi="Arial"/>
                <w:sz w:val="14"/>
                <w:szCs w:val="14"/>
                <w:color w:val="auto"/>
                <w:w w:val="89"/>
              </w:rPr>
              <w:t>Fiscal Year Ended</w:t>
            </w:r>
          </w:p>
        </w:tc>
        <w:tc>
          <w:tcPr>
            <w:tcW w:w="960" w:type="dxa"/>
            <w:vAlign w:val="bottom"/>
          </w:tcPr>
          <w:p>
            <w:pPr>
              <w:spacing w:after="0"/>
              <w:rPr>
                <w:sz w:val="11"/>
                <w:szCs w:val="11"/>
                <w:color w:val="auto"/>
              </w:rPr>
            </w:pPr>
          </w:p>
        </w:tc>
        <w:tc>
          <w:tcPr>
            <w:tcW w:w="1100" w:type="dxa"/>
            <w:vAlign w:val="bottom"/>
            <w:gridSpan w:val="2"/>
          </w:tcPr>
          <w:p>
            <w:pPr>
              <w:jc w:val="right"/>
              <w:spacing w:after="0" w:line="131" w:lineRule="exact"/>
              <w:rPr>
                <w:sz w:val="20"/>
                <w:szCs w:val="20"/>
                <w:color w:val="auto"/>
              </w:rPr>
            </w:pPr>
            <w:r>
              <w:rPr>
                <w:rFonts w:ascii="Arial" w:cs="Arial" w:eastAsia="Arial" w:hAnsi="Arial"/>
                <w:sz w:val="14"/>
                <w:szCs w:val="14"/>
                <w:color w:val="auto"/>
                <w:w w:val="89"/>
              </w:rPr>
              <w:t>Fiscal Year Ended</w:t>
            </w:r>
          </w:p>
        </w:tc>
        <w:tc>
          <w:tcPr>
            <w:tcW w:w="960" w:type="dxa"/>
            <w:vAlign w:val="bottom"/>
          </w:tcPr>
          <w:p>
            <w:pPr>
              <w:spacing w:after="0"/>
              <w:rPr>
                <w:sz w:val="11"/>
                <w:szCs w:val="11"/>
                <w:color w:val="auto"/>
              </w:rPr>
            </w:pPr>
          </w:p>
        </w:tc>
        <w:tc>
          <w:tcPr>
            <w:tcW w:w="138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84"/>
              </w:rPr>
              <w:t>Partial Fiscal Year Ended</w:t>
            </w:r>
          </w:p>
        </w:tc>
        <w:tc>
          <w:tcPr>
            <w:tcW w:w="1000" w:type="dxa"/>
            <w:vAlign w:val="bottom"/>
          </w:tcPr>
          <w:p>
            <w:pPr>
              <w:spacing w:after="0"/>
              <w:rPr>
                <w:sz w:val="11"/>
                <w:szCs w:val="11"/>
                <w:color w:val="auto"/>
              </w:rPr>
            </w:pPr>
          </w:p>
        </w:tc>
        <w:tc>
          <w:tcPr>
            <w:tcW w:w="108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5"/>
              </w:rPr>
              <w:t>Fiscal Year Ended</w:t>
            </w: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gridSpan w:val="2"/>
          </w:tcPr>
          <w:p>
            <w:pPr>
              <w:ind w:left="20"/>
              <w:spacing w:after="0" w:line="159" w:lineRule="exact"/>
              <w:rPr>
                <w:sz w:val="20"/>
                <w:szCs w:val="20"/>
                <w:color w:val="auto"/>
              </w:rPr>
            </w:pPr>
            <w:r>
              <w:rPr>
                <w:rFonts w:ascii="Arial" w:cs="Arial" w:eastAsia="Arial" w:hAnsi="Arial"/>
                <w:sz w:val="14"/>
                <w:szCs w:val="14"/>
                <w:color w:val="auto"/>
                <w:w w:val="83"/>
              </w:rPr>
              <w:t>September 30, 2011</w:t>
            </w:r>
          </w:p>
        </w:tc>
        <w:tc>
          <w:tcPr>
            <w:tcW w:w="960" w:type="dxa"/>
            <w:vAlign w:val="bottom"/>
          </w:tcPr>
          <w:p>
            <w:pPr>
              <w:spacing w:after="0"/>
              <w:rPr>
                <w:sz w:val="13"/>
                <w:szCs w:val="13"/>
                <w:color w:val="auto"/>
              </w:rPr>
            </w:pPr>
          </w:p>
        </w:tc>
        <w:tc>
          <w:tcPr>
            <w:tcW w:w="2060" w:type="dxa"/>
            <w:vAlign w:val="bottom"/>
            <w:gridSpan w:val="3"/>
          </w:tcPr>
          <w:p>
            <w:pPr>
              <w:spacing w:after="0" w:line="159" w:lineRule="exact"/>
              <w:rPr>
                <w:sz w:val="20"/>
                <w:szCs w:val="20"/>
                <w:color w:val="auto"/>
              </w:rPr>
            </w:pPr>
            <w:r>
              <w:rPr>
                <w:rFonts w:ascii="Arial" w:cs="Arial" w:eastAsia="Arial" w:hAnsi="Arial"/>
                <w:sz w:val="14"/>
                <w:szCs w:val="14"/>
                <w:color w:val="auto"/>
              </w:rPr>
              <w:t>September 30, 2012</w:t>
            </w:r>
          </w:p>
        </w:tc>
        <w:tc>
          <w:tcPr>
            <w:tcW w:w="120" w:type="dxa"/>
            <w:vAlign w:val="bottom"/>
          </w:tcPr>
          <w:p>
            <w:pPr>
              <w:spacing w:after="0"/>
              <w:rPr>
                <w:sz w:val="13"/>
                <w:szCs w:val="13"/>
                <w:color w:val="auto"/>
              </w:rPr>
            </w:pPr>
          </w:p>
        </w:tc>
        <w:tc>
          <w:tcPr>
            <w:tcW w:w="1260" w:type="dxa"/>
            <w:vAlign w:val="bottom"/>
          </w:tcPr>
          <w:p>
            <w:pPr>
              <w:jc w:val="right"/>
              <w:ind w:right="56"/>
              <w:spacing w:after="0" w:line="159" w:lineRule="exact"/>
              <w:rPr>
                <w:sz w:val="20"/>
                <w:szCs w:val="20"/>
                <w:color w:val="auto"/>
              </w:rPr>
            </w:pPr>
            <w:r>
              <w:rPr>
                <w:rFonts w:ascii="Arial" w:cs="Arial" w:eastAsia="Arial" w:hAnsi="Arial"/>
                <w:sz w:val="14"/>
                <w:szCs w:val="14"/>
                <w:color w:val="auto"/>
                <w:w w:val="86"/>
              </w:rPr>
              <w:t>September 30, 2011</w:t>
            </w:r>
          </w:p>
        </w:tc>
        <w:tc>
          <w:tcPr>
            <w:tcW w:w="1000" w:type="dxa"/>
            <w:vAlign w:val="bottom"/>
          </w:tcPr>
          <w:p>
            <w:pPr>
              <w:spacing w:after="0"/>
              <w:rPr>
                <w:sz w:val="13"/>
                <w:szCs w:val="13"/>
                <w:color w:val="auto"/>
              </w:rPr>
            </w:pPr>
          </w:p>
        </w:tc>
        <w:tc>
          <w:tcPr>
            <w:tcW w:w="118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5"/>
              </w:rPr>
              <w:t>September 30, 2012</w:t>
            </w:r>
          </w:p>
        </w:tc>
      </w:tr>
      <w:tr>
        <w:trPr>
          <w:trHeight w:val="210"/>
        </w:trPr>
        <w:tc>
          <w:tcPr>
            <w:tcW w:w="20" w:type="dxa"/>
            <w:vAlign w:val="bottom"/>
          </w:tcPr>
          <w:p>
            <w:pPr>
              <w:spacing w:after="0"/>
              <w:rPr>
                <w:sz w:val="18"/>
                <w:szCs w:val="18"/>
                <w:color w:val="auto"/>
              </w:rPr>
            </w:pPr>
          </w:p>
        </w:tc>
        <w:tc>
          <w:tcPr>
            <w:tcW w:w="2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422,900</w:t>
            </w:r>
          </w:p>
        </w:tc>
        <w:tc>
          <w:tcPr>
            <w:tcW w:w="9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304,149</w:t>
            </w: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155,900</w:t>
            </w:r>
          </w:p>
        </w:tc>
        <w:tc>
          <w:tcPr>
            <w:tcW w:w="10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Audit Related Fees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47,775</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37,525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3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All Other Fees</w:t>
            </w:r>
          </w:p>
        </w:tc>
        <w:tc>
          <w:tcPr>
            <w:tcW w:w="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470,675</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341,674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162,650</w:t>
            </w:r>
          </w:p>
        </w:tc>
        <w:tc>
          <w:tcPr>
            <w:tcW w:w="13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normally provided by KPMG in connection with statutory and regulatory filings.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 local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Each Audit Committee has established a pre-approval policy that describes the permitted audit, audit-related, tax and other services to be provided by KPMG,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All audit-related, tax and other services provided by KPMG to the Companies during the fiscal year ended September 30, 2012 were approved by the Audit Committees in accordance with such policy.</w:t>
      </w:r>
    </w:p>
    <w:p>
      <w:pPr>
        <w:spacing w:after="0" w:line="1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of the relevant Company for specific pre-approval and cannot commence until such approval has been granted. Normally, pre-approval is provided at regularly scheduled meetings of the Audit Committees. However, each Audit Committee may delegate pre-approval authority to one or more of its members. The member or members to whom such authority is delegated shall report any pre-approval decisions to the Audit Committee at its next scheduled meeting. The Audit Committees do not delegate their responsibilities to pre-approve services performed by the independent registered public accounting firm to Company management.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ind w:right="8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BOARD, INCLUDING ITS INDEPENDENT DIRECTORS, UNANIMOUSLY RECOMMENDS THAT YOU VOTE FOR RATIFICATION OF KPMG AS INDEPENDENT REGISTERED PUBLIC ACCOUNTING FIRM TO YOUR COMPANY FOR THE FISCAL YEAR ENDING SEPTEMBER 30,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Report</w:t>
      </w:r>
      <w:r>
        <w:rPr>
          <w:rFonts w:ascii="Arial" w:cs="Arial" w:eastAsia="Arial" w:hAnsi="Arial"/>
          <w:sz w:val="11"/>
          <w:szCs w:val="11"/>
          <w:b w:val="1"/>
          <w:bCs w:val="1"/>
          <w:i w:val="1"/>
          <w:iCs w:val="1"/>
          <w:color w:val="auto"/>
        </w:rPr>
        <w:t>(1)</w:t>
      </w:r>
    </w:p>
    <w:p>
      <w:pPr>
        <w:spacing w:after="0" w:line="9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The following is the joint report of the Audit Committees with respect to each Company’s audited financial statements for the fiscal year ended September 30, 2012.</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Audit Committee has reviewed and discussed the Company’s audited financial statements with management and KPMG, the Companies’ independent registered public accounting firm, with and without management present. Each Audit Committee included in its review results of KPMG’s examinations, the Company’s internal controls and the quality of the Company’s financial reporting. Each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Committees are satisfied that the Companies’ internal control systems are adequate and that the Companies employ appropriate accounting and auditing procedures.</w:t>
      </w:r>
    </w:p>
    <w:p>
      <w:pPr>
        <w:spacing w:after="0" w:line="12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Each Audit Committee also has discussed with KPMG matters relating to KPMG’s judgment about the quality, as well as the acceptability, of the Company’s accounting principles as applied in its financial reporting as required by Statement on Auditing Standards No. 114 (The Auditor’s Communication With Those Charged With Governance). In addition, each Audit Committee has discussed with KPMG its independence from management and the Company, as well as the matters in the written disclosures received from KPMG and required by Public Company Accounting Oversight Board Rule 3520 (Auditor Independence). Each Audit Committee received a report from KPMG confirming its independence and discussed the report with KPMG. Each Audit Committee discussed and reviewed with KPMG the Company’s critical accounting policies and practices, internal controls, other material written communications to management and the scope of KPMG’s audits and all fees paid to KPMG during the fiscal year. Each Audit Committee adopted guidelines requiring review and pre-approval by the Audit Committee of audit and non-audit services performed by KPMG for the Company. Each Audit Committee has reviewed and considered the compatibility of KPMG’s performance of non-audit services with the maintenance of KPMG’s independence as the Company’s independent registered public accounting firm.</w:t>
      </w:r>
    </w:p>
    <w:p>
      <w:pPr>
        <w:spacing w:after="0" w:line="12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Based on each Audit Committee’s review and discussions referred to above, each Audit Committee recommended to its Board (and the Board has approved) that the Company’s audited financial statements be included in the Company’s Annual Report on Form 10-K for the fiscal year ended September 30, 2012 for filing with the SEC. In addition, the Audit Committees have engaged KPMG to serve as the Companies’ independent registered public accounting firm for the fiscal year ending September 30, 2013, and have directed that the selection of KPMG should be submitted to the Companies’ Stockholders for ratification.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Samuel L. Katz,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Brozost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12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Companies under the Securities Act of 1933, as amended, or under the Exchange Act, whether made before or after the date hereof and irrespective of any general incorporation language in any such filing.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Boards know of no other matter that is likely to come before the Meeting or that may properly come before the Meeting, apart from the consideration of an adjournment or postponement.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there appears not to be enough votes for a quorum of a Company or to approve the proposals of a Company at the Meeting, the Stockholders of such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who are represented in person or by proxy may vote to adjourn the Meeting with respect to that Company to permit the further solicitation of proxies.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person(s) named as proxies will vote proxies held by them for such adjournment.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Copies of the Companies’ Annual Reports on Form 10-K, Quarterly Reports on Form 10-Q and Current Reports on Form 8-K are available at our website (http://www.pennantpark.com) or without charge upon request. Please direct your request to PennantPark, Attention: Investor Relations,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Copies of such reports are also posted via EDGAR on the SEC’s website (http://www.sec.gov).</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Companies expect to hold their 2014 Joint Annual Meeting of Stockholders in February 2014, but the exact date, time and location of such meeting have yet to be determined. A Stockholder of either Company who intends to present a proposal at that meeting, including nomination of a director, must submit the proposal in writing addressed to Thomas J. Friedmann, Secretary, c/o PennantPark, 590 Madison Avenue, 15 </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Notices of intention to present proposals, including nomination of a director, at the 2014 Joint Annual Meeting of Stockholders must be received by the relevant Company between July 22, 2013 and 5:00 p.m. Eastern Time on August 21, 2013. The submission of a proposal does not guarantee its inclusion in the Companies’ joint proxy statement or presentation at the meeting unless certain securities law requirements are met. The Companies reserve the right to reject, rule out of order or to take other appropriate action with respect to any proposal that does not comply with these and other applicable requirements.</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Audit Committee of each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 involving the CCO, may submit complaints directly to the Audit Committees’ Co-Chairs. Complaints may be submitted on an anonymous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Guy F. Talarico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Messrs. Jeffrey Flug and/or Samuel L. Katz</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4" w:name="page25"/>
    <w:bookmarkEnd w:id="2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are cordially invited to attend our Joint Annual Meeting of Stockholders in person. Whether or not you plan to attend the Meeting, you are requested to vote in accordance with the voting instructions in the Notice of Internet Availability of Proxy Materials, or by requesting hard copy proxy materials from us and returning a proxy card(s).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97560" cy="248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19, 2012</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280" w:right="359" w:bottom="1440" w:gutter="0" w:footer="0" w:header="0"/>
        </w:sectPr>
      </w:pPr>
    </w:p>
    <w:bookmarkStart w:id="25" w:name="page26"/>
    <w:bookmarkEnd w:id="25"/>
    <w:p>
      <w:pPr>
        <w:jc w:val="center"/>
        <w:ind w:left="600" w:right="180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Shareholder Meeting to Be Held on February 5, 2013.</w:t>
      </w:r>
    </w:p>
    <w:p>
      <w:pPr>
        <w:spacing w:after="0" w:line="248" w:lineRule="exact"/>
        <w:rPr>
          <w:sz w:val="20"/>
          <w:szCs w:val="20"/>
          <w:color w:val="auto"/>
        </w:rPr>
      </w:pPr>
    </w:p>
    <w:tbl>
      <w:tblPr>
        <w:tblLayout w:type="fixed"/>
        <w:tblInd w:w="600" w:type="dxa"/>
        <w:tblCellMar>
          <w:top w:w="0" w:type="dxa"/>
          <w:left w:w="0" w:type="dxa"/>
          <w:bottom w:w="0" w:type="dxa"/>
          <w:right w:w="0" w:type="dxa"/>
        </w:tblCellMar>
      </w:tblPr>
      <w:tr>
        <w:trPr>
          <w:trHeight w:val="189"/>
        </w:trPr>
        <w:tc>
          <w:tcPr>
            <w:tcW w:w="4080" w:type="dxa"/>
            <w:vAlign w:val="bottom"/>
            <w:tcBorders>
              <w:right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8"/>
                <w:szCs w:val="18"/>
                <w:b w:val="1"/>
                <w:bCs w:val="1"/>
                <w:color w:val="auto"/>
                <w:w w:val="90"/>
              </w:rPr>
              <w:t>Meeting Information</w:t>
            </w:r>
          </w:p>
        </w:tc>
        <w:tc>
          <w:tcPr>
            <w:tcW w:w="198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80" w:type="dxa"/>
            <w:vAlign w:val="bottom"/>
            <w:tcBorders>
              <w:right w:val="single" w:sz="8" w:color="auto"/>
            </w:tcBorders>
          </w:tcPr>
          <w:p>
            <w:pPr>
              <w:jc w:val="center"/>
              <w:ind w:right="1432"/>
              <w:spacing w:after="0"/>
              <w:rPr>
                <w:sz w:val="20"/>
                <w:szCs w:val="20"/>
                <w:color w:val="auto"/>
              </w:rPr>
            </w:pPr>
            <w:r>
              <w:rPr>
                <w:rFonts w:ascii="Arial" w:cs="Arial" w:eastAsia="Arial" w:hAnsi="Arial"/>
                <w:sz w:val="18"/>
                <w:szCs w:val="18"/>
                <w:b w:val="1"/>
                <w:bCs w:val="1"/>
                <w:color w:val="auto"/>
                <w:w w:val="98"/>
              </w:rPr>
              <w:t>PENNANTPARK INVESTMENT</w:t>
            </w:r>
          </w:p>
        </w:tc>
        <w:tc>
          <w:tcPr>
            <w:tcW w:w="1520" w:type="dxa"/>
            <w:vAlign w:val="bottom"/>
          </w:tcPr>
          <w:p>
            <w:pPr>
              <w:ind w:left="100"/>
              <w:spacing w:after="0"/>
              <w:rPr>
                <w:sz w:val="20"/>
                <w:szCs w:val="20"/>
                <w:color w:val="auto"/>
              </w:rPr>
            </w:pPr>
            <w:r>
              <w:rPr>
                <w:rFonts w:ascii="Arial" w:cs="Arial" w:eastAsia="Arial" w:hAnsi="Arial"/>
                <w:sz w:val="18"/>
                <w:szCs w:val="18"/>
                <w:b w:val="1"/>
                <w:bCs w:val="1"/>
                <w:color w:val="auto"/>
              </w:rPr>
              <w:t>Meeting Type:</w:t>
            </w: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Annual Meeting</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80" w:type="dxa"/>
            <w:vAlign w:val="bottom"/>
            <w:tcBorders>
              <w:right w:val="single" w:sz="8" w:color="auto"/>
            </w:tcBorders>
          </w:tcPr>
          <w:p>
            <w:pPr>
              <w:jc w:val="center"/>
              <w:ind w:right="1432"/>
              <w:spacing w:after="0"/>
              <w:rPr>
                <w:sz w:val="20"/>
                <w:szCs w:val="20"/>
                <w:color w:val="auto"/>
              </w:rPr>
            </w:pPr>
            <w:r>
              <w:rPr>
                <w:rFonts w:ascii="Arial" w:cs="Arial" w:eastAsia="Arial" w:hAnsi="Arial"/>
                <w:sz w:val="18"/>
                <w:szCs w:val="18"/>
                <w:b w:val="1"/>
                <w:bCs w:val="1"/>
                <w:color w:val="auto"/>
                <w:w w:val="97"/>
              </w:rPr>
              <w:t>CORPORATION</w:t>
            </w:r>
          </w:p>
        </w:tc>
        <w:tc>
          <w:tcPr>
            <w:tcW w:w="152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2"/>
              </w:rPr>
              <w:t>For holders as of:</w:t>
            </w:r>
          </w:p>
        </w:tc>
        <w:tc>
          <w:tcPr>
            <w:tcW w:w="4020" w:type="dxa"/>
            <w:vAlign w:val="bottom"/>
            <w:gridSpan w:val="3"/>
            <w:vMerge w:val="restart"/>
          </w:tcPr>
          <w:p>
            <w:pPr>
              <w:ind w:left="120"/>
              <w:spacing w:after="0"/>
              <w:rPr>
                <w:sz w:val="20"/>
                <w:szCs w:val="20"/>
                <w:color w:val="auto"/>
              </w:rPr>
            </w:pPr>
            <w:r>
              <w:rPr>
                <w:rFonts w:ascii="Arial" w:cs="Arial" w:eastAsia="Arial" w:hAnsi="Arial"/>
                <w:sz w:val="18"/>
                <w:szCs w:val="18"/>
                <w:color w:val="auto"/>
              </w:rPr>
              <w:t>December 11, 2012</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080" w:type="dxa"/>
            <w:vAlign w:val="bottom"/>
            <w:tcBorders>
              <w:right w:val="single" w:sz="8" w:color="auto"/>
            </w:tcBorders>
          </w:tcPr>
          <w:p>
            <w:pPr>
              <w:spacing w:after="0"/>
              <w:rPr>
                <w:sz w:val="9"/>
                <w:szCs w:val="9"/>
                <w:color w:val="auto"/>
              </w:rPr>
            </w:pPr>
          </w:p>
        </w:tc>
        <w:tc>
          <w:tcPr>
            <w:tcW w:w="1520" w:type="dxa"/>
            <w:vAlign w:val="bottom"/>
            <w:vMerge w:val="continue"/>
          </w:tcPr>
          <w:p>
            <w:pPr>
              <w:spacing w:after="0"/>
              <w:rPr>
                <w:sz w:val="9"/>
                <w:szCs w:val="9"/>
                <w:color w:val="auto"/>
              </w:rPr>
            </w:pPr>
          </w:p>
        </w:tc>
        <w:tc>
          <w:tcPr>
            <w:tcW w:w="4020" w:type="dxa"/>
            <w:vAlign w:val="bottom"/>
            <w:gridSpan w:val="3"/>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4080" w:type="dxa"/>
            <w:vAlign w:val="bottom"/>
            <w:tcBorders>
              <w:right w:val="single" w:sz="8" w:color="auto"/>
            </w:tcBorders>
          </w:tcPr>
          <w:p>
            <w:pPr>
              <w:spacing w:after="0"/>
              <w:rPr>
                <w:sz w:val="24"/>
                <w:szCs w:val="24"/>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 xml:space="preserve">Date:   </w:t>
            </w:r>
            <w:r>
              <w:rPr>
                <w:rFonts w:ascii="Arial" w:cs="Arial" w:eastAsia="Arial" w:hAnsi="Arial"/>
                <w:sz w:val="18"/>
                <w:szCs w:val="18"/>
                <w:color w:val="auto"/>
                <w:w w:val="94"/>
              </w:rPr>
              <w:t>February 5, 2013</w:t>
            </w:r>
          </w:p>
        </w:tc>
        <w:tc>
          <w:tcPr>
            <w:tcW w:w="3560" w:type="dxa"/>
            <w:vAlign w:val="bottom"/>
            <w:gridSpan w:val="2"/>
          </w:tcPr>
          <w:p>
            <w:pPr>
              <w:ind w:left="30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9:30 AM EST</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80" w:type="dxa"/>
            <w:vAlign w:val="bottom"/>
            <w:tcBorders>
              <w:right w:val="single" w:sz="8" w:color="auto"/>
            </w:tcBorders>
          </w:tcPr>
          <w:p>
            <w:pPr>
              <w:spacing w:after="0"/>
              <w:rPr>
                <w:sz w:val="24"/>
                <w:szCs w:val="24"/>
                <w:color w:val="auto"/>
              </w:rPr>
            </w:pPr>
          </w:p>
        </w:tc>
        <w:tc>
          <w:tcPr>
            <w:tcW w:w="5540" w:type="dxa"/>
            <w:vAlign w:val="bottom"/>
            <w:gridSpan w:val="4"/>
          </w:tcPr>
          <w:p>
            <w:pPr>
              <w:ind w:left="10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Offices of Dechert LLP.</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tcBorders>
              <w:right w:val="single" w:sz="8" w:color="auto"/>
            </w:tcBorders>
          </w:tcPr>
          <w:p>
            <w:pPr>
              <w:spacing w:after="0"/>
              <w:rPr>
                <w:sz w:val="18"/>
                <w:szCs w:val="18"/>
                <w:color w:val="auto"/>
              </w:rPr>
            </w:pPr>
          </w:p>
        </w:tc>
        <w:tc>
          <w:tcPr>
            <w:tcW w:w="5540" w:type="dxa"/>
            <w:vAlign w:val="bottom"/>
            <w:gridSpan w:val="4"/>
          </w:tcPr>
          <w:p>
            <w:pPr>
              <w:ind w:left="960"/>
              <w:spacing w:after="0"/>
              <w:rPr>
                <w:sz w:val="20"/>
                <w:szCs w:val="20"/>
                <w:color w:val="auto"/>
              </w:rPr>
            </w:pPr>
            <w:r>
              <w:rPr>
                <w:rFonts w:ascii="Arial" w:cs="Arial" w:eastAsia="Arial" w:hAnsi="Arial"/>
                <w:sz w:val="18"/>
                <w:szCs w:val="18"/>
                <w:color w:val="auto"/>
              </w:rPr>
              <w:t>1095 Avenue of the Americas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tcBorders>
              <w:right w:val="single" w:sz="8" w:color="auto"/>
            </w:tcBorders>
          </w:tcPr>
          <w:p>
            <w:pPr>
              <w:spacing w:after="0"/>
              <w:rPr>
                <w:sz w:val="19"/>
                <w:szCs w:val="19"/>
                <w:color w:val="auto"/>
              </w:rPr>
            </w:pPr>
          </w:p>
        </w:tc>
        <w:tc>
          <w:tcPr>
            <w:tcW w:w="5540" w:type="dxa"/>
            <w:vAlign w:val="bottom"/>
            <w:gridSpan w:val="4"/>
          </w:tcPr>
          <w:p>
            <w:pPr>
              <w:ind w:left="960"/>
              <w:spacing w:after="0"/>
              <w:rPr>
                <w:sz w:val="20"/>
                <w:szCs w:val="20"/>
                <w:color w:val="auto"/>
              </w:rPr>
            </w:pPr>
            <w:r>
              <w:rPr>
                <w:rFonts w:ascii="Arial" w:cs="Arial" w:eastAsia="Arial" w:hAnsi="Arial"/>
                <w:sz w:val="18"/>
                <w:szCs w:val="18"/>
                <w:color w:val="auto"/>
              </w:rPr>
              <w:t>New York, NY 10036</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80" w:type="dxa"/>
            <w:vAlign w:val="bottom"/>
            <w:tcBorders>
              <w:right w:val="single" w:sz="8" w:color="auto"/>
            </w:tcBorders>
          </w:tcPr>
          <w:p>
            <w:pPr>
              <w:spacing w:after="0"/>
              <w:rPr>
                <w:sz w:val="14"/>
                <w:szCs w:val="14"/>
                <w:color w:val="auto"/>
              </w:rPr>
            </w:pPr>
          </w:p>
        </w:tc>
        <w:tc>
          <w:tcPr>
            <w:tcW w:w="3560" w:type="dxa"/>
            <w:vAlign w:val="bottom"/>
            <w:tcBorders>
              <w:bottom w:val="single" w:sz="8" w:color="auto"/>
            </w:tcBorders>
            <w:gridSpan w:val="3"/>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4080" w:type="dxa"/>
            <w:vAlign w:val="bottom"/>
          </w:tcPr>
          <w:p>
            <w:pPr>
              <w:spacing w:after="0"/>
              <w:rPr>
                <w:sz w:val="24"/>
                <w:szCs w:val="24"/>
                <w:color w:val="auto"/>
              </w:rPr>
            </w:pPr>
          </w:p>
        </w:tc>
        <w:tc>
          <w:tcPr>
            <w:tcW w:w="5540" w:type="dxa"/>
            <w:vAlign w:val="bottom"/>
            <w:gridSpan w:val="4"/>
          </w:tcPr>
          <w:p>
            <w:pPr>
              <w:ind w:left="100"/>
              <w:spacing w:after="0"/>
              <w:rPr>
                <w:sz w:val="20"/>
                <w:szCs w:val="20"/>
                <w:color w:val="auto"/>
              </w:rPr>
            </w:pPr>
            <w:r>
              <w:rPr>
                <w:rFonts w:ascii="Arial" w:cs="Arial" w:eastAsia="Arial" w:hAnsi="Arial"/>
                <w:sz w:val="18"/>
                <w:szCs w:val="18"/>
                <w:color w:val="auto"/>
                <w:w w:val="97"/>
              </w:rPr>
              <w:t>You are receiving this communication because you hold shares in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80" w:type="dxa"/>
            <w:vAlign w:val="bottom"/>
          </w:tcPr>
          <w:p>
            <w:pPr>
              <w:spacing w:after="0"/>
              <w:rPr>
                <w:sz w:val="19"/>
                <w:szCs w:val="19"/>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w w:val="96"/>
              </w:rPr>
              <w:t>company named above.</w:t>
            </w:r>
          </w:p>
        </w:tc>
        <w:tc>
          <w:tcPr>
            <w:tcW w:w="15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4080" w:type="dxa"/>
            <w:vAlign w:val="bottom"/>
          </w:tcPr>
          <w:p>
            <w:pPr>
              <w:spacing w:after="0"/>
              <w:rPr>
                <w:sz w:val="24"/>
                <w:szCs w:val="24"/>
                <w:color w:val="auto"/>
              </w:rPr>
            </w:pPr>
          </w:p>
        </w:tc>
        <w:tc>
          <w:tcPr>
            <w:tcW w:w="5540" w:type="dxa"/>
            <w:vAlign w:val="bottom"/>
            <w:gridSpan w:val="4"/>
          </w:tcPr>
          <w:p>
            <w:pPr>
              <w:ind w:left="100"/>
              <w:spacing w:after="0"/>
              <w:rPr>
                <w:sz w:val="20"/>
                <w:szCs w:val="20"/>
                <w:color w:val="auto"/>
              </w:rPr>
            </w:pPr>
            <w:r>
              <w:rPr>
                <w:rFonts w:ascii="Arial" w:cs="Arial" w:eastAsia="Arial" w:hAnsi="Arial"/>
                <w:sz w:val="18"/>
                <w:szCs w:val="18"/>
                <w:color w:val="auto"/>
                <w:w w:val="93"/>
              </w:rPr>
              <w:t>This is not a ballot. You cannot use this notice to vote these shares. This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5540" w:type="dxa"/>
            <w:vAlign w:val="bottom"/>
            <w:gridSpan w:val="4"/>
          </w:tcPr>
          <w:p>
            <w:pPr>
              <w:ind w:left="100"/>
              <w:spacing w:after="0"/>
              <w:rPr>
                <w:sz w:val="20"/>
                <w:szCs w:val="20"/>
                <w:color w:val="auto"/>
              </w:rPr>
            </w:pPr>
            <w:r>
              <w:rPr>
                <w:rFonts w:ascii="Arial" w:cs="Arial" w:eastAsia="Arial" w:hAnsi="Arial"/>
                <w:sz w:val="18"/>
                <w:szCs w:val="18"/>
                <w:color w:val="auto"/>
                <w:w w:val="97"/>
              </w:rPr>
              <w:t>communication presents only an overview of the more complete proxy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5540" w:type="dxa"/>
            <w:vAlign w:val="bottom"/>
            <w:gridSpan w:val="4"/>
          </w:tcPr>
          <w:p>
            <w:pPr>
              <w:ind w:left="100"/>
              <w:spacing w:after="0"/>
              <w:rPr>
                <w:sz w:val="20"/>
                <w:szCs w:val="20"/>
                <w:color w:val="auto"/>
              </w:rPr>
            </w:pPr>
            <w:r>
              <w:rPr>
                <w:rFonts w:ascii="Arial" w:cs="Arial" w:eastAsia="Arial" w:hAnsi="Arial"/>
                <w:sz w:val="18"/>
                <w:szCs w:val="18"/>
                <w:color w:val="auto"/>
                <w:w w:val="91"/>
              </w:rPr>
              <w:t>materials that are available to you on the Internet. You may view the proxy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5540" w:type="dxa"/>
            <w:vAlign w:val="bottom"/>
            <w:gridSpan w:val="4"/>
          </w:tcPr>
          <w:p>
            <w:pPr>
              <w:ind w:left="100"/>
              <w:spacing w:after="0"/>
              <w:rPr>
                <w:sz w:val="20"/>
                <w:szCs w:val="20"/>
                <w:color w:val="auto"/>
              </w:rPr>
            </w:pPr>
            <w:r>
              <w:rPr>
                <w:rFonts w:ascii="Arial" w:cs="Arial" w:eastAsia="Arial" w:hAnsi="Arial"/>
                <w:sz w:val="18"/>
                <w:szCs w:val="18"/>
                <w:color w:val="auto"/>
                <w:w w:val="90"/>
              </w:rPr>
              <w:t xml:space="preserve">materials online at </w:t>
            </w:r>
            <w:r>
              <w:rPr>
                <w:rFonts w:ascii="Arial" w:cs="Arial" w:eastAsia="Arial" w:hAnsi="Arial"/>
                <w:sz w:val="18"/>
                <w:szCs w:val="18"/>
                <w:i w:val="1"/>
                <w:iCs w:val="1"/>
                <w:color w:val="auto"/>
                <w:w w:val="90"/>
              </w:rPr>
              <w:t>www.proxyvote.com</w:t>
            </w:r>
            <w:r>
              <w:rPr>
                <w:rFonts w:ascii="Arial" w:cs="Arial" w:eastAsia="Arial" w:hAnsi="Arial"/>
                <w:sz w:val="18"/>
                <w:szCs w:val="18"/>
                <w:color w:val="auto"/>
                <w:w w:val="90"/>
              </w:rPr>
              <w:t xml:space="preserve"> or easily request a paper copy (see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tcPr>
          <w:p>
            <w:pPr>
              <w:spacing w:after="0"/>
              <w:rPr>
                <w:sz w:val="19"/>
                <w:szCs w:val="19"/>
                <w:color w:val="auto"/>
              </w:rPr>
            </w:pPr>
          </w:p>
        </w:tc>
        <w:tc>
          <w:tcPr>
            <w:tcW w:w="1520" w:type="dxa"/>
            <w:vAlign w:val="bottom"/>
          </w:tcPr>
          <w:p>
            <w:pPr>
              <w:ind w:left="100"/>
              <w:spacing w:after="0"/>
              <w:rPr>
                <w:sz w:val="20"/>
                <w:szCs w:val="20"/>
                <w:color w:val="auto"/>
              </w:rPr>
            </w:pPr>
            <w:r>
              <w:rPr>
                <w:rFonts w:ascii="Arial" w:cs="Arial" w:eastAsia="Arial" w:hAnsi="Arial"/>
                <w:sz w:val="18"/>
                <w:szCs w:val="18"/>
                <w:color w:val="auto"/>
              </w:rPr>
              <w:t>reverse side).</w:t>
            </w: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080" w:type="dxa"/>
            <w:vAlign w:val="bottom"/>
          </w:tcPr>
          <w:p>
            <w:pPr>
              <w:spacing w:after="0"/>
              <w:rPr>
                <w:sz w:val="24"/>
                <w:szCs w:val="24"/>
                <w:color w:val="auto"/>
              </w:rPr>
            </w:pPr>
          </w:p>
        </w:tc>
        <w:tc>
          <w:tcPr>
            <w:tcW w:w="5540" w:type="dxa"/>
            <w:vAlign w:val="bottom"/>
            <w:gridSpan w:val="4"/>
          </w:tcPr>
          <w:p>
            <w:pPr>
              <w:ind w:left="100"/>
              <w:spacing w:after="0"/>
              <w:rPr>
                <w:sz w:val="20"/>
                <w:szCs w:val="20"/>
                <w:color w:val="auto"/>
              </w:rPr>
            </w:pPr>
            <w:r>
              <w:rPr>
                <w:rFonts w:ascii="Arial" w:cs="Arial" w:eastAsia="Arial" w:hAnsi="Arial"/>
                <w:sz w:val="18"/>
                <w:szCs w:val="18"/>
                <w:color w:val="auto"/>
                <w:w w:val="94"/>
              </w:rPr>
              <w:t>We encourage you to access and review all of the important information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80" w:type="dxa"/>
            <w:vAlign w:val="bottom"/>
          </w:tcPr>
          <w:p>
            <w:pPr>
              <w:spacing w:after="0"/>
              <w:rPr>
                <w:sz w:val="19"/>
                <w:szCs w:val="19"/>
                <w:color w:val="auto"/>
              </w:rPr>
            </w:pPr>
          </w:p>
        </w:tc>
        <w:tc>
          <w:tcPr>
            <w:tcW w:w="5540" w:type="dxa"/>
            <w:vAlign w:val="bottom"/>
            <w:gridSpan w:val="4"/>
          </w:tcPr>
          <w:p>
            <w:pPr>
              <w:ind w:left="100"/>
              <w:spacing w:after="0"/>
              <w:rPr>
                <w:sz w:val="20"/>
                <w:szCs w:val="20"/>
                <w:color w:val="auto"/>
              </w:rPr>
            </w:pPr>
            <w:r>
              <w:rPr>
                <w:rFonts w:ascii="Arial" w:cs="Arial" w:eastAsia="Arial" w:hAnsi="Arial"/>
                <w:sz w:val="18"/>
                <w:szCs w:val="18"/>
                <w:color w:val="auto"/>
              </w:rPr>
              <w:t>contained in the proxy materials before voting.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80" w:type="dxa"/>
            <w:vAlign w:val="bottom"/>
          </w:tcPr>
          <w:p>
            <w:pPr>
              <w:spacing w:after="0"/>
              <w:rPr>
                <w:sz w:val="14"/>
                <w:szCs w:val="14"/>
                <w:color w:val="auto"/>
              </w:rPr>
            </w:pPr>
          </w:p>
        </w:tc>
        <w:tc>
          <w:tcPr>
            <w:tcW w:w="3560" w:type="dxa"/>
            <w:vAlign w:val="bottom"/>
            <w:gridSpan w:val="3"/>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tcBorders>
              <w:right w:val="single" w:sz="8" w:color="auto"/>
            </w:tcBorders>
          </w:tcPr>
          <w:p>
            <w:pPr>
              <w:spacing w:after="0"/>
              <w:rPr>
                <w:sz w:val="17"/>
                <w:szCs w:val="17"/>
                <w:color w:val="auto"/>
              </w:rPr>
            </w:pPr>
          </w:p>
        </w:tc>
        <w:tc>
          <w:tcPr>
            <w:tcW w:w="5540" w:type="dxa"/>
            <w:vAlign w:val="bottom"/>
            <w:gridSpan w:val="4"/>
            <w:shd w:val="clear" w:color="auto" w:fill="000000"/>
          </w:tcPr>
          <w:p>
            <w:pPr>
              <w:ind w:left="100"/>
              <w:spacing w:after="0" w:line="201" w:lineRule="exact"/>
              <w:rPr>
                <w:sz w:val="20"/>
                <w:szCs w:val="20"/>
                <w:color w:val="auto"/>
              </w:rPr>
            </w:pPr>
            <w:r>
              <w:rPr>
                <w:rFonts w:ascii="Arial" w:cs="Arial" w:eastAsia="Arial" w:hAnsi="Arial"/>
                <w:sz w:val="18"/>
                <w:szCs w:val="18"/>
                <w:b w:val="1"/>
                <w:bCs w:val="1"/>
                <w:color w:val="FFFFFF"/>
                <w:w w:val="89"/>
              </w:rPr>
              <w:t>See the reverse side of this notice to obtain proxy materials and voting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Borders>
              <w:right w:val="single" w:sz="8" w:color="auto"/>
            </w:tcBorders>
          </w:tcPr>
          <w:p>
            <w:pPr>
              <w:spacing w:after="0"/>
              <w:rPr>
                <w:sz w:val="20"/>
                <w:szCs w:val="20"/>
                <w:color w:val="auto"/>
              </w:rPr>
            </w:pPr>
          </w:p>
        </w:tc>
        <w:tc>
          <w:tcPr>
            <w:tcW w:w="1520" w:type="dxa"/>
            <w:vAlign w:val="bottom"/>
            <w:shd w:val="clear" w:color="auto" w:fill="000000"/>
          </w:tcPr>
          <w:p>
            <w:pPr>
              <w:ind w:left="100"/>
              <w:spacing w:after="0"/>
              <w:rPr>
                <w:sz w:val="20"/>
                <w:szCs w:val="20"/>
                <w:color w:val="auto"/>
              </w:rPr>
            </w:pPr>
            <w:r>
              <w:rPr>
                <w:rFonts w:ascii="Arial" w:cs="Arial" w:eastAsia="Arial" w:hAnsi="Arial"/>
                <w:sz w:val="18"/>
                <w:szCs w:val="18"/>
                <w:b w:val="1"/>
                <w:bCs w:val="1"/>
                <w:color w:val="FFFFFF"/>
              </w:rPr>
              <w:t>instructions.</w:t>
            </w:r>
          </w:p>
        </w:tc>
        <w:tc>
          <w:tcPr>
            <w:tcW w:w="460" w:type="dxa"/>
            <w:vAlign w:val="bottom"/>
            <w:shd w:val="clear" w:color="auto" w:fill="000000"/>
          </w:tcPr>
          <w:p>
            <w:pPr>
              <w:spacing w:after="0"/>
              <w:rPr>
                <w:sz w:val="20"/>
                <w:szCs w:val="20"/>
                <w:color w:val="auto"/>
              </w:rPr>
            </w:pPr>
          </w:p>
        </w:tc>
        <w:tc>
          <w:tcPr>
            <w:tcW w:w="1580" w:type="dxa"/>
            <w:vAlign w:val="bottom"/>
            <w:shd w:val="clear" w:color="auto" w:fill="000000"/>
          </w:tcPr>
          <w:p>
            <w:pPr>
              <w:spacing w:after="0"/>
              <w:rPr>
                <w:sz w:val="20"/>
                <w:szCs w:val="20"/>
                <w:color w:val="auto"/>
              </w:rPr>
            </w:pPr>
          </w:p>
        </w:tc>
        <w:tc>
          <w:tcPr>
            <w:tcW w:w="1980" w:type="dxa"/>
            <w:vAlign w:val="bottom"/>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-496570</wp:posOffset>
            </wp:positionV>
            <wp:extent cx="60325" cy="5918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591820"/>
                    </a:xfrm>
                    <a:prstGeom prst="rect">
                      <a:avLst/>
                    </a:prstGeom>
                    <a:noFill/>
                  </pic:spPr>
                </pic:pic>
              </a:graphicData>
            </a:graphic>
          </wp:anchor>
        </w:drawing>
      </w:r>
    </w:p>
    <w:p>
      <w:pPr>
        <w:sectPr>
          <w:pgSz w:w="11900" w:h="16838" w:orient="portrait"/>
          <w:cols w:equalWidth="0" w:num="1">
            <w:col w:w="10240"/>
          </w:cols>
          <w:pgMar w:left="1440" w:top="274" w:right="219" w:bottom="1440" w:gutter="0" w:footer="0" w:header="0"/>
        </w:sectPr>
      </w:pPr>
    </w:p>
    <w:bookmarkStart w:id="26" w:name="page27"/>
    <w:bookmarkEnd w:id="26"/>
    <w:p>
      <w:pPr>
        <w:jc w:val="center"/>
        <w:ind w:righ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How to Access the Proxy Materials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-130175</wp:posOffset>
            </wp:positionV>
            <wp:extent cx="6955155" cy="24098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55155" cy="2409825"/>
                    </a:xfrm>
                    <a:prstGeom prst="rect">
                      <a:avLst/>
                    </a:prstGeom>
                    <a:noFill/>
                  </pic:spPr>
                </pic:pic>
              </a:graphicData>
            </a:graphic>
          </wp:anchor>
        </w:drawing>
      </w:r>
    </w:p>
    <w:p>
      <w:pPr>
        <w:spacing w:after="0" w:line="76" w:lineRule="exact"/>
        <w:rPr>
          <w:sz w:val="20"/>
          <w:szCs w:val="20"/>
          <w:color w:val="auto"/>
        </w:rPr>
      </w:pPr>
    </w:p>
    <w:p>
      <w:pPr>
        <w:spacing w:after="0"/>
        <w:tabs>
          <w:tab w:leader="none" w:pos="326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6"/>
          <w:szCs w:val="16"/>
          <w:color w:val="auto"/>
        </w:rPr>
        <w:t>FORM 10-K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Have the information that is printed in the box marked by the arrow </w:t>
      </w:r>
      <w:r>
        <w:rPr>
          <w:sz w:val="1"/>
          <w:szCs w:val="1"/>
          <w:color w:val="auto"/>
        </w:rPr>
        <w:drawing>
          <wp:inline distT="0" distB="0" distL="0" distR="0">
            <wp:extent cx="1355090" cy="1371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55090" cy="137160"/>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and visit: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1" w:lineRule="exact"/>
        <w:rPr>
          <w:sz w:val="20"/>
          <w:szCs w:val="20"/>
          <w:color w:val="auto"/>
        </w:rPr>
      </w:pPr>
    </w:p>
    <w:p>
      <w:pPr>
        <w:ind w:left="1500" w:hanging="195"/>
        <w:spacing w:after="0"/>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r>
        <w:rPr>
          <w:rFonts w:ascii="Arial" w:cs="Arial" w:eastAsia="Arial" w:hAnsi="Arial"/>
          <w:sz w:val="16"/>
          <w:szCs w:val="16"/>
          <w:color w:val="auto"/>
        </w:rPr>
        <w:t>www.proxyvote.com</w:t>
      </w:r>
    </w:p>
    <w:p>
      <w:pPr>
        <w:spacing w:after="0" w:line="9" w:lineRule="exact"/>
        <w:rPr>
          <w:rFonts w:ascii="Arial" w:cs="Arial" w:eastAsia="Arial" w:hAnsi="Arial"/>
          <w:sz w:val="18"/>
          <w:szCs w:val="18"/>
          <w:color w:val="auto"/>
        </w:rPr>
      </w:pPr>
    </w:p>
    <w:p>
      <w:pPr>
        <w:ind w:left="1500" w:hanging="195"/>
        <w:spacing w:after="0"/>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1500" w:hanging="195"/>
        <w:spacing w:after="0"/>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17"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355090" cy="1371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55090"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8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January 22, 2013 to facilitate timely delivery.</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How To Vote —</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Please Choose One of the Following Voting Methods</w:t>
      </w:r>
    </w:p>
    <w:p>
      <w:pPr>
        <w:spacing w:after="0" w:line="17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If you choose to vote these shares in person at the meeting, you must request a “</w:t>
      </w:r>
      <w:r>
        <w:rPr>
          <w:rFonts w:ascii="Arial" w:cs="Arial" w:eastAsia="Arial" w:hAnsi="Arial"/>
          <w:sz w:val="18"/>
          <w:szCs w:val="18"/>
          <w:i w:val="1"/>
          <w:iCs w:val="1"/>
          <w:color w:val="auto"/>
        </w:rPr>
        <w:t>legal proxy</w:t>
      </w:r>
      <w:r>
        <w:rPr>
          <w:rFonts w:ascii="Arial" w:cs="Arial" w:eastAsia="Arial" w:hAnsi="Arial"/>
          <w:sz w:val="18"/>
          <w:szCs w:val="18"/>
          <w:color w:val="auto"/>
        </w:rPr>
        <w:t>.” To do so, please follow the instructions at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www.proxyvote.com </w:t>
      </w:r>
      <w:r>
        <w:rPr>
          <w:rFonts w:ascii="Arial" w:cs="Arial" w:eastAsia="Arial" w:hAnsi="Arial"/>
          <w:sz w:val="18"/>
          <w:szCs w:val="18"/>
          <w:color w:val="auto"/>
        </w:rPr>
        <w:t>or request a paper copy of the materials, which will contain the appropriate instructions. Many shareholder meetings have</w:t>
      </w:r>
      <w:r>
        <w:rPr>
          <w:rFonts w:ascii="Arial" w:cs="Arial" w:eastAsia="Arial" w:hAnsi="Arial"/>
          <w:sz w:val="18"/>
          <w:szCs w:val="18"/>
          <w:i w:val="1"/>
          <w:iCs w:val="1"/>
          <w:color w:val="auto"/>
        </w:rPr>
        <w:t xml:space="preserve"> </w:t>
      </w:r>
      <w:r>
        <w:rPr>
          <w:rFonts w:ascii="Arial" w:cs="Arial" w:eastAsia="Arial" w:hAnsi="Arial"/>
          <w:sz w:val="18"/>
          <w:szCs w:val="18"/>
          <w:color w:val="auto"/>
        </w:rPr>
        <w:t>attendance requirements including, but not limited to, the possession of an attendance ticket issued by the entity holding the meeting. Please check the meeting materials for any special requirements for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-563880</wp:posOffset>
            </wp:positionV>
            <wp:extent cx="7254875" cy="11233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1123315"/>
                    </a:xfrm>
                    <a:prstGeom prst="rect">
                      <a:avLst/>
                    </a:prstGeom>
                    <a:noFill/>
                  </pic:spPr>
                </pic:pic>
              </a:graphicData>
            </a:graphic>
          </wp:anchor>
        </w:drawing>
      </w:r>
    </w:p>
    <w:p>
      <w:pPr>
        <w:spacing w:after="0" w:line="35" w:lineRule="exact"/>
        <w:rPr>
          <w:sz w:val="20"/>
          <w:szCs w:val="20"/>
          <w:color w:val="auto"/>
        </w:rPr>
      </w:pPr>
    </w:p>
    <w:p>
      <w:pPr>
        <w:ind w:right="940"/>
        <w:spacing w:after="0" w:line="279"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355090" cy="1371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55090"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voting instruction form.</w:t>
      </w:r>
    </w:p>
    <w:p>
      <w:pPr>
        <w:sectPr>
          <w:pgSz w:w="11900" w:h="16838" w:orient="portrait"/>
          <w:cols w:equalWidth="0" w:num="1">
            <w:col w:w="10720"/>
          </w:cols>
          <w:pgMar w:left="820" w:top="274" w:right="359" w:bottom="1440" w:gutter="0" w:footer="0" w:header="0"/>
        </w:sectPr>
      </w:pPr>
    </w:p>
    <w:bookmarkStart w:id="27" w:name="page28"/>
    <w:bookmarkEnd w:id="27"/>
    <w:p>
      <w:pPr>
        <w:ind w:left="132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294640</wp:posOffset>
            </wp:positionH>
            <wp:positionV relativeFrom="page">
              <wp:posOffset>183515</wp:posOffset>
            </wp:positionV>
            <wp:extent cx="449389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93895" cy="171450"/>
                    </a:xfrm>
                    <a:prstGeom prst="rect">
                      <a:avLst/>
                    </a:prstGeom>
                    <a:noFill/>
                  </pic:spPr>
                </pic:pic>
              </a:graphicData>
            </a:graphic>
          </wp:anchor>
        </w:drawing>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6680835</wp:posOffset>
            </wp:positionH>
            <wp:positionV relativeFrom="paragraph">
              <wp:posOffset>14605</wp:posOffset>
            </wp:positionV>
            <wp:extent cx="437515" cy="3346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7515" cy="334645"/>
                    </a:xfrm>
                    <a:prstGeom prst="rect">
                      <a:avLst/>
                    </a:prstGeom>
                    <a:noFill/>
                  </pic:spPr>
                </pic:pic>
              </a:graphicData>
            </a:graphic>
          </wp:anchor>
        </w:drawing>
      </w:r>
    </w:p>
    <w:p>
      <w:pPr>
        <w:spacing w:after="0" w:line="7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vote FOR the following:</w:t>
      </w:r>
    </w:p>
    <w:p>
      <w:pPr>
        <w:spacing w:after="0" w:line="123" w:lineRule="exact"/>
        <w:rPr>
          <w:sz w:val="20"/>
          <w:szCs w:val="20"/>
          <w:color w:val="auto"/>
        </w:rPr>
      </w:pPr>
    </w:p>
    <w:p>
      <w:pPr>
        <w:ind w:left="402" w:hanging="402"/>
        <w:spacing w:after="0"/>
        <w:tabs>
          <w:tab w:leader="none" w:pos="4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Election of Director</w:t>
      </w:r>
    </w:p>
    <w:p>
      <w:pPr>
        <w:spacing w:after="0" w:line="111" w:lineRule="exact"/>
        <w:rPr>
          <w:rFonts w:ascii="Arial" w:cs="Arial" w:eastAsia="Arial" w:hAnsi="Arial"/>
          <w:sz w:val="18"/>
          <w:szCs w:val="18"/>
          <w:color w:val="auto"/>
        </w:rPr>
      </w:pPr>
    </w:p>
    <w:p>
      <w:pPr>
        <w:ind w:left="402"/>
        <w:spacing w:after="0"/>
        <w:rPr>
          <w:rFonts w:ascii="Arial" w:cs="Arial" w:eastAsia="Arial" w:hAnsi="Arial"/>
          <w:sz w:val="18"/>
          <w:szCs w:val="18"/>
          <w:color w:val="auto"/>
        </w:rPr>
      </w:pPr>
      <w:r>
        <w:rPr>
          <w:rFonts w:ascii="Arial" w:cs="Arial" w:eastAsia="Arial" w:hAnsi="Arial"/>
          <w:sz w:val="18"/>
          <w:szCs w:val="18"/>
          <w:b w:val="1"/>
          <w:bCs w:val="1"/>
          <w:color w:val="auto"/>
        </w:rPr>
        <w:t>Nominee:</w:t>
      </w:r>
    </w:p>
    <w:p>
      <w:pPr>
        <w:spacing w:after="0" w:line="123" w:lineRule="exact"/>
        <w:rPr>
          <w:sz w:val="20"/>
          <w:szCs w:val="20"/>
          <w:color w:val="auto"/>
        </w:rPr>
      </w:pPr>
    </w:p>
    <w:p>
      <w:pPr>
        <w:ind w:left="422"/>
        <w:spacing w:after="0"/>
        <w:tabs>
          <w:tab w:leader="none" w:pos="802" w:val="left"/>
        </w:tabs>
        <w:rPr>
          <w:sz w:val="20"/>
          <w:szCs w:val="20"/>
          <w:color w:val="auto"/>
        </w:rPr>
      </w:pPr>
      <w:r>
        <w:rPr>
          <w:rFonts w:ascii="Arial" w:cs="Arial" w:eastAsia="Arial" w:hAnsi="Arial"/>
          <w:sz w:val="18"/>
          <w:szCs w:val="18"/>
          <w:color w:val="auto"/>
        </w:rPr>
        <w:t>01)</w:t>
      </w:r>
      <w:r>
        <w:rPr>
          <w:sz w:val="20"/>
          <w:szCs w:val="20"/>
          <w:color w:val="auto"/>
        </w:rPr>
        <w:tab/>
      </w:r>
      <w:r>
        <w:rPr>
          <w:rFonts w:ascii="Arial" w:cs="Arial" w:eastAsia="Arial" w:hAnsi="Arial"/>
          <w:sz w:val="16"/>
          <w:szCs w:val="16"/>
          <w:color w:val="auto"/>
        </w:rPr>
        <w:t>Arthur H. Penn</w:t>
      </w:r>
    </w:p>
    <w:p>
      <w:pPr>
        <w:spacing w:after="0" w:line="11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 vote FOR the following proposal:</w:t>
      </w:r>
    </w:p>
    <w:p>
      <w:pPr>
        <w:spacing w:after="0" w:line="123" w:lineRule="exact"/>
        <w:rPr>
          <w:sz w:val="20"/>
          <w:szCs w:val="20"/>
          <w:color w:val="auto"/>
        </w:rPr>
      </w:pPr>
    </w:p>
    <w:p>
      <w:pPr>
        <w:ind w:left="422" w:hanging="422"/>
        <w:spacing w:after="0" w:line="268" w:lineRule="auto"/>
        <w:tabs>
          <w:tab w:leader="none" w:pos="3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ratify the selection of KPMG LLP to serve as the Company’s independent registered public accounting firm for the fiscal year ending September 30, 2013.</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1790065</wp:posOffset>
            </wp:positionV>
            <wp:extent cx="60325" cy="5918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591820"/>
                    </a:xfrm>
                    <a:prstGeom prst="rect">
                      <a:avLst/>
                    </a:prstGeom>
                    <a:noFill/>
                  </pic:spPr>
                </pic:pic>
              </a:graphicData>
            </a:graphic>
          </wp:anchor>
        </w:drawing>
      </w:r>
    </w:p>
    <w:p>
      <w:pPr>
        <w:sectPr>
          <w:pgSz w:w="11900" w:h="16838" w:orient="portrait"/>
          <w:cols w:equalWidth="0" w:num="1">
            <w:col w:w="9982"/>
          </w:cols>
          <w:pgMar w:left="478" w:top="301" w:right="14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808990</wp:posOffset>
            </wp:positionH>
            <wp:positionV relativeFrom="page">
              <wp:posOffset>1675130</wp:posOffset>
            </wp:positionV>
            <wp:extent cx="168973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89735" cy="171450"/>
                    </a:xfrm>
                    <a:prstGeom prst="rect">
                      <a:avLst/>
                    </a:prstGeom>
                    <a:noFill/>
                  </pic:spPr>
                </pic:pic>
              </a:graphicData>
            </a:graphic>
          </wp:anchor>
        </w:drawing>
        <w:drawing>
          <wp:anchor simplePos="0" relativeHeight="251657728" behindDoc="1" locked="0" layoutInCell="0" allowOverlap="1">
            <wp:simplePos x="0" y="0"/>
            <wp:positionH relativeFrom="page">
              <wp:posOffset>7052310</wp:posOffset>
            </wp:positionH>
            <wp:positionV relativeFrom="page">
              <wp:posOffset>183515</wp:posOffset>
            </wp:positionV>
            <wp:extent cx="360045" cy="266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004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989965</wp:posOffset>
            </wp:positionV>
            <wp:extent cx="60325" cy="5918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5918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tbl>
      <w:tblPr>
        <w:tblLayout w:type="fixed"/>
        <w:tblInd w:w="46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7320" w:type="dxa"/>
            <w:vAlign w:val="bottom"/>
            <w:gridSpan w:val="3"/>
          </w:tcPr>
          <w:p>
            <w:pPr>
              <w:ind w:left="196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420" w:type="dxa"/>
            <w:vAlign w:val="bottom"/>
            <w:vMerge w:val="restart"/>
          </w:tcPr>
          <w:p>
            <w:pPr>
              <w:ind w:left="1960"/>
              <w:spacing w:after="0" w:line="151" w:lineRule="exact"/>
              <w:rPr>
                <w:sz w:val="20"/>
                <w:szCs w:val="20"/>
                <w:color w:val="auto"/>
              </w:rPr>
            </w:pPr>
            <w:r>
              <w:rPr>
                <w:rFonts w:ascii="Arial" w:cs="Arial" w:eastAsia="Arial" w:hAnsi="Arial"/>
                <w:sz w:val="14"/>
                <w:szCs w:val="14"/>
                <w:color w:val="auto"/>
                <w:w w:val="85"/>
              </w:rPr>
              <w:t>Use the Internet to transmit</w:t>
            </w:r>
          </w:p>
        </w:tc>
        <w:tc>
          <w:tcPr>
            <w:tcW w:w="11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400" w:type="dxa"/>
            <w:vAlign w:val="bottom"/>
          </w:tcPr>
          <w:p>
            <w:pPr>
              <w:spacing w:after="0"/>
              <w:rPr>
                <w:sz w:val="11"/>
                <w:szCs w:val="11"/>
                <w:color w:val="auto"/>
              </w:rPr>
            </w:pPr>
          </w:p>
        </w:tc>
        <w:tc>
          <w:tcPr>
            <w:tcW w:w="3420" w:type="dxa"/>
            <w:vAlign w:val="bottom"/>
            <w:vMerge w:val="continue"/>
          </w:tcPr>
          <w:p>
            <w:pPr>
              <w:spacing w:after="0"/>
              <w:rPr>
                <w:sz w:val="11"/>
                <w:szCs w:val="11"/>
                <w:color w:val="auto"/>
              </w:rPr>
            </w:pPr>
          </w:p>
        </w:tc>
        <w:tc>
          <w:tcPr>
            <w:tcW w:w="3900" w:type="dxa"/>
            <w:vAlign w:val="bottom"/>
            <w:gridSpan w:val="2"/>
          </w:tcPr>
          <w:p>
            <w:pPr>
              <w:ind w:left="60"/>
              <w:spacing w:after="0" w:line="131" w:lineRule="exact"/>
              <w:rPr>
                <w:sz w:val="20"/>
                <w:szCs w:val="20"/>
                <w:color w:val="auto"/>
              </w:rPr>
            </w:pPr>
            <w:r>
              <w:rPr>
                <w:rFonts w:ascii="Arial" w:cs="Arial" w:eastAsia="Arial" w:hAnsi="Arial"/>
                <w:sz w:val="14"/>
                <w:szCs w:val="14"/>
                <w:color w:val="auto"/>
                <w:w w:val="92"/>
              </w:rPr>
              <w:t>your voting instructions and for electronic delivery of information up</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7320" w:type="dxa"/>
            <w:vAlign w:val="bottom"/>
            <w:gridSpan w:val="3"/>
          </w:tcPr>
          <w:p>
            <w:pPr>
              <w:ind w:left="1960"/>
              <w:spacing w:after="0" w:line="149" w:lineRule="exact"/>
              <w:rPr>
                <w:sz w:val="20"/>
                <w:szCs w:val="20"/>
                <w:color w:val="auto"/>
              </w:rPr>
            </w:pPr>
            <w:r>
              <w:rPr>
                <w:rFonts w:ascii="Arial" w:cs="Arial" w:eastAsia="Arial" w:hAnsi="Arial"/>
                <w:sz w:val="14"/>
                <w:szCs w:val="14"/>
                <w:color w:val="auto"/>
                <w:w w:val="91"/>
              </w:rPr>
              <w:t>until 11:59 P.M. Eastern Time the day before the cut-off date or meeting date. Have your proxy</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7320" w:type="dxa"/>
            <w:vAlign w:val="bottom"/>
            <w:gridSpan w:val="3"/>
          </w:tcPr>
          <w:p>
            <w:pPr>
              <w:ind w:left="1960"/>
              <w:spacing w:after="0" w:line="149" w:lineRule="exact"/>
              <w:rPr>
                <w:sz w:val="20"/>
                <w:szCs w:val="20"/>
                <w:color w:val="auto"/>
              </w:rPr>
            </w:pPr>
            <w:r>
              <w:rPr>
                <w:rFonts w:ascii="Arial" w:cs="Arial" w:eastAsia="Arial" w:hAnsi="Arial"/>
                <w:sz w:val="14"/>
                <w:szCs w:val="14"/>
                <w:color w:val="auto"/>
                <w:w w:val="86"/>
              </w:rPr>
              <w:t>card in hand when you access the web site and follow the instructions to obtain your records and to</w:t>
            </w:r>
          </w:p>
        </w:tc>
        <w:tc>
          <w:tcPr>
            <w:tcW w:w="0" w:type="dxa"/>
            <w:vAlign w:val="bottom"/>
          </w:tcPr>
          <w:p>
            <w:pPr>
              <w:spacing w:after="0"/>
              <w:rPr>
                <w:sz w:val="1"/>
                <w:szCs w:val="1"/>
                <w:color w:val="auto"/>
              </w:rPr>
            </w:pPr>
          </w:p>
        </w:tc>
      </w:tr>
      <w:tr>
        <w:trPr>
          <w:trHeight w:val="172"/>
        </w:trPr>
        <w:tc>
          <w:tcPr>
            <w:tcW w:w="34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590 MADISON AVENUE</w:t>
            </w:r>
          </w:p>
        </w:tc>
        <w:tc>
          <w:tcPr>
            <w:tcW w:w="7320" w:type="dxa"/>
            <w:vAlign w:val="bottom"/>
            <w:gridSpan w:val="3"/>
          </w:tcPr>
          <w:p>
            <w:pPr>
              <w:ind w:left="1960"/>
              <w:spacing w:after="0"/>
              <w:rPr>
                <w:sz w:val="20"/>
                <w:szCs w:val="20"/>
                <w:color w:val="auto"/>
              </w:rPr>
            </w:pPr>
            <w:r>
              <w:rPr>
                <w:rFonts w:ascii="Arial" w:cs="Arial" w:eastAsia="Arial" w:hAnsi="Arial"/>
                <w:sz w:val="14"/>
                <w:szCs w:val="14"/>
                <w:color w:val="auto"/>
              </w:rPr>
              <w:t>create an electronic voting instruction form.</w:t>
            </w:r>
          </w:p>
        </w:tc>
        <w:tc>
          <w:tcPr>
            <w:tcW w:w="0" w:type="dxa"/>
            <w:vAlign w:val="bottom"/>
          </w:tcPr>
          <w:p>
            <w:pPr>
              <w:spacing w:after="0"/>
              <w:rPr>
                <w:sz w:val="1"/>
                <w:szCs w:val="1"/>
                <w:color w:val="auto"/>
              </w:rPr>
            </w:pPr>
          </w:p>
        </w:tc>
      </w:tr>
      <w:tr>
        <w:trPr>
          <w:trHeight w:val="44"/>
        </w:trPr>
        <w:tc>
          <w:tcPr>
            <w:tcW w:w="3400" w:type="dxa"/>
            <w:vAlign w:val="bottom"/>
            <w:vMerge w:val="continue"/>
          </w:tcPr>
          <w:p>
            <w:pPr>
              <w:spacing w:after="0"/>
              <w:rPr>
                <w:sz w:val="3"/>
                <w:szCs w:val="3"/>
                <w:color w:val="auto"/>
              </w:rPr>
            </w:pPr>
          </w:p>
        </w:tc>
        <w:tc>
          <w:tcPr>
            <w:tcW w:w="3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15TH FLOOR</w:t>
            </w:r>
          </w:p>
        </w:tc>
        <w:tc>
          <w:tcPr>
            <w:tcW w:w="7320" w:type="dxa"/>
            <w:vAlign w:val="bottom"/>
            <w:gridSpan w:val="3"/>
          </w:tcPr>
          <w:p>
            <w:pPr>
              <w:ind w:left="1960"/>
              <w:spacing w:after="0" w:line="149" w:lineRule="exact"/>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20"/>
                <w:szCs w:val="20"/>
                <w:color w:val="auto"/>
              </w:rPr>
            </w:pPr>
            <w:r>
              <w:rPr>
                <w:rFonts w:ascii="Arial" w:cs="Arial" w:eastAsia="Arial" w:hAnsi="Arial"/>
                <w:sz w:val="14"/>
                <w:szCs w:val="14"/>
                <w:b w:val="1"/>
                <w:bCs w:val="1"/>
                <w:i w:val="1"/>
                <w:iCs w:val="1"/>
                <w:color w:val="auto"/>
              </w:rPr>
              <w:t>NEW YORK, NY 10022</w:t>
            </w:r>
          </w:p>
        </w:tc>
        <w:tc>
          <w:tcPr>
            <w:tcW w:w="7320" w:type="dxa"/>
            <w:vAlign w:val="bottom"/>
            <w:gridSpan w:val="3"/>
          </w:tcPr>
          <w:p>
            <w:pPr>
              <w:ind w:left="1960"/>
              <w:spacing w:after="0"/>
              <w:rPr>
                <w:sz w:val="20"/>
                <w:szCs w:val="20"/>
                <w:color w:val="auto"/>
              </w:rPr>
            </w:pPr>
            <w:r>
              <w:rPr>
                <w:rFonts w:ascii="Arial" w:cs="Arial" w:eastAsia="Arial" w:hAnsi="Arial"/>
                <w:sz w:val="14"/>
                <w:szCs w:val="14"/>
                <w:color w:val="auto"/>
                <w:w w:val="89"/>
              </w:rPr>
              <w:t>If you would like to reduce the costs incurred by our company in mailing proxy materials, you can</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7320" w:type="dxa"/>
            <w:vAlign w:val="bottom"/>
            <w:gridSpan w:val="3"/>
          </w:tcPr>
          <w:p>
            <w:pPr>
              <w:ind w:left="1960"/>
              <w:spacing w:after="0" w:line="149" w:lineRule="exact"/>
              <w:rPr>
                <w:sz w:val="20"/>
                <w:szCs w:val="20"/>
                <w:color w:val="auto"/>
              </w:rPr>
            </w:pPr>
            <w:r>
              <w:rPr>
                <w:rFonts w:ascii="Arial" w:cs="Arial" w:eastAsia="Arial" w:hAnsi="Arial"/>
                <w:sz w:val="14"/>
                <w:szCs w:val="14"/>
                <w:color w:val="auto"/>
                <w:w w:val="89"/>
              </w:rPr>
              <w:t>consent to receiving all future proxy statements, proxy cards and annual reports electronically via</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7320" w:type="dxa"/>
            <w:vAlign w:val="bottom"/>
            <w:gridSpan w:val="3"/>
          </w:tcPr>
          <w:p>
            <w:pPr>
              <w:ind w:left="1960"/>
              <w:spacing w:after="0" w:line="149" w:lineRule="exact"/>
              <w:rPr>
                <w:sz w:val="20"/>
                <w:szCs w:val="20"/>
                <w:color w:val="auto"/>
              </w:rPr>
            </w:pPr>
            <w:r>
              <w:rPr>
                <w:rFonts w:ascii="Arial" w:cs="Arial" w:eastAsia="Arial" w:hAnsi="Arial"/>
                <w:sz w:val="14"/>
                <w:szCs w:val="14"/>
                <w:color w:val="auto"/>
                <w:w w:val="91"/>
              </w:rPr>
              <w:t>e-mail or the Internet. To sign up for electronic delivery, please follow the instructions above to</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7320" w:type="dxa"/>
            <w:vAlign w:val="bottom"/>
            <w:gridSpan w:val="3"/>
          </w:tcPr>
          <w:p>
            <w:pPr>
              <w:ind w:left="1960"/>
              <w:spacing w:after="0" w:line="149" w:lineRule="exact"/>
              <w:rPr>
                <w:sz w:val="20"/>
                <w:szCs w:val="20"/>
                <w:color w:val="auto"/>
              </w:rPr>
            </w:pPr>
            <w:r>
              <w:rPr>
                <w:rFonts w:ascii="Arial" w:cs="Arial" w:eastAsia="Arial" w:hAnsi="Arial"/>
                <w:sz w:val="14"/>
                <w:szCs w:val="14"/>
                <w:color w:val="auto"/>
                <w:w w:val="91"/>
              </w:rPr>
              <w:t>vote using the Internet and, when prompted, indicate that you agree to receive or access proxy</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7320" w:type="dxa"/>
            <w:vAlign w:val="bottom"/>
            <w:gridSpan w:val="3"/>
          </w:tcPr>
          <w:p>
            <w:pPr>
              <w:ind w:left="1960"/>
              <w:spacing w:after="0"/>
              <w:rPr>
                <w:sz w:val="20"/>
                <w:szCs w:val="20"/>
                <w:color w:val="auto"/>
              </w:rPr>
            </w:pPr>
            <w:r>
              <w:rPr>
                <w:rFonts w:ascii="Arial" w:cs="Arial" w:eastAsia="Arial" w:hAnsi="Arial"/>
                <w:sz w:val="14"/>
                <w:szCs w:val="14"/>
                <w:color w:val="auto"/>
              </w:rPr>
              <w:t>materials electronically in future years.</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17"/>
                <w:szCs w:val="17"/>
                <w:color w:val="auto"/>
              </w:rPr>
            </w:pPr>
          </w:p>
        </w:tc>
        <w:tc>
          <w:tcPr>
            <w:tcW w:w="7320" w:type="dxa"/>
            <w:vAlign w:val="bottom"/>
            <w:gridSpan w:val="3"/>
          </w:tcPr>
          <w:p>
            <w:pPr>
              <w:ind w:left="196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7320" w:type="dxa"/>
            <w:vAlign w:val="bottom"/>
            <w:gridSpan w:val="3"/>
          </w:tcPr>
          <w:p>
            <w:pPr>
              <w:ind w:left="1960"/>
              <w:spacing w:after="0" w:line="149" w:lineRule="exact"/>
              <w:rPr>
                <w:sz w:val="20"/>
                <w:szCs w:val="20"/>
                <w:color w:val="auto"/>
              </w:rPr>
            </w:pPr>
            <w:r>
              <w:rPr>
                <w:rFonts w:ascii="Arial" w:cs="Arial" w:eastAsia="Arial" w:hAnsi="Arial"/>
                <w:sz w:val="14"/>
                <w:szCs w:val="14"/>
                <w:color w:val="auto"/>
                <w:w w:val="92"/>
              </w:rPr>
              <w:t>Use any touch-tone telephone to transmit your voting instructions up until 11:59 P.M. Eastern</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7320" w:type="dxa"/>
            <w:vAlign w:val="bottom"/>
            <w:gridSpan w:val="3"/>
          </w:tcPr>
          <w:p>
            <w:pPr>
              <w:ind w:left="1960"/>
              <w:spacing w:after="0" w:line="149" w:lineRule="exact"/>
              <w:rPr>
                <w:sz w:val="20"/>
                <w:szCs w:val="20"/>
                <w:color w:val="auto"/>
              </w:rPr>
            </w:pPr>
            <w:r>
              <w:rPr>
                <w:rFonts w:ascii="Arial" w:cs="Arial" w:eastAsia="Arial" w:hAnsi="Arial"/>
                <w:sz w:val="14"/>
                <w:szCs w:val="14"/>
                <w:color w:val="auto"/>
                <w:w w:val="88"/>
              </w:rPr>
              <w:t>Time the day before the cut-off date or meeting date. Have your proxy card in hand when you call</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7320" w:type="dxa"/>
            <w:vAlign w:val="bottom"/>
            <w:gridSpan w:val="3"/>
          </w:tcPr>
          <w:p>
            <w:pPr>
              <w:ind w:left="1960"/>
              <w:spacing w:after="0"/>
              <w:rPr>
                <w:sz w:val="20"/>
                <w:szCs w:val="20"/>
                <w:color w:val="auto"/>
              </w:rPr>
            </w:pPr>
            <w:r>
              <w:rPr>
                <w:rFonts w:ascii="Arial" w:cs="Arial" w:eastAsia="Arial" w:hAnsi="Arial"/>
                <w:sz w:val="14"/>
                <w:szCs w:val="14"/>
                <w:color w:val="auto"/>
              </w:rPr>
              <w:t>and then follow the instructions.</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17"/>
                <w:szCs w:val="17"/>
                <w:color w:val="auto"/>
              </w:rPr>
            </w:pPr>
          </w:p>
        </w:tc>
        <w:tc>
          <w:tcPr>
            <w:tcW w:w="7320" w:type="dxa"/>
            <w:vAlign w:val="bottom"/>
            <w:gridSpan w:val="3"/>
          </w:tcPr>
          <w:p>
            <w:pPr>
              <w:ind w:left="196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7320" w:type="dxa"/>
            <w:vAlign w:val="bottom"/>
            <w:gridSpan w:val="3"/>
          </w:tcPr>
          <w:p>
            <w:pPr>
              <w:ind w:left="1960"/>
              <w:spacing w:after="0" w:line="149" w:lineRule="exact"/>
              <w:rPr>
                <w:sz w:val="20"/>
                <w:szCs w:val="20"/>
                <w:color w:val="auto"/>
              </w:rPr>
            </w:pPr>
            <w:r>
              <w:rPr>
                <w:rFonts w:ascii="Arial" w:cs="Arial" w:eastAsia="Arial" w:hAnsi="Arial"/>
                <w:sz w:val="14"/>
                <w:szCs w:val="14"/>
                <w:color w:val="auto"/>
                <w:w w:val="89"/>
              </w:rPr>
              <w:t>Mark, sign and date your proxy card and return it in the postage-paid envelope we have provided</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7320" w:type="dxa"/>
            <w:vAlign w:val="bottom"/>
            <w:gridSpan w:val="3"/>
          </w:tcPr>
          <w:p>
            <w:pPr>
              <w:ind w:left="1960"/>
              <w:spacing w:after="0"/>
              <w:rPr>
                <w:sz w:val="20"/>
                <w:szCs w:val="20"/>
                <w:color w:val="auto"/>
              </w:rPr>
            </w:pPr>
            <w:r>
              <w:rPr>
                <w:rFonts w:ascii="Arial" w:cs="Arial" w:eastAsia="Arial" w:hAnsi="Arial"/>
                <w:sz w:val="14"/>
                <w:szCs w:val="14"/>
                <w:color w:val="auto"/>
                <w:w w:val="96"/>
              </w:rPr>
              <w:t>or return it to Vote Processing, c/o Broadridge, 51 Mercedes Way, Edgewood, NY 11717.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-1859915</wp:posOffset>
            </wp:positionV>
            <wp:extent cx="1732280" cy="3771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322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M50851-P31455  KEEP THIS PORTION FOR YOUR RECORDS</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263765" cy="36874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3687445"/>
                    </a:xfrm>
                    <a:prstGeom prst="rect">
                      <a:avLst/>
                    </a:prstGeom>
                    <a:noFill/>
                  </pic:spPr>
                </pic:pic>
              </a:graphicData>
            </a:graphic>
          </wp:anchor>
        </w:drawing>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PENNANTPARK INVESTMENT CORPORATION</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The Board of Directors recommends you vote FOR the following:</w:t>
      </w:r>
    </w:p>
    <w:p>
      <w:pPr>
        <w:spacing w:after="0" w:line="151" w:lineRule="exact"/>
        <w:rPr>
          <w:sz w:val="20"/>
          <w:szCs w:val="20"/>
          <w:color w:val="auto"/>
        </w:rPr>
      </w:pPr>
    </w:p>
    <w:p>
      <w:pPr>
        <w:ind w:left="620" w:hanging="328"/>
        <w:spacing w:after="0"/>
        <w:tabs>
          <w:tab w:leader="none" w:pos="6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Election of Director</w:t>
      </w:r>
    </w:p>
    <w:tbl>
      <w:tblPr>
        <w:tblLayout w:type="fixed"/>
        <w:tblInd w:w="300" w:type="dxa"/>
        <w:tblCellMar>
          <w:top w:w="0" w:type="dxa"/>
          <w:left w:w="0" w:type="dxa"/>
          <w:bottom w:w="0" w:type="dxa"/>
          <w:right w:w="0" w:type="dxa"/>
        </w:tblCellMar>
      </w:tblPr>
      <w:tr>
        <w:trPr>
          <w:trHeight w:val="174"/>
        </w:trPr>
        <w:tc>
          <w:tcPr>
            <w:tcW w:w="200" w:type="dxa"/>
            <w:vAlign w:val="bottom"/>
          </w:tcPr>
          <w:p>
            <w:pPr>
              <w:spacing w:after="0"/>
              <w:rPr>
                <w:sz w:val="15"/>
                <w:szCs w:val="15"/>
                <w:color w:val="auto"/>
              </w:rPr>
            </w:pPr>
          </w:p>
        </w:tc>
        <w:tc>
          <w:tcPr>
            <w:tcW w:w="25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Nominee:</w:t>
            </w:r>
          </w:p>
        </w:tc>
        <w:tc>
          <w:tcPr>
            <w:tcW w:w="2000" w:type="dxa"/>
            <w:vAlign w:val="bottom"/>
          </w:tcPr>
          <w:p>
            <w:pPr>
              <w:jc w:val="center"/>
              <w:ind w:left="722"/>
              <w:spacing w:after="0"/>
              <w:rPr>
                <w:sz w:val="20"/>
                <w:szCs w:val="20"/>
                <w:color w:val="auto"/>
              </w:rPr>
            </w:pPr>
            <w:r>
              <w:rPr>
                <w:rFonts w:ascii="Arial" w:cs="Arial" w:eastAsia="Arial" w:hAnsi="Arial"/>
                <w:sz w:val="14"/>
                <w:szCs w:val="14"/>
                <w:b w:val="1"/>
                <w:bCs w:val="1"/>
                <w:color w:val="auto"/>
                <w:w w:val="88"/>
              </w:rPr>
              <w:t>For</w:t>
            </w:r>
          </w:p>
        </w:tc>
        <w:tc>
          <w:tcPr>
            <w:tcW w:w="4120" w:type="dxa"/>
            <w:vAlign w:val="bottom"/>
          </w:tcPr>
          <w:p>
            <w:pPr>
              <w:jc w:val="center"/>
              <w:ind w:right="2662"/>
              <w:spacing w:after="0"/>
              <w:rPr>
                <w:sz w:val="20"/>
                <w:szCs w:val="20"/>
                <w:color w:val="auto"/>
              </w:rPr>
            </w:pPr>
            <w:r>
              <w:rPr>
                <w:rFonts w:ascii="Arial" w:cs="Arial" w:eastAsia="Arial" w:hAnsi="Arial"/>
                <w:sz w:val="14"/>
                <w:szCs w:val="14"/>
                <w:b w:val="1"/>
                <w:bCs w:val="1"/>
                <w:color w:val="auto"/>
                <w:w w:val="90"/>
              </w:rPr>
              <w:t>Withhold</w:t>
            </w: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2500" w:type="dxa"/>
            <w:vAlign w:val="bottom"/>
            <w:vMerge w:val="continue"/>
          </w:tcPr>
          <w:p>
            <w:pPr>
              <w:spacing w:after="0"/>
              <w:rPr>
                <w:sz w:val="11"/>
                <w:szCs w:val="11"/>
                <w:color w:val="auto"/>
              </w:rPr>
            </w:pPr>
          </w:p>
        </w:tc>
        <w:tc>
          <w:tcPr>
            <w:tcW w:w="200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3"/>
        </w:trPr>
        <w:tc>
          <w:tcPr>
            <w:tcW w:w="20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01)  Arthur H. Penn</w:t>
            </w:r>
          </w:p>
        </w:tc>
        <w:tc>
          <w:tcPr>
            <w:tcW w:w="2000" w:type="dxa"/>
            <w:vAlign w:val="bottom"/>
          </w:tcPr>
          <w:p>
            <w:pPr>
              <w:jc w:val="center"/>
              <w:ind w:left="722"/>
              <w:spacing w:after="0" w:line="181" w:lineRule="exact"/>
              <w:rPr>
                <w:sz w:val="20"/>
                <w:szCs w:val="20"/>
                <w:color w:val="auto"/>
              </w:rPr>
            </w:pPr>
            <w:r>
              <w:rPr>
                <w:rFonts w:ascii="MS PGothic" w:cs="MS PGothic" w:eastAsia="MS PGothic" w:hAnsi="MS PGothic"/>
                <w:sz w:val="18"/>
                <w:szCs w:val="18"/>
                <w:color w:val="auto"/>
                <w:w w:val="88"/>
              </w:rPr>
              <w:t>☐</w:t>
            </w:r>
          </w:p>
        </w:tc>
        <w:tc>
          <w:tcPr>
            <w:tcW w:w="4120" w:type="dxa"/>
            <w:vAlign w:val="bottom"/>
          </w:tcPr>
          <w:p>
            <w:pPr>
              <w:jc w:val="center"/>
              <w:ind w:right="2642"/>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w w:val="94"/>
              </w:rPr>
              <w:t>The Board of Directors recommends you vote FOR the following proposal:</w:t>
            </w:r>
          </w:p>
        </w:tc>
        <w:tc>
          <w:tcPr>
            <w:tcW w:w="4120" w:type="dxa"/>
            <w:vAlign w:val="bottom"/>
          </w:tcPr>
          <w:p>
            <w:pPr>
              <w:spacing w:after="0"/>
              <w:rPr>
                <w:sz w:val="24"/>
                <w:szCs w:val="24"/>
                <w:color w:val="auto"/>
              </w:rPr>
            </w:pPr>
          </w:p>
        </w:tc>
        <w:tc>
          <w:tcPr>
            <w:tcW w:w="700" w:type="dxa"/>
            <w:vAlign w:val="bottom"/>
          </w:tcPr>
          <w:p>
            <w:pPr>
              <w:jc w:val="center"/>
              <w:ind w:left="62"/>
              <w:spacing w:after="0"/>
              <w:rPr>
                <w:sz w:val="20"/>
                <w:szCs w:val="20"/>
                <w:color w:val="auto"/>
              </w:rPr>
            </w:pPr>
            <w:r>
              <w:rPr>
                <w:rFonts w:ascii="Arial" w:cs="Arial" w:eastAsia="Arial" w:hAnsi="Arial"/>
                <w:sz w:val="14"/>
                <w:szCs w:val="14"/>
                <w:b w:val="1"/>
                <w:bCs w:val="1"/>
                <w:color w:val="auto"/>
                <w:w w:val="88"/>
              </w:rPr>
              <w:t>For</w:t>
            </w:r>
          </w:p>
        </w:tc>
        <w:tc>
          <w:tcPr>
            <w:tcW w:w="740" w:type="dxa"/>
            <w:vAlign w:val="bottom"/>
          </w:tcPr>
          <w:p>
            <w:pPr>
              <w:jc w:val="center"/>
              <w:ind w:left="22"/>
              <w:spacing w:after="0"/>
              <w:rPr>
                <w:sz w:val="20"/>
                <w:szCs w:val="20"/>
                <w:color w:val="auto"/>
              </w:rPr>
            </w:pPr>
            <w:r>
              <w:rPr>
                <w:rFonts w:ascii="Arial" w:cs="Arial" w:eastAsia="Arial" w:hAnsi="Arial"/>
                <w:sz w:val="14"/>
                <w:szCs w:val="14"/>
                <w:b w:val="1"/>
                <w:bCs w:val="1"/>
                <w:color w:val="auto"/>
                <w:w w:val="85"/>
              </w:rPr>
              <w:t>Against</w:t>
            </w:r>
          </w:p>
        </w:tc>
        <w:tc>
          <w:tcPr>
            <w:tcW w:w="580" w:type="dxa"/>
            <w:vAlign w:val="bottom"/>
          </w:tcPr>
          <w:p>
            <w:pPr>
              <w:jc w:val="center"/>
              <w:ind w:left="42"/>
              <w:spacing w:after="0"/>
              <w:rPr>
                <w:sz w:val="20"/>
                <w:szCs w:val="20"/>
                <w:color w:val="auto"/>
              </w:rPr>
            </w:pPr>
            <w:r>
              <w:rPr>
                <w:rFonts w:ascii="Arial" w:cs="Arial" w:eastAsia="Arial" w:hAnsi="Arial"/>
                <w:sz w:val="14"/>
                <w:szCs w:val="14"/>
                <w:b w:val="1"/>
                <w:bCs w:val="1"/>
                <w:color w:val="auto"/>
                <w:w w:val="89"/>
              </w:rPr>
              <w:t>Abstain</w:t>
            </w:r>
          </w:p>
        </w:tc>
        <w:tc>
          <w:tcPr>
            <w:tcW w:w="0" w:type="dxa"/>
            <w:vAlign w:val="bottom"/>
          </w:tcPr>
          <w:p>
            <w:pPr>
              <w:spacing w:after="0"/>
              <w:rPr>
                <w:sz w:val="1"/>
                <w:szCs w:val="1"/>
                <w:color w:val="auto"/>
              </w:rPr>
            </w:pPr>
          </w:p>
        </w:tc>
      </w:tr>
      <w:tr>
        <w:trPr>
          <w:trHeight w:val="380"/>
        </w:trPr>
        <w:tc>
          <w:tcPr>
            <w:tcW w:w="200" w:type="dxa"/>
            <w:vAlign w:val="bottom"/>
          </w:tcPr>
          <w:p>
            <w:pPr>
              <w:spacing w:after="0"/>
              <w:rPr>
                <w:sz w:val="20"/>
                <w:szCs w:val="20"/>
                <w:color w:val="auto"/>
              </w:rPr>
            </w:pPr>
            <w:r>
              <w:rPr>
                <w:rFonts w:ascii="Arial" w:cs="Arial" w:eastAsia="Arial" w:hAnsi="Arial"/>
                <w:sz w:val="14"/>
                <w:szCs w:val="14"/>
                <w:color w:val="auto"/>
              </w:rPr>
              <w:t>2.</w:t>
            </w:r>
          </w:p>
        </w:tc>
        <w:tc>
          <w:tcPr>
            <w:tcW w:w="8620" w:type="dxa"/>
            <w:vAlign w:val="bottom"/>
            <w:gridSpan w:val="3"/>
          </w:tcPr>
          <w:p>
            <w:pPr>
              <w:ind w:left="120"/>
              <w:spacing w:after="0"/>
              <w:rPr>
                <w:sz w:val="20"/>
                <w:szCs w:val="20"/>
                <w:color w:val="auto"/>
              </w:rPr>
            </w:pPr>
            <w:r>
              <w:rPr>
                <w:rFonts w:ascii="Arial" w:cs="Arial" w:eastAsia="Arial" w:hAnsi="Arial"/>
                <w:sz w:val="14"/>
                <w:szCs w:val="14"/>
                <w:color w:val="auto"/>
                <w:w w:val="91"/>
              </w:rPr>
              <w:t>To ratify the selection of KPMG LLP to serve as the Company’s independent registered public accounting firm for the fiscal year ending September 30,</w:t>
            </w:r>
          </w:p>
        </w:tc>
        <w:tc>
          <w:tcPr>
            <w:tcW w:w="700" w:type="dxa"/>
            <w:vAlign w:val="bottom"/>
          </w:tcPr>
          <w:p>
            <w:pPr>
              <w:jc w:val="center"/>
              <w:ind w:left="62"/>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ind w:left="2"/>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Pr>
          <w:p>
            <w:pPr>
              <w:jc w:val="center"/>
              <w:ind w:left="2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2013.</w:t>
            </w:r>
          </w:p>
        </w:tc>
        <w:tc>
          <w:tcPr>
            <w:tcW w:w="20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300" w:type="dxa"/>
        <w:tblCellMar>
          <w:top w:w="0" w:type="dxa"/>
          <w:left w:w="0" w:type="dxa"/>
          <w:bottom w:w="0" w:type="dxa"/>
          <w:right w:w="0" w:type="dxa"/>
        </w:tblCellMar>
      </w:tblPr>
      <w:tr>
        <w:trPr>
          <w:trHeight w:val="191"/>
        </w:trPr>
        <w:tc>
          <w:tcPr>
            <w:tcW w:w="3320" w:type="dxa"/>
            <w:vAlign w:val="bottom"/>
          </w:tcPr>
          <w:p>
            <w:pPr>
              <w:spacing w:after="0"/>
              <w:rPr>
                <w:sz w:val="20"/>
                <w:szCs w:val="20"/>
                <w:color w:val="auto"/>
              </w:rPr>
            </w:pPr>
            <w:r>
              <w:rPr>
                <w:rFonts w:ascii="Arial" w:cs="Arial" w:eastAsia="Arial" w:hAnsi="Arial"/>
                <w:sz w:val="14"/>
                <w:szCs w:val="14"/>
                <w:color w:val="auto"/>
              </w:rPr>
              <w:t>For address changes/comments, mark here.</w:t>
            </w:r>
          </w:p>
        </w:tc>
        <w:tc>
          <w:tcPr>
            <w:tcW w:w="1080" w:type="dxa"/>
            <w:vAlign w:val="bottom"/>
          </w:tcPr>
          <w:p>
            <w:pPr>
              <w:spacing w:after="0"/>
              <w:rPr>
                <w:sz w:val="16"/>
                <w:szCs w:val="16"/>
                <w:color w:val="auto"/>
              </w:rPr>
            </w:pP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72"/>
        </w:trPr>
        <w:tc>
          <w:tcPr>
            <w:tcW w:w="3320" w:type="dxa"/>
            <w:vAlign w:val="bottom"/>
          </w:tcPr>
          <w:p>
            <w:pPr>
              <w:spacing w:after="0"/>
              <w:rPr>
                <w:sz w:val="20"/>
                <w:szCs w:val="20"/>
                <w:color w:val="auto"/>
              </w:rPr>
            </w:pPr>
            <w:r>
              <w:rPr>
                <w:rFonts w:ascii="Arial" w:cs="Arial" w:eastAsia="Arial" w:hAnsi="Arial"/>
                <w:sz w:val="14"/>
                <w:szCs w:val="14"/>
                <w:color w:val="auto"/>
              </w:rPr>
              <w:t>(see reverse for instructions)</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8"/>
        </w:trPr>
        <w:tc>
          <w:tcPr>
            <w:tcW w:w="3320" w:type="dxa"/>
            <w:vAlign w:val="bottom"/>
          </w:tcPr>
          <w:p>
            <w:pPr>
              <w:spacing w:after="0"/>
              <w:rPr>
                <w:sz w:val="15"/>
                <w:szCs w:val="15"/>
                <w:color w:val="auto"/>
              </w:rPr>
            </w:pPr>
          </w:p>
        </w:tc>
        <w:tc>
          <w:tcPr>
            <w:tcW w:w="1080" w:type="dxa"/>
            <w:vAlign w:val="bottom"/>
          </w:tcPr>
          <w:p>
            <w:pPr>
              <w:ind w:left="680"/>
              <w:spacing w:after="0"/>
              <w:rPr>
                <w:sz w:val="20"/>
                <w:szCs w:val="20"/>
                <w:color w:val="auto"/>
              </w:rPr>
            </w:pPr>
            <w:r>
              <w:rPr>
                <w:rFonts w:ascii="Arial" w:cs="Arial" w:eastAsia="Arial" w:hAnsi="Arial"/>
                <w:sz w:val="14"/>
                <w:szCs w:val="14"/>
                <w:b w:val="1"/>
                <w:bCs w:val="1"/>
                <w:color w:val="auto"/>
              </w:rPr>
              <w:t>Yes</w:t>
            </w: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No</w:t>
            </w:r>
          </w:p>
        </w:tc>
      </w:tr>
      <w:tr>
        <w:trPr>
          <w:trHeight w:val="275"/>
        </w:trPr>
        <w:tc>
          <w:tcPr>
            <w:tcW w:w="3320" w:type="dxa"/>
            <w:vAlign w:val="bottom"/>
          </w:tcPr>
          <w:p>
            <w:pPr>
              <w:spacing w:after="0"/>
              <w:rPr>
                <w:sz w:val="20"/>
                <w:szCs w:val="20"/>
                <w:color w:val="auto"/>
              </w:rPr>
            </w:pPr>
            <w:r>
              <w:rPr>
                <w:rFonts w:ascii="Arial" w:cs="Arial" w:eastAsia="Arial" w:hAnsi="Arial"/>
                <w:sz w:val="14"/>
                <w:szCs w:val="14"/>
                <w:color w:val="auto"/>
              </w:rPr>
              <w:t>Please indicate if you plan to attend this meeting.</w:t>
            </w:r>
          </w:p>
        </w:tc>
        <w:tc>
          <w:tcPr>
            <w:tcW w:w="10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10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6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Please sign exactly as your name(s) appear(s) hereon. When signing as attorney, executor, administrator,</w:t>
      </w:r>
    </w:p>
    <w:p>
      <w:pPr>
        <w:ind w:left="300"/>
        <w:spacing w:after="0" w:line="221" w:lineRule="auto"/>
        <w:rPr>
          <w:sz w:val="20"/>
          <w:szCs w:val="20"/>
          <w:color w:val="auto"/>
        </w:rPr>
      </w:pPr>
      <w:r>
        <w:rPr>
          <w:rFonts w:ascii="Arial" w:cs="Arial" w:eastAsia="Arial" w:hAnsi="Arial"/>
          <w:sz w:val="14"/>
          <w:szCs w:val="14"/>
          <w:color w:val="auto"/>
        </w:rPr>
        <w:t>or other fiduciary, please give full title as such. Joint owners should each sign personally. All holders</w:t>
      </w:r>
    </w:p>
    <w:p>
      <w:pPr>
        <w:ind w:left="300"/>
        <w:spacing w:after="0" w:line="221" w:lineRule="auto"/>
        <w:rPr>
          <w:sz w:val="20"/>
          <w:szCs w:val="20"/>
          <w:color w:val="auto"/>
        </w:rPr>
      </w:pPr>
      <w:r>
        <w:rPr>
          <w:rFonts w:ascii="Arial" w:cs="Arial" w:eastAsia="Arial" w:hAnsi="Arial"/>
          <w:sz w:val="14"/>
          <w:szCs w:val="14"/>
          <w:color w:val="auto"/>
        </w:rPr>
        <w:t>must sign. If a corporation or partnership, please sign in full corporate or partnership name by authorized</w:t>
      </w:r>
    </w:p>
    <w:p>
      <w:pPr>
        <w:ind w:left="300"/>
        <w:spacing w:after="0"/>
        <w:rPr>
          <w:sz w:val="20"/>
          <w:szCs w:val="20"/>
          <w:color w:val="auto"/>
        </w:rPr>
      </w:pPr>
      <w:r>
        <w:rPr>
          <w:rFonts w:ascii="Arial" w:cs="Arial" w:eastAsia="Arial" w:hAnsi="Arial"/>
          <w:sz w:val="14"/>
          <w:szCs w:val="14"/>
          <w:color w:val="auto"/>
        </w:rPr>
        <w:t>officer.</w:t>
      </w:r>
    </w:p>
    <w:p>
      <w:pPr>
        <w:spacing w:after="0" w:line="200" w:lineRule="exact"/>
        <w:rPr>
          <w:sz w:val="20"/>
          <w:szCs w:val="20"/>
          <w:color w:val="auto"/>
        </w:rPr>
      </w:pPr>
    </w:p>
    <w:p>
      <w:pPr>
        <w:spacing w:after="0" w:line="262" w:lineRule="exact"/>
        <w:rPr>
          <w:sz w:val="20"/>
          <w:szCs w:val="20"/>
          <w:color w:val="auto"/>
        </w:rPr>
      </w:pPr>
    </w:p>
    <w:p>
      <w:pPr>
        <w:ind w:left="300"/>
        <w:spacing w:after="0"/>
        <w:tabs>
          <w:tab w:leader="none" w:pos="3440" w:val="left"/>
          <w:tab w:leader="none" w:pos="6120" w:val="left"/>
          <w:tab w:leader="none" w:pos="90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262" w:right="2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Notice and Proxy Statement and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M50852-P31455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139700</wp:posOffset>
            </wp:positionV>
            <wp:extent cx="7263765" cy="30270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30270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of Shareholders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February 5, 2013 9:30 AM</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19"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The undersigned hereby appoints Adam Bernstein and Jeffrey Flug, or either one of them, and each with full power of substitution, to act as attorneys and proxies for the undersigned to vote all of the shares of Common Stock of PennantPark Investment Corporation (the “Company”) which the undersigned is entitled to vote at the Annual Meeting of Stockholders of the Company to be held at the offices of Dechert LLP, located at 1095 Avenue of the Americas, New York, New York, on February 5, 2013 at 9:30 a.m., Eastern Time, and at all adjournments thereof, as indicated on this proxy.</w:t>
      </w:r>
    </w:p>
    <w:p>
      <w:pPr>
        <w:spacing w:after="0" w:line="132"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14"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0760"/>
          </w:cols>
          <w:pgMar w:left="540" w:top="1440" w:right="599" w:bottom="1440" w:gutter="0" w:footer="0" w:header="0"/>
        </w:sectPr>
      </w:pPr>
    </w:p>
    <w:bookmarkStart w:id="31" w:name="page32"/>
    <w:bookmarkEnd w:id="31"/>
    <w:p>
      <w:pPr>
        <w:jc w:val="center"/>
        <w:ind w:left="20" w:right="122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Shareholder Meeting to Be Held on February 5, 2013.</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PENNANTPARK FLOATING RATE CAPITAL LTD.</w:t>
            </w:r>
          </w:p>
        </w:tc>
        <w:tc>
          <w:tcPr>
            <w:tcW w:w="13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Meeting Information</w:t>
            </w:r>
          </w:p>
        </w:tc>
        <w:tc>
          <w:tcPr>
            <w:tcW w:w="18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000" w:type="dxa"/>
            <w:vAlign w:val="bottom"/>
            <w:tcBorders>
              <w:right w:val="single" w:sz="8" w:color="auto"/>
            </w:tcBorders>
            <w:vMerge w:val="continue"/>
          </w:tcPr>
          <w:p>
            <w:pPr>
              <w:spacing w:after="0"/>
              <w:rPr>
                <w:sz w:val="13"/>
                <w:szCs w:val="13"/>
                <w:color w:val="auto"/>
              </w:rPr>
            </w:pPr>
          </w:p>
        </w:tc>
        <w:tc>
          <w:tcPr>
            <w:tcW w:w="13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Meeting Type:</w:t>
            </w:r>
          </w:p>
        </w:tc>
        <w:tc>
          <w:tcPr>
            <w:tcW w:w="3860" w:type="dxa"/>
            <w:vAlign w:val="bottom"/>
            <w:tcBorders>
              <w:right w:val="single" w:sz="8" w:color="auto"/>
            </w:tcBorders>
            <w:gridSpan w:val="4"/>
            <w:vMerge w:val="restart"/>
          </w:tcPr>
          <w:p>
            <w:pPr>
              <w:ind w:left="180"/>
              <w:spacing w:after="0"/>
              <w:rPr>
                <w:sz w:val="20"/>
                <w:szCs w:val="20"/>
                <w:color w:val="auto"/>
              </w:rPr>
            </w:pPr>
            <w:r>
              <w:rPr>
                <w:rFonts w:ascii="Arial" w:cs="Arial" w:eastAsia="Arial" w:hAnsi="Arial"/>
                <w:sz w:val="18"/>
                <w:szCs w:val="18"/>
                <w:color w:val="auto"/>
              </w:rPr>
              <w:t>Annual Meeting</w:t>
            </w:r>
          </w:p>
        </w:tc>
        <w:tc>
          <w:tcPr>
            <w:tcW w:w="0" w:type="dxa"/>
            <w:vAlign w:val="bottom"/>
          </w:tcPr>
          <w:p>
            <w:pPr>
              <w:spacing w:after="0"/>
              <w:rPr>
                <w:sz w:val="1"/>
                <w:szCs w:val="1"/>
                <w:color w:val="auto"/>
              </w:rPr>
            </w:pPr>
          </w:p>
        </w:tc>
      </w:tr>
      <w:tr>
        <w:trPr>
          <w:trHeight w:val="176"/>
        </w:trPr>
        <w:tc>
          <w:tcPr>
            <w:tcW w:w="5000" w:type="dxa"/>
            <w:vAlign w:val="bottom"/>
            <w:tcBorders>
              <w:right w:val="single" w:sz="8" w:color="auto"/>
            </w:tcBorders>
          </w:tcPr>
          <w:p>
            <w:pPr>
              <w:spacing w:after="0"/>
              <w:rPr>
                <w:sz w:val="15"/>
                <w:szCs w:val="15"/>
                <w:color w:val="auto"/>
              </w:rPr>
            </w:pPr>
          </w:p>
        </w:tc>
        <w:tc>
          <w:tcPr>
            <w:tcW w:w="1360" w:type="dxa"/>
            <w:vAlign w:val="bottom"/>
            <w:vMerge w:val="continue"/>
          </w:tcPr>
          <w:p>
            <w:pPr>
              <w:spacing w:after="0"/>
              <w:rPr>
                <w:sz w:val="15"/>
                <w:szCs w:val="15"/>
                <w:color w:val="auto"/>
              </w:rPr>
            </w:pPr>
          </w:p>
        </w:tc>
        <w:tc>
          <w:tcPr>
            <w:tcW w:w="3860" w:type="dxa"/>
            <w:vAlign w:val="bottom"/>
            <w:tcBorders>
              <w:right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0" w:type="dxa"/>
            <w:vAlign w:val="bottom"/>
            <w:tcBorders>
              <w:right w:val="single" w:sz="8" w:color="auto"/>
            </w:tcBorders>
          </w:tcPr>
          <w:p>
            <w:pPr>
              <w:spacing w:after="0"/>
              <w:rPr>
                <w:sz w:val="24"/>
                <w:szCs w:val="24"/>
                <w:color w:val="auto"/>
              </w:rPr>
            </w:pPr>
          </w:p>
        </w:tc>
        <w:tc>
          <w:tcPr>
            <w:tcW w:w="52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December 12, 2012</w:t>
            </w:r>
          </w:p>
        </w:tc>
        <w:tc>
          <w:tcPr>
            <w:tcW w:w="0" w:type="dxa"/>
            <w:vAlign w:val="bottom"/>
          </w:tcPr>
          <w:p>
            <w:pPr>
              <w:spacing w:after="0"/>
              <w:rPr>
                <w:sz w:val="1"/>
                <w:szCs w:val="1"/>
                <w:color w:val="auto"/>
              </w:rPr>
            </w:pPr>
          </w:p>
        </w:tc>
      </w:tr>
      <w:tr>
        <w:trPr>
          <w:trHeight w:val="311"/>
        </w:trPr>
        <w:tc>
          <w:tcPr>
            <w:tcW w:w="5000" w:type="dxa"/>
            <w:vAlign w:val="bottom"/>
            <w:tcBorders>
              <w:right w:val="single" w:sz="8" w:color="auto"/>
            </w:tcBorders>
          </w:tcPr>
          <w:p>
            <w:pPr>
              <w:spacing w:after="0"/>
              <w:rPr>
                <w:sz w:val="24"/>
                <w:szCs w:val="24"/>
                <w:color w:val="auto"/>
              </w:rPr>
            </w:pPr>
          </w:p>
        </w:tc>
        <w:tc>
          <w:tcPr>
            <w:tcW w:w="2040" w:type="dxa"/>
            <w:vAlign w:val="bottom"/>
            <w:gridSpan w:val="3"/>
          </w:tcPr>
          <w:p>
            <w:pPr>
              <w:ind w:left="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5, 2013</w:t>
            </w:r>
          </w:p>
        </w:tc>
        <w:tc>
          <w:tcPr>
            <w:tcW w:w="31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9:30 AM EST</w:t>
            </w:r>
          </w:p>
        </w:tc>
        <w:tc>
          <w:tcPr>
            <w:tcW w:w="0" w:type="dxa"/>
            <w:vAlign w:val="bottom"/>
          </w:tcPr>
          <w:p>
            <w:pPr>
              <w:spacing w:after="0"/>
              <w:rPr>
                <w:sz w:val="1"/>
                <w:szCs w:val="1"/>
                <w:color w:val="auto"/>
              </w:rPr>
            </w:pPr>
          </w:p>
        </w:tc>
      </w:tr>
      <w:tr>
        <w:trPr>
          <w:trHeight w:val="311"/>
        </w:trPr>
        <w:tc>
          <w:tcPr>
            <w:tcW w:w="5000" w:type="dxa"/>
            <w:vAlign w:val="bottom"/>
            <w:tcBorders>
              <w:right w:val="single" w:sz="8" w:color="auto"/>
            </w:tcBorders>
          </w:tcPr>
          <w:p>
            <w:pPr>
              <w:spacing w:after="0"/>
              <w:rPr>
                <w:sz w:val="24"/>
                <w:szCs w:val="24"/>
                <w:color w:val="auto"/>
              </w:rPr>
            </w:pPr>
          </w:p>
        </w:tc>
        <w:tc>
          <w:tcPr>
            <w:tcW w:w="52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Offices of Dechert LLP</w:t>
            </w:r>
          </w:p>
        </w:tc>
        <w:tc>
          <w:tcPr>
            <w:tcW w:w="0" w:type="dxa"/>
            <w:vAlign w:val="bottom"/>
          </w:tcPr>
          <w:p>
            <w:pPr>
              <w:spacing w:after="0"/>
              <w:rPr>
                <w:sz w:val="1"/>
                <w:szCs w:val="1"/>
                <w:color w:val="auto"/>
              </w:rPr>
            </w:pPr>
          </w:p>
        </w:tc>
      </w:tr>
      <w:tr>
        <w:trPr>
          <w:trHeight w:val="223"/>
        </w:trPr>
        <w:tc>
          <w:tcPr>
            <w:tcW w:w="5000" w:type="dxa"/>
            <w:vAlign w:val="bottom"/>
            <w:tcBorders>
              <w:right w:val="single" w:sz="8" w:color="auto"/>
            </w:tcBorders>
          </w:tcPr>
          <w:p>
            <w:pPr>
              <w:spacing w:after="0"/>
              <w:rPr>
                <w:sz w:val="19"/>
                <w:szCs w:val="19"/>
                <w:color w:val="auto"/>
              </w:rPr>
            </w:pPr>
          </w:p>
        </w:tc>
        <w:tc>
          <w:tcPr>
            <w:tcW w:w="5220" w:type="dxa"/>
            <w:vAlign w:val="bottom"/>
            <w:tcBorders>
              <w:right w:val="single" w:sz="8" w:color="auto"/>
            </w:tcBorders>
            <w:gridSpan w:val="5"/>
          </w:tcPr>
          <w:p>
            <w:pPr>
              <w:ind w:left="980"/>
              <w:spacing w:after="0"/>
              <w:rPr>
                <w:sz w:val="20"/>
                <w:szCs w:val="20"/>
                <w:color w:val="auto"/>
              </w:rPr>
            </w:pPr>
            <w:r>
              <w:rPr>
                <w:rFonts w:ascii="Arial" w:cs="Arial" w:eastAsia="Arial" w:hAnsi="Arial"/>
                <w:sz w:val="18"/>
                <w:szCs w:val="18"/>
                <w:color w:val="auto"/>
              </w:rPr>
              <w:t>1095 Avenue of the Americas</w:t>
            </w:r>
          </w:p>
        </w:tc>
        <w:tc>
          <w:tcPr>
            <w:tcW w:w="0" w:type="dxa"/>
            <w:vAlign w:val="bottom"/>
          </w:tcPr>
          <w:p>
            <w:pPr>
              <w:spacing w:after="0"/>
              <w:rPr>
                <w:sz w:val="1"/>
                <w:szCs w:val="1"/>
                <w:color w:val="auto"/>
              </w:rPr>
            </w:pPr>
          </w:p>
        </w:tc>
      </w:tr>
      <w:tr>
        <w:trPr>
          <w:trHeight w:val="222"/>
        </w:trPr>
        <w:tc>
          <w:tcPr>
            <w:tcW w:w="5000" w:type="dxa"/>
            <w:vAlign w:val="bottom"/>
            <w:tcBorders>
              <w:right w:val="single" w:sz="8" w:color="auto"/>
            </w:tcBorders>
          </w:tcPr>
          <w:p>
            <w:pPr>
              <w:spacing w:after="0"/>
              <w:rPr>
                <w:sz w:val="19"/>
                <w:szCs w:val="19"/>
                <w:color w:val="auto"/>
              </w:rPr>
            </w:pPr>
          </w:p>
        </w:tc>
        <w:tc>
          <w:tcPr>
            <w:tcW w:w="5220" w:type="dxa"/>
            <w:vAlign w:val="bottom"/>
            <w:tcBorders>
              <w:right w:val="single" w:sz="8" w:color="auto"/>
            </w:tcBorders>
            <w:gridSpan w:val="5"/>
          </w:tcPr>
          <w:p>
            <w:pPr>
              <w:ind w:left="980"/>
              <w:spacing w:after="0"/>
              <w:rPr>
                <w:sz w:val="20"/>
                <w:szCs w:val="20"/>
                <w:color w:val="auto"/>
              </w:rPr>
            </w:pPr>
            <w:r>
              <w:rPr>
                <w:rFonts w:ascii="Arial" w:cs="Arial" w:eastAsia="Arial" w:hAnsi="Arial"/>
                <w:sz w:val="18"/>
                <w:szCs w:val="18"/>
                <w:color w:val="auto"/>
              </w:rPr>
              <w:t>New York, NY 10036</w:t>
            </w:r>
          </w:p>
        </w:tc>
        <w:tc>
          <w:tcPr>
            <w:tcW w:w="0" w:type="dxa"/>
            <w:vAlign w:val="bottom"/>
          </w:tcPr>
          <w:p>
            <w:pPr>
              <w:spacing w:after="0"/>
              <w:rPr>
                <w:sz w:val="1"/>
                <w:szCs w:val="1"/>
                <w:color w:val="auto"/>
              </w:rPr>
            </w:pPr>
          </w:p>
        </w:tc>
      </w:tr>
      <w:tr>
        <w:trPr>
          <w:trHeight w:val="164"/>
        </w:trPr>
        <w:tc>
          <w:tcPr>
            <w:tcW w:w="5000" w:type="dxa"/>
            <w:vAlign w:val="bottom"/>
            <w:tcBorders>
              <w:right w:val="single" w:sz="8" w:color="auto"/>
            </w:tcBorders>
          </w:tcPr>
          <w:p>
            <w:pPr>
              <w:spacing w:after="0"/>
              <w:rPr>
                <w:sz w:val="14"/>
                <w:szCs w:val="14"/>
                <w:color w:val="auto"/>
              </w:rPr>
            </w:pPr>
          </w:p>
        </w:tc>
        <w:tc>
          <w:tcPr>
            <w:tcW w:w="1800" w:type="dxa"/>
            <w:vAlign w:val="bottom"/>
            <w:tcBorders>
              <w:bottom w:val="single" w:sz="8" w:color="auto"/>
            </w:tcBorders>
            <w:gridSpan w:val="2"/>
          </w:tcPr>
          <w:p>
            <w:pPr>
              <w:spacing w:after="0"/>
              <w:rPr>
                <w:sz w:val="14"/>
                <w:szCs w:val="14"/>
                <w:color w:val="auto"/>
              </w:rPr>
            </w:pPr>
          </w:p>
        </w:tc>
        <w:tc>
          <w:tcPr>
            <w:tcW w:w="1580" w:type="dxa"/>
            <w:vAlign w:val="bottom"/>
            <w:tcBorders>
              <w:bottom w:val="single" w:sz="8" w:color="auto"/>
            </w:tcBorders>
            <w:gridSpan w:val="2"/>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5000" w:type="dxa"/>
            <w:vAlign w:val="bottom"/>
          </w:tcPr>
          <w:p>
            <w:pPr>
              <w:spacing w:after="0"/>
              <w:rPr>
                <w:sz w:val="24"/>
                <w:szCs w:val="24"/>
                <w:color w:val="auto"/>
              </w:rPr>
            </w:pPr>
          </w:p>
        </w:tc>
        <w:tc>
          <w:tcPr>
            <w:tcW w:w="5220" w:type="dxa"/>
            <w:vAlign w:val="bottom"/>
            <w:gridSpan w:val="5"/>
          </w:tcPr>
          <w:p>
            <w:pPr>
              <w:ind w:left="80"/>
              <w:spacing w:after="0"/>
              <w:rPr>
                <w:sz w:val="20"/>
                <w:szCs w:val="20"/>
                <w:color w:val="auto"/>
              </w:rPr>
            </w:pPr>
            <w:r>
              <w:rPr>
                <w:rFonts w:ascii="Arial" w:cs="Arial" w:eastAsia="Arial" w:hAnsi="Arial"/>
                <w:sz w:val="18"/>
                <w:szCs w:val="18"/>
                <w:color w:val="auto"/>
                <w:w w:val="92"/>
              </w:rPr>
              <w:t>You are receiving this communication because you hold shares in the</w:t>
            </w:r>
          </w:p>
        </w:tc>
        <w:tc>
          <w:tcPr>
            <w:tcW w:w="0" w:type="dxa"/>
            <w:vAlign w:val="bottom"/>
          </w:tcPr>
          <w:p>
            <w:pPr>
              <w:spacing w:after="0"/>
              <w:rPr>
                <w:sz w:val="1"/>
                <w:szCs w:val="1"/>
                <w:color w:val="auto"/>
              </w:rPr>
            </w:pPr>
          </w:p>
        </w:tc>
      </w:tr>
      <w:tr>
        <w:trPr>
          <w:trHeight w:val="222"/>
        </w:trPr>
        <w:tc>
          <w:tcPr>
            <w:tcW w:w="5000" w:type="dxa"/>
            <w:vAlign w:val="bottom"/>
          </w:tcPr>
          <w:p>
            <w:pPr>
              <w:spacing w:after="0"/>
              <w:rPr>
                <w:sz w:val="19"/>
                <w:szCs w:val="19"/>
                <w:color w:val="auto"/>
              </w:rPr>
            </w:pPr>
          </w:p>
        </w:tc>
        <w:tc>
          <w:tcPr>
            <w:tcW w:w="2040" w:type="dxa"/>
            <w:vAlign w:val="bottom"/>
            <w:gridSpan w:val="3"/>
          </w:tcPr>
          <w:p>
            <w:pPr>
              <w:ind w:left="80"/>
              <w:spacing w:after="0"/>
              <w:rPr>
                <w:sz w:val="20"/>
                <w:szCs w:val="20"/>
                <w:color w:val="auto"/>
              </w:rPr>
            </w:pPr>
            <w:r>
              <w:rPr>
                <w:rFonts w:ascii="Arial" w:cs="Arial" w:eastAsia="Arial" w:hAnsi="Arial"/>
                <w:sz w:val="18"/>
                <w:szCs w:val="18"/>
                <w:color w:val="auto"/>
              </w:rPr>
              <w:t>above named company.</w:t>
            </w:r>
          </w:p>
        </w:tc>
        <w:tc>
          <w:tcPr>
            <w:tcW w:w="1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This is not a ballot. You cannot use this notice to vote these shares. This</w:t>
      </w:r>
    </w:p>
    <w:p>
      <w:pPr>
        <w:spacing w:after="0" w:line="38"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communication presents only an overview of the more complete proxy</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materials that are available to you on the Internet. You may view the</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 xml:space="preserve">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copy (see reverse side).</w:t>
      </w:r>
    </w:p>
    <w:p>
      <w:pPr>
        <w:spacing w:after="0" w:line="97"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We encourage you to access and review all of the important information</w:t>
      </w:r>
    </w:p>
    <w:p>
      <w:pPr>
        <w:spacing w:after="0" w:line="3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109855</wp:posOffset>
            </wp:positionV>
            <wp:extent cx="3319145" cy="317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19145" cy="31750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-69215</wp:posOffset>
            </wp:positionV>
            <wp:extent cx="60325" cy="5918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591820"/>
                    </a:xfrm>
                    <a:prstGeom prst="rect">
                      <a:avLst/>
                    </a:prstGeom>
                    <a:noFill/>
                  </pic:spPr>
                </pic:pic>
              </a:graphicData>
            </a:graphic>
          </wp:anchor>
        </w:drawing>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FFFFFF"/>
        </w:rPr>
        <w:t>See the reverse side of this notice to obtain proxy materials and</w:t>
      </w:r>
    </w:p>
    <w:p>
      <w:pPr>
        <w:spacing w:after="0" w:line="4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FFFFFF"/>
        </w:rPr>
        <w:t>voting instructions.</w:t>
      </w:r>
    </w:p>
    <w:p>
      <w:pPr>
        <w:sectPr>
          <w:pgSz w:w="11900" w:h="16838" w:orient="portrait"/>
          <w:cols w:equalWidth="0" w:num="1">
            <w:col w:w="10240"/>
          </w:cols>
          <w:pgMar w:left="1440" w:top="274" w:right="21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109855</wp:posOffset>
            </wp:positionV>
            <wp:extent cx="7058025" cy="24872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58025" cy="248729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110" w:lineRule="exact"/>
        <w:rPr>
          <w:sz w:val="20"/>
          <w:szCs w:val="20"/>
          <w:color w:val="auto"/>
        </w:rPr>
      </w:pPr>
    </w:p>
    <w:p>
      <w:pPr>
        <w:spacing w:after="0"/>
        <w:tabs>
          <w:tab w:leader="none" w:pos="324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6"/>
          <w:szCs w:val="16"/>
          <w:color w:val="auto"/>
        </w:rPr>
        <w:t>FORM 10-K</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Have the information that is printed in the box marked by the arrow </w:t>
      </w:r>
      <w:r>
        <w:rPr>
          <w:sz w:val="1"/>
          <w:szCs w:val="1"/>
          <w:color w:val="auto"/>
        </w:rPr>
        <w:drawing>
          <wp:inline distT="0" distB="0" distL="0" distR="0">
            <wp:extent cx="1355090" cy="1371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55090" cy="137160"/>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and visit: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ind w:left="1800"/>
        <w:spacing w:after="0"/>
        <w:tabs>
          <w:tab w:leader="none" w:pos="348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9" w:lineRule="exact"/>
        <w:rPr>
          <w:sz w:val="20"/>
          <w:szCs w:val="20"/>
          <w:color w:val="auto"/>
        </w:rPr>
      </w:pPr>
    </w:p>
    <w:p>
      <w:pPr>
        <w:ind w:left="1980" w:hanging="189"/>
        <w:spacing w:after="0"/>
        <w:tabs>
          <w:tab w:leader="none" w:pos="1980"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1980" w:hanging="189"/>
        <w:spacing w:after="0"/>
        <w:tabs>
          <w:tab w:leader="none" w:pos="1980"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17"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355090" cy="1371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55090"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0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January 22, 2013 to facilitate timely delivery.</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How To Vote —</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109855</wp:posOffset>
            </wp:positionV>
            <wp:extent cx="7058025" cy="1174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58025" cy="1174750"/>
                    </a:xfrm>
                    <a:prstGeom prst="rect">
                      <a:avLst/>
                    </a:prstGeom>
                    <a:noFill/>
                  </pic:spPr>
                </pic:pic>
              </a:graphicData>
            </a:graphic>
          </wp:anchor>
        </w:drawing>
      </w:r>
    </w:p>
    <w:p>
      <w:pPr>
        <w:spacing w:after="0" w:line="206"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Vote In Person: </w:t>
      </w:r>
      <w:r>
        <w:rPr>
          <w:rFonts w:ascii="Arial" w:cs="Arial" w:eastAsia="Arial" w:hAnsi="Arial"/>
          <w:sz w:val="16"/>
          <w:szCs w:val="16"/>
          <w:color w:val="auto"/>
        </w:rPr>
        <w:t>If you choose to vote these shares in person at the meeting, you must request a “</w:t>
      </w:r>
      <w:r>
        <w:rPr>
          <w:rFonts w:ascii="Arial" w:cs="Arial" w:eastAsia="Arial" w:hAnsi="Arial"/>
          <w:sz w:val="16"/>
          <w:szCs w:val="16"/>
          <w:i w:val="1"/>
          <w:iCs w:val="1"/>
          <w:color w:val="auto"/>
        </w:rPr>
        <w:t>legal proxy</w:t>
      </w:r>
      <w:r>
        <w:rPr>
          <w:rFonts w:ascii="Arial" w:cs="Arial" w:eastAsia="Arial" w:hAnsi="Arial"/>
          <w:sz w:val="16"/>
          <w:szCs w:val="16"/>
          <w:color w:val="auto"/>
        </w:rPr>
        <w:t>.” To do so, please follow the instructions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request a paper copy of the materials, which will contain the appropriate instructions. Many shareholder meetings have attendance requirements including, but not limited to, the possession of an attendance ticket issued by the entity holding the meeting. Please check the meeting materials for any special requirements for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-335915</wp:posOffset>
            </wp:positionV>
            <wp:extent cx="60325" cy="5918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591820"/>
                    </a:xfrm>
                    <a:prstGeom prst="rect">
                      <a:avLst/>
                    </a:prstGeom>
                    <a:noFill/>
                  </pic:spPr>
                </pic:pic>
              </a:graphicData>
            </a:graphic>
          </wp:anchor>
        </w:drawing>
      </w:r>
    </w:p>
    <w:p>
      <w:pPr>
        <w:spacing w:after="0" w:line="16" w:lineRule="exact"/>
        <w:rPr>
          <w:sz w:val="20"/>
          <w:szCs w:val="20"/>
          <w:color w:val="auto"/>
        </w:rPr>
      </w:pPr>
    </w:p>
    <w:p>
      <w:pPr>
        <w:ind w:right="780"/>
        <w:spacing w:after="0" w:line="279"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355090" cy="1371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55090"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voting instruction form.</w:t>
      </w:r>
    </w:p>
    <w:p>
      <w:pPr>
        <w:sectPr>
          <w:pgSz w:w="11900" w:h="16838" w:orient="portrait"/>
          <w:cols w:equalWidth="0" w:num="1">
            <w:col w:w="10540"/>
          </w:cols>
          <w:pgMar w:left="820" w:top="274" w:right="539" w:bottom="1440" w:gutter="0" w:footer="0" w:header="0"/>
        </w:sectPr>
      </w:pPr>
    </w:p>
    <w:bookmarkStart w:id="33" w:name="page34"/>
    <w:bookmarkEnd w:id="33"/>
    <w:p>
      <w:pPr>
        <w:ind w:left="132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294640</wp:posOffset>
            </wp:positionH>
            <wp:positionV relativeFrom="page">
              <wp:posOffset>183515</wp:posOffset>
            </wp:positionV>
            <wp:extent cx="449389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493895" cy="171450"/>
                    </a:xfrm>
                    <a:prstGeom prst="rect">
                      <a:avLst/>
                    </a:prstGeom>
                    <a:noFill/>
                  </pic:spPr>
                </pic:pic>
              </a:graphicData>
            </a:graphic>
          </wp:anchor>
        </w:drawing>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6680835</wp:posOffset>
            </wp:positionH>
            <wp:positionV relativeFrom="paragraph">
              <wp:posOffset>14605</wp:posOffset>
            </wp:positionV>
            <wp:extent cx="437515" cy="3346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7515" cy="334645"/>
                    </a:xfrm>
                    <a:prstGeom prst="rect">
                      <a:avLst/>
                    </a:prstGeom>
                    <a:noFill/>
                  </pic:spPr>
                </pic:pic>
              </a:graphicData>
            </a:graphic>
          </wp:anchor>
        </w:drawing>
      </w:r>
    </w:p>
    <w:p>
      <w:pPr>
        <w:spacing w:after="0" w:line="7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vote FOR the following:</w:t>
      </w:r>
    </w:p>
    <w:p>
      <w:pPr>
        <w:spacing w:after="0" w:line="123" w:lineRule="exact"/>
        <w:rPr>
          <w:sz w:val="20"/>
          <w:szCs w:val="20"/>
          <w:color w:val="auto"/>
        </w:rPr>
      </w:pPr>
    </w:p>
    <w:p>
      <w:pPr>
        <w:ind w:left="402" w:hanging="402"/>
        <w:spacing w:after="0"/>
        <w:tabs>
          <w:tab w:leader="none" w:pos="40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Election of Director</w:t>
      </w:r>
    </w:p>
    <w:p>
      <w:pPr>
        <w:spacing w:after="0" w:line="111" w:lineRule="exact"/>
        <w:rPr>
          <w:rFonts w:ascii="Arial" w:cs="Arial" w:eastAsia="Arial" w:hAnsi="Arial"/>
          <w:sz w:val="18"/>
          <w:szCs w:val="18"/>
          <w:color w:val="auto"/>
        </w:rPr>
      </w:pPr>
    </w:p>
    <w:p>
      <w:pPr>
        <w:ind w:left="402"/>
        <w:spacing w:after="0"/>
        <w:rPr>
          <w:rFonts w:ascii="Arial" w:cs="Arial" w:eastAsia="Arial" w:hAnsi="Arial"/>
          <w:sz w:val="18"/>
          <w:szCs w:val="18"/>
          <w:color w:val="auto"/>
        </w:rPr>
      </w:pPr>
      <w:r>
        <w:rPr>
          <w:rFonts w:ascii="Arial" w:cs="Arial" w:eastAsia="Arial" w:hAnsi="Arial"/>
          <w:sz w:val="18"/>
          <w:szCs w:val="18"/>
          <w:b w:val="1"/>
          <w:bCs w:val="1"/>
          <w:color w:val="auto"/>
        </w:rPr>
        <w:t>Nominee:</w:t>
      </w:r>
    </w:p>
    <w:p>
      <w:pPr>
        <w:spacing w:after="0" w:line="123" w:lineRule="exact"/>
        <w:rPr>
          <w:sz w:val="20"/>
          <w:szCs w:val="20"/>
          <w:color w:val="auto"/>
        </w:rPr>
      </w:pPr>
    </w:p>
    <w:p>
      <w:pPr>
        <w:ind w:left="422"/>
        <w:spacing w:after="0"/>
        <w:tabs>
          <w:tab w:leader="none" w:pos="802" w:val="left"/>
        </w:tabs>
        <w:rPr>
          <w:sz w:val="20"/>
          <w:szCs w:val="20"/>
          <w:color w:val="auto"/>
        </w:rPr>
      </w:pPr>
      <w:r>
        <w:rPr>
          <w:rFonts w:ascii="Arial" w:cs="Arial" w:eastAsia="Arial" w:hAnsi="Arial"/>
          <w:sz w:val="18"/>
          <w:szCs w:val="18"/>
          <w:color w:val="auto"/>
        </w:rPr>
        <w:t>01)</w:t>
      </w:r>
      <w:r>
        <w:rPr>
          <w:sz w:val="20"/>
          <w:szCs w:val="20"/>
          <w:color w:val="auto"/>
        </w:rPr>
        <w:tab/>
      </w:r>
      <w:r>
        <w:rPr>
          <w:rFonts w:ascii="Arial" w:cs="Arial" w:eastAsia="Arial" w:hAnsi="Arial"/>
          <w:sz w:val="16"/>
          <w:szCs w:val="16"/>
          <w:color w:val="auto"/>
        </w:rPr>
        <w:t>Adam K. Bernstein</w:t>
      </w:r>
    </w:p>
    <w:p>
      <w:pPr>
        <w:spacing w:after="0" w:line="15" w:lineRule="exact"/>
        <w:rPr>
          <w:sz w:val="20"/>
          <w:szCs w:val="20"/>
          <w:color w:val="auto"/>
        </w:rPr>
      </w:pPr>
    </w:p>
    <w:p>
      <w:pPr>
        <w:ind w:left="842" w:hanging="410"/>
        <w:spacing w:after="0"/>
        <w:tabs>
          <w:tab w:leader="none" w:pos="842" w:val="left"/>
        </w:tabs>
        <w:numPr>
          <w:ilvl w:val="0"/>
          <w:numId w:val="24"/>
        </w:numPr>
        <w:rPr>
          <w:rFonts w:ascii="Arial" w:cs="Arial" w:eastAsia="Arial" w:hAnsi="Arial"/>
          <w:sz w:val="18"/>
          <w:szCs w:val="18"/>
          <w:color w:val="auto"/>
        </w:rPr>
      </w:pPr>
      <w:r>
        <w:rPr>
          <w:rFonts w:ascii="Arial" w:cs="Arial" w:eastAsia="Arial" w:hAnsi="Arial"/>
          <w:sz w:val="18"/>
          <w:szCs w:val="18"/>
          <w:color w:val="auto"/>
        </w:rPr>
        <w:t>Jeffrey Flug</w:t>
      </w:r>
    </w:p>
    <w:p>
      <w:pPr>
        <w:spacing w:after="0" w:line="9" w:lineRule="exact"/>
        <w:rPr>
          <w:sz w:val="20"/>
          <w:szCs w:val="20"/>
          <w:color w:val="auto"/>
        </w:rPr>
      </w:pPr>
    </w:p>
    <w:p>
      <w:pPr>
        <w:ind w:left="842" w:hanging="410"/>
        <w:spacing w:after="0"/>
        <w:tabs>
          <w:tab w:leader="none" w:pos="8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Marshall Brozost</w:t>
      </w:r>
    </w:p>
    <w:p>
      <w:pPr>
        <w:spacing w:after="0" w:line="9" w:lineRule="exact"/>
        <w:rPr>
          <w:sz w:val="20"/>
          <w:szCs w:val="20"/>
          <w:color w:val="auto"/>
        </w:rPr>
      </w:pPr>
    </w:p>
    <w:p>
      <w:pPr>
        <w:ind w:left="842" w:hanging="410"/>
        <w:spacing w:after="0"/>
        <w:tabs>
          <w:tab w:leader="none" w:pos="842"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Samuel L. Katz</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 vote FOR the following proposal:</w:t>
      </w:r>
    </w:p>
    <w:p>
      <w:pPr>
        <w:spacing w:after="0" w:line="123" w:lineRule="exact"/>
        <w:rPr>
          <w:sz w:val="20"/>
          <w:szCs w:val="20"/>
          <w:color w:val="auto"/>
        </w:rPr>
      </w:pPr>
    </w:p>
    <w:p>
      <w:pPr>
        <w:ind w:left="422" w:hanging="422"/>
        <w:spacing w:after="0" w:line="268" w:lineRule="auto"/>
        <w:tabs>
          <w:tab w:leader="none" w:pos="3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ratify the selection of KPMG LLP to serve as the Company’s independent registered public accounting firm for the fiscal year ending September 30, 2013.</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1790065</wp:posOffset>
            </wp:positionV>
            <wp:extent cx="60325" cy="5829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p>
      <w:pPr>
        <w:sectPr>
          <w:pgSz w:w="11900" w:h="16838" w:orient="portrait"/>
          <w:cols w:equalWidth="0" w:num="1">
            <w:col w:w="9982"/>
          </w:cols>
          <w:pgMar w:left="478" w:top="301" w:right="14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7138035</wp:posOffset>
            </wp:positionH>
            <wp:positionV relativeFrom="page">
              <wp:posOffset>183515</wp:posOffset>
            </wp:positionV>
            <wp:extent cx="274320" cy="2660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4320" cy="266065"/>
                    </a:xfrm>
                    <a:prstGeom prst="rect">
                      <a:avLst/>
                    </a:prstGeom>
                    <a:noFill/>
                  </pic:spPr>
                </pic:pic>
              </a:graphicData>
            </a:graphic>
          </wp:anchor>
        </w:drawing>
        <w:drawing>
          <wp:anchor simplePos="0" relativeHeight="251657728" behindDoc="1" locked="0" layoutInCell="0" allowOverlap="1">
            <wp:simplePos x="0" y="0"/>
            <wp:positionH relativeFrom="page">
              <wp:posOffset>732155</wp:posOffset>
            </wp:positionH>
            <wp:positionV relativeFrom="page">
              <wp:posOffset>1632585</wp:posOffset>
            </wp:positionV>
            <wp:extent cx="16205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205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1829435</wp:posOffset>
            </wp:positionV>
            <wp:extent cx="60325" cy="5918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5918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440690</wp:posOffset>
            </wp:positionH>
            <wp:positionV relativeFrom="page">
              <wp:posOffset>183515</wp:posOffset>
            </wp:positionV>
            <wp:extent cx="1929765" cy="411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929765" cy="411480"/>
                    </a:xfrm>
                    <a:prstGeom prst="rect">
                      <a:avLst/>
                    </a:prstGeom>
                    <a:noFill/>
                  </pic:spPr>
                </pic:pic>
              </a:graphicData>
            </a:graphic>
          </wp:anchor>
        </w:drawing>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590 MADISON AVENUE</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15TH FLOOR</w:t>
      </w:r>
    </w:p>
    <w:p>
      <w:pPr>
        <w:ind w:left="460"/>
        <w:spacing w:after="0"/>
        <w:rPr>
          <w:sz w:val="20"/>
          <w:szCs w:val="20"/>
          <w:color w:val="auto"/>
        </w:rPr>
      </w:pPr>
      <w:r>
        <w:rPr>
          <w:rFonts w:ascii="Arial" w:cs="Arial" w:eastAsia="Arial" w:hAnsi="Arial"/>
          <w:sz w:val="12"/>
          <w:szCs w:val="12"/>
          <w:b w:val="1"/>
          <w:bCs w:val="1"/>
          <w:i w:val="1"/>
          <w:iCs w:val="1"/>
          <w:color w:val="auto"/>
        </w:rPr>
        <w:t>NEW YORK, NY 10022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-264795</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320"/>
        <w:spacing w:after="0" w:line="271"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 w:lineRule="exact"/>
        <w:rPr>
          <w:sz w:val="20"/>
          <w:szCs w:val="20"/>
          <w:color w:val="auto"/>
        </w:rPr>
      </w:pPr>
    </w:p>
    <w:p>
      <w:pPr>
        <w:sectPr>
          <w:pgSz w:w="11900" w:h="16838" w:orient="portrait"/>
          <w:cols w:equalWidth="0" w:num="2">
            <w:col w:w="5320" w:space="720"/>
            <w:col w:w="5400"/>
          </w:cols>
          <w:pgMar w:left="240" w:top="397" w:right="219" w:bottom="1440" w:gutter="0" w:footer="0" w:header="0"/>
        </w:sectPr>
      </w:pPr>
    </w:p>
    <w:tbl>
      <w:tblPr>
        <w:tblLayout w:type="fixed"/>
        <w:tblInd w:w="0" w:type="dxa"/>
        <w:tblCellMar>
          <w:top w:w="0" w:type="dxa"/>
          <w:left w:w="0" w:type="dxa"/>
          <w:bottom w:w="0" w:type="dxa"/>
          <w:right w:w="0" w:type="dxa"/>
        </w:tblCellMar>
      </w:tblPr>
      <w:tr>
        <w:trPr>
          <w:trHeight w:val="152"/>
        </w:trPr>
        <w:tc>
          <w:tcPr>
            <w:tcW w:w="3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520" w:type="dxa"/>
            <w:vAlign w:val="bottom"/>
            <w:gridSpan w:val="4"/>
          </w:tcPr>
          <w:p>
            <w:pPr>
              <w:ind w:left="120"/>
              <w:spacing w:after="0" w:line="152" w:lineRule="exact"/>
              <w:rPr>
                <w:sz w:val="20"/>
                <w:szCs w:val="20"/>
                <w:color w:val="auto"/>
              </w:rPr>
            </w:pPr>
            <w:r>
              <w:rPr>
                <w:rFonts w:ascii="Arial" w:cs="Arial" w:eastAsia="Arial" w:hAnsi="Arial"/>
                <w:sz w:val="14"/>
                <w:szCs w:val="14"/>
                <w:color w:val="auto"/>
                <w:w w:val="94"/>
              </w:rPr>
              <w:t>If you would like to reduce the costs incurred by our company in mailing proxy materials, you</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2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can consent to receiving all future proxy statements, proxy cards and annual reports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20" w:type="dxa"/>
            <w:vAlign w:val="bottom"/>
            <w:gridSpan w:val="4"/>
          </w:tcPr>
          <w:p>
            <w:pPr>
              <w:ind w:left="120"/>
              <w:spacing w:after="0" w:line="149" w:lineRule="exact"/>
              <w:rPr>
                <w:sz w:val="20"/>
                <w:szCs w:val="20"/>
                <w:color w:val="auto"/>
              </w:rPr>
            </w:pPr>
            <w:r>
              <w:rPr>
                <w:rFonts w:ascii="Arial" w:cs="Arial" w:eastAsia="Arial" w:hAnsi="Arial"/>
                <w:sz w:val="14"/>
                <w:szCs w:val="14"/>
                <w:color w:val="auto"/>
                <w:w w:val="96"/>
              </w:rPr>
              <w:t>electronically via e-mail or the Internet. To sign up for electronic delivery, please follow the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20" w:type="dxa"/>
            <w:vAlign w:val="bottom"/>
            <w:gridSpan w:val="4"/>
          </w:tcPr>
          <w:p>
            <w:pPr>
              <w:ind w:left="120"/>
              <w:spacing w:after="0" w:line="149" w:lineRule="exact"/>
              <w:rPr>
                <w:sz w:val="20"/>
                <w:szCs w:val="20"/>
                <w:color w:val="auto"/>
              </w:rPr>
            </w:pPr>
            <w:r>
              <w:rPr>
                <w:rFonts w:ascii="Arial" w:cs="Arial" w:eastAsia="Arial" w:hAnsi="Arial"/>
                <w:sz w:val="14"/>
                <w:szCs w:val="14"/>
                <w:color w:val="auto"/>
                <w:w w:val="94"/>
              </w:rPr>
              <w:t>instructions above to vote using the Internet and, when prompted, indicate that you agree to</w:t>
            </w:r>
          </w:p>
        </w:tc>
        <w:tc>
          <w:tcPr>
            <w:tcW w:w="0" w:type="dxa"/>
            <w:vAlign w:val="bottom"/>
          </w:tcPr>
          <w:p>
            <w:pPr>
              <w:spacing w:after="0"/>
              <w:rPr>
                <w:sz w:val="1"/>
                <w:szCs w:val="1"/>
                <w:color w:val="auto"/>
              </w:rPr>
            </w:pPr>
          </w:p>
        </w:tc>
      </w:tr>
      <w:tr>
        <w:trPr>
          <w:trHeight w:val="172"/>
        </w:trPr>
        <w:tc>
          <w:tcPr>
            <w:tcW w:w="3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520" w:type="dxa"/>
            <w:vAlign w:val="bottom"/>
            <w:gridSpan w:val="4"/>
          </w:tcPr>
          <w:p>
            <w:pPr>
              <w:ind w:left="120"/>
              <w:spacing w:after="0"/>
              <w:rPr>
                <w:sz w:val="20"/>
                <w:szCs w:val="20"/>
                <w:color w:val="auto"/>
              </w:rPr>
            </w:pPr>
            <w:r>
              <w:rPr>
                <w:rFonts w:ascii="Arial" w:cs="Arial" w:eastAsia="Arial" w:hAnsi="Arial"/>
                <w:sz w:val="14"/>
                <w:szCs w:val="14"/>
                <w:color w:val="auto"/>
              </w:rPr>
              <w:t>receive or access proxy materials electronically in future years.</w:t>
            </w:r>
          </w:p>
        </w:tc>
        <w:tc>
          <w:tcPr>
            <w:tcW w:w="0" w:type="dxa"/>
            <w:vAlign w:val="bottom"/>
          </w:tcPr>
          <w:p>
            <w:pPr>
              <w:spacing w:after="0"/>
              <w:rPr>
                <w:sz w:val="1"/>
                <w:szCs w:val="1"/>
                <w:color w:val="auto"/>
              </w:rPr>
            </w:pPr>
          </w:p>
        </w:tc>
      </w:tr>
      <w:tr>
        <w:trPr>
          <w:trHeight w:val="219"/>
        </w:trPr>
        <w:tc>
          <w:tcPr>
            <w:tcW w:w="3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60" w:type="dxa"/>
            <w:vAlign w:val="bottom"/>
          </w:tcPr>
          <w:p>
            <w:pPr>
              <w:ind w:left="120"/>
              <w:spacing w:after="0"/>
              <w:rPr>
                <w:sz w:val="20"/>
                <w:szCs w:val="20"/>
                <w:color w:val="auto"/>
              </w:rPr>
            </w:pPr>
            <w:r>
              <w:rPr>
                <w:rFonts w:ascii="Arial" w:cs="Arial" w:eastAsia="Arial" w:hAnsi="Arial"/>
                <w:sz w:val="14"/>
                <w:szCs w:val="14"/>
                <w:b w:val="1"/>
                <w:bCs w:val="1"/>
                <w:color w:val="auto"/>
              </w:rPr>
              <w:t>VOTE BY PHONE - 1-800-690-6903</w:t>
            </w:r>
          </w:p>
        </w:tc>
        <w:tc>
          <w:tcPr>
            <w:tcW w:w="2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20" w:type="dxa"/>
            <w:vAlign w:val="bottom"/>
            <w:gridSpan w:val="4"/>
          </w:tcPr>
          <w:p>
            <w:pPr>
              <w:ind w:left="120"/>
              <w:spacing w:after="0" w:line="149" w:lineRule="exact"/>
              <w:rPr>
                <w:sz w:val="20"/>
                <w:szCs w:val="20"/>
                <w:color w:val="auto"/>
              </w:rPr>
            </w:pPr>
            <w:r>
              <w:rPr>
                <w:rFonts w:ascii="Arial" w:cs="Arial" w:eastAsia="Arial" w:hAnsi="Arial"/>
                <w:sz w:val="14"/>
                <w:szCs w:val="14"/>
                <w:color w:val="auto"/>
                <w:w w:val="93"/>
              </w:rPr>
              <w:t>Use any touch-tone telephone to transmit your voting instructions up until 11:59 P.M. Eastern</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20" w:type="dxa"/>
            <w:vAlign w:val="bottom"/>
            <w:gridSpan w:val="4"/>
          </w:tcPr>
          <w:p>
            <w:pPr>
              <w:ind w:left="120"/>
              <w:spacing w:after="0" w:line="149" w:lineRule="exact"/>
              <w:rPr>
                <w:sz w:val="20"/>
                <w:szCs w:val="20"/>
                <w:color w:val="auto"/>
              </w:rPr>
            </w:pPr>
            <w:r>
              <w:rPr>
                <w:rFonts w:ascii="Arial" w:cs="Arial" w:eastAsia="Arial" w:hAnsi="Arial"/>
                <w:sz w:val="14"/>
                <w:szCs w:val="14"/>
                <w:color w:val="auto"/>
                <w:w w:val="93"/>
              </w:rPr>
              <w:t>Time the day before the cut-off date or meeting date. Have your proxy card in hand when you</w:t>
            </w:r>
          </w:p>
        </w:tc>
        <w:tc>
          <w:tcPr>
            <w:tcW w:w="0" w:type="dxa"/>
            <w:vAlign w:val="bottom"/>
          </w:tcPr>
          <w:p>
            <w:pPr>
              <w:spacing w:after="0"/>
              <w:rPr>
                <w:sz w:val="1"/>
                <w:szCs w:val="1"/>
                <w:color w:val="auto"/>
              </w:rPr>
            </w:pPr>
          </w:p>
        </w:tc>
      </w:tr>
      <w:tr>
        <w:trPr>
          <w:trHeight w:val="172"/>
        </w:trPr>
        <w:tc>
          <w:tcPr>
            <w:tcW w:w="3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60" w:type="dxa"/>
            <w:vAlign w:val="bottom"/>
          </w:tcPr>
          <w:p>
            <w:pPr>
              <w:ind w:left="120"/>
              <w:spacing w:after="0"/>
              <w:rPr>
                <w:sz w:val="20"/>
                <w:szCs w:val="20"/>
                <w:color w:val="auto"/>
              </w:rPr>
            </w:pPr>
            <w:r>
              <w:rPr>
                <w:rFonts w:ascii="Arial" w:cs="Arial" w:eastAsia="Arial" w:hAnsi="Arial"/>
                <w:sz w:val="14"/>
                <w:szCs w:val="14"/>
                <w:color w:val="auto"/>
              </w:rPr>
              <w:t>call and then follow the instructions.</w:t>
            </w:r>
          </w:p>
        </w:tc>
        <w:tc>
          <w:tcPr>
            <w:tcW w:w="2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60" w:type="dxa"/>
            <w:vAlign w:val="bottom"/>
          </w:tcPr>
          <w:p>
            <w:pPr>
              <w:ind w:left="120"/>
              <w:spacing w:after="0"/>
              <w:rPr>
                <w:sz w:val="20"/>
                <w:szCs w:val="20"/>
                <w:color w:val="auto"/>
              </w:rPr>
            </w:pPr>
            <w:r>
              <w:rPr>
                <w:rFonts w:ascii="Arial" w:cs="Arial" w:eastAsia="Arial" w:hAnsi="Arial"/>
                <w:sz w:val="14"/>
                <w:szCs w:val="14"/>
                <w:b w:val="1"/>
                <w:bCs w:val="1"/>
                <w:color w:val="auto"/>
              </w:rPr>
              <w:t>VOTE BY MAIL</w:t>
            </w:r>
          </w:p>
        </w:tc>
        <w:tc>
          <w:tcPr>
            <w:tcW w:w="2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20" w:type="dxa"/>
            <w:vAlign w:val="bottom"/>
            <w:gridSpan w:val="4"/>
          </w:tcPr>
          <w:p>
            <w:pPr>
              <w:ind w:left="120"/>
              <w:spacing w:after="0" w:line="149" w:lineRule="exact"/>
              <w:rPr>
                <w:sz w:val="20"/>
                <w:szCs w:val="20"/>
                <w:color w:val="auto"/>
              </w:rPr>
            </w:pPr>
            <w:r>
              <w:rPr>
                <w:rFonts w:ascii="Arial" w:cs="Arial" w:eastAsia="Arial" w:hAnsi="Arial"/>
                <w:sz w:val="14"/>
                <w:szCs w:val="14"/>
                <w:color w:val="auto"/>
                <w:w w:val="99"/>
              </w:rPr>
              <w:t>Mark, sign and date your proxy card and return it in the postage-paid envelope we have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20" w:type="dxa"/>
            <w:vAlign w:val="bottom"/>
            <w:gridSpan w:val="4"/>
          </w:tcPr>
          <w:p>
            <w:pPr>
              <w:ind w:left="120"/>
              <w:spacing w:after="0" w:line="149" w:lineRule="exact"/>
              <w:rPr>
                <w:sz w:val="20"/>
                <w:szCs w:val="20"/>
                <w:color w:val="auto"/>
              </w:rPr>
            </w:pPr>
            <w:r>
              <w:rPr>
                <w:rFonts w:ascii="Arial" w:cs="Arial" w:eastAsia="Arial" w:hAnsi="Arial"/>
                <w:sz w:val="14"/>
                <w:szCs w:val="14"/>
                <w:color w:val="auto"/>
                <w:w w:val="95"/>
              </w:rPr>
              <w:t>provided or return it to Vote Processing, c/o Broadridge, 51 Mercedes Way, Edgewood, NY</w:t>
            </w:r>
          </w:p>
        </w:tc>
        <w:tc>
          <w:tcPr>
            <w:tcW w:w="0" w:type="dxa"/>
            <w:vAlign w:val="bottom"/>
          </w:tcPr>
          <w:p>
            <w:pPr>
              <w:spacing w:after="0"/>
              <w:rPr>
                <w:sz w:val="1"/>
                <w:szCs w:val="1"/>
                <w:color w:val="auto"/>
              </w:rPr>
            </w:pPr>
          </w:p>
        </w:tc>
      </w:tr>
      <w:tr>
        <w:trPr>
          <w:trHeight w:val="172"/>
        </w:trPr>
        <w:tc>
          <w:tcPr>
            <w:tcW w:w="3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60" w:type="dxa"/>
            <w:vAlign w:val="bottom"/>
          </w:tcPr>
          <w:p>
            <w:pPr>
              <w:ind w:left="120"/>
              <w:spacing w:after="0"/>
              <w:rPr>
                <w:sz w:val="20"/>
                <w:szCs w:val="20"/>
                <w:color w:val="auto"/>
              </w:rPr>
            </w:pPr>
            <w:r>
              <w:rPr>
                <w:rFonts w:ascii="Arial" w:cs="Arial" w:eastAsia="Arial" w:hAnsi="Arial"/>
                <w:sz w:val="14"/>
                <w:szCs w:val="14"/>
                <w:color w:val="auto"/>
              </w:rPr>
              <w:t>11717.</w:t>
            </w:r>
          </w:p>
        </w:tc>
        <w:tc>
          <w:tcPr>
            <w:tcW w:w="2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8"/>
        </w:trPr>
        <w:tc>
          <w:tcPr>
            <w:tcW w:w="4620" w:type="dxa"/>
            <w:vAlign w:val="bottom"/>
            <w:gridSpan w:val="2"/>
          </w:tcPr>
          <w:p>
            <w:pPr>
              <w:spacing w:after="0"/>
              <w:rPr>
                <w:sz w:val="20"/>
                <w:szCs w:val="20"/>
                <w:color w:val="auto"/>
              </w:rPr>
            </w:pPr>
            <w:r>
              <w:rPr>
                <w:rFonts w:ascii="Arial" w:cs="Arial" w:eastAsia="Arial" w:hAnsi="Arial"/>
                <w:sz w:val="14"/>
                <w:szCs w:val="14"/>
                <w:color w:val="auto"/>
                <w:w w:val="95"/>
              </w:rPr>
              <w:t>TO VOTE, MARK BLOCKS BELOW IN BLUE OR BLACK INK AS FOLLOWS:</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60" w:type="dxa"/>
            <w:vAlign w:val="bottom"/>
            <w:vMerge w:val="restart"/>
          </w:tcPr>
          <w:p>
            <w:pPr>
              <w:ind w:left="1500"/>
              <w:spacing w:after="0"/>
              <w:rPr>
                <w:sz w:val="20"/>
                <w:szCs w:val="20"/>
                <w:color w:val="auto"/>
              </w:rPr>
            </w:pPr>
            <w:r>
              <w:rPr>
                <w:rFonts w:ascii="Arial" w:cs="Arial" w:eastAsia="Arial" w:hAnsi="Arial"/>
                <w:sz w:val="14"/>
                <w:szCs w:val="14"/>
                <w:color w:val="auto"/>
              </w:rPr>
              <w:t>M50859-P31457</w:t>
            </w:r>
          </w:p>
        </w:tc>
        <w:tc>
          <w:tcPr>
            <w:tcW w:w="2960" w:type="dxa"/>
            <w:vAlign w:val="bottom"/>
            <w:gridSpan w:val="3"/>
            <w:vMerge w:val="restart"/>
          </w:tcPr>
          <w:p>
            <w:pPr>
              <w:jc w:val="right"/>
              <w:ind w:right="20"/>
              <w:spacing w:after="0"/>
              <w:rPr>
                <w:sz w:val="20"/>
                <w:szCs w:val="20"/>
                <w:color w:val="auto"/>
              </w:rPr>
            </w:pPr>
            <w:r>
              <w:rPr>
                <w:rFonts w:ascii="Arial" w:cs="Arial" w:eastAsia="Arial" w:hAnsi="Arial"/>
                <w:sz w:val="14"/>
                <w:szCs w:val="14"/>
                <w:u w:val="single" w:color="auto"/>
                <w:color w:val="auto"/>
                <w:w w:val="99"/>
              </w:rPr>
              <w:t>KEEP THIS PORTION FOR YOUR RECORDS</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2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540" w:type="dxa"/>
            <w:vAlign w:val="bottom"/>
          </w:tcPr>
          <w:p>
            <w:pPr>
              <w:spacing w:after="0"/>
              <w:rPr>
                <w:sz w:val="14"/>
                <w:szCs w:val="14"/>
                <w:color w:val="auto"/>
              </w:rPr>
            </w:pPr>
          </w:p>
        </w:tc>
        <w:tc>
          <w:tcPr>
            <w:tcW w:w="49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960" w:type="dxa"/>
            <w:vAlign w:val="bottom"/>
            <w:gridSpan w:val="3"/>
          </w:tcPr>
          <w:p>
            <w:pPr>
              <w:jc w:val="right"/>
              <w:ind w:right="20"/>
              <w:spacing w:after="0"/>
              <w:rPr>
                <w:sz w:val="20"/>
                <w:szCs w:val="20"/>
                <w:color w:val="auto"/>
              </w:rPr>
            </w:pPr>
            <w:r>
              <w:rPr>
                <w:rFonts w:ascii="Arial" w:cs="Arial" w:eastAsia="Arial" w:hAnsi="Arial"/>
                <w:sz w:val="14"/>
                <w:szCs w:val="14"/>
                <w:color w:val="auto"/>
                <w:w w:val="97"/>
              </w:rPr>
              <w:t>DETACH AND RETURN THIS PORTION ONLY</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4940" w:type="dxa"/>
            <w:vAlign w:val="bottom"/>
            <w:gridSpan w:val="4"/>
            <w:vMerge w:val="continue"/>
          </w:tcPr>
          <w:p>
            <w:pPr>
              <w:spacing w:after="0"/>
              <w:rPr>
                <w:sz w:val="12"/>
                <w:szCs w:val="12"/>
                <w:color w:val="auto"/>
              </w:rPr>
            </w:pPr>
          </w:p>
        </w:tc>
        <w:tc>
          <w:tcPr>
            <w:tcW w:w="2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520" w:type="dxa"/>
            <w:vAlign w:val="bottom"/>
            <w:tcBorders>
              <w:bottom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540" w:type="dxa"/>
            <w:vAlign w:val="bottom"/>
          </w:tcPr>
          <w:p>
            <w:pPr>
              <w:ind w:left="180"/>
              <w:spacing w:after="0" w:line="136" w:lineRule="exact"/>
              <w:rPr>
                <w:sz w:val="20"/>
                <w:szCs w:val="20"/>
                <w:color w:val="auto"/>
              </w:rPr>
            </w:pPr>
            <w:r>
              <w:rPr>
                <w:rFonts w:ascii="Arial" w:cs="Arial" w:eastAsia="Arial" w:hAnsi="Arial"/>
                <w:sz w:val="14"/>
                <w:szCs w:val="14"/>
                <w:b w:val="1"/>
                <w:bCs w:val="1"/>
                <w:color w:val="auto"/>
              </w:rPr>
              <w:t>PENNANTPARK FLOATING RATE CAPITAL LTD.</w:t>
            </w:r>
          </w:p>
        </w:tc>
        <w:tc>
          <w:tcPr>
            <w:tcW w:w="1080" w:type="dxa"/>
            <w:vAlign w:val="bottom"/>
          </w:tcPr>
          <w:p>
            <w:pPr>
              <w:ind w:left="700"/>
              <w:spacing w:after="0" w:line="136" w:lineRule="exact"/>
              <w:rPr>
                <w:sz w:val="20"/>
                <w:szCs w:val="20"/>
                <w:color w:val="auto"/>
              </w:rPr>
            </w:pPr>
            <w:r>
              <w:rPr>
                <w:rFonts w:ascii="Arial" w:cs="Arial" w:eastAsia="Arial" w:hAnsi="Arial"/>
                <w:sz w:val="14"/>
                <w:szCs w:val="14"/>
                <w:b w:val="1"/>
                <w:bCs w:val="1"/>
                <w:color w:val="auto"/>
              </w:rPr>
              <w:t>For</w:t>
            </w:r>
          </w:p>
        </w:tc>
        <w:tc>
          <w:tcPr>
            <w:tcW w:w="680" w:type="dxa"/>
            <w:vAlign w:val="bottom"/>
          </w:tcPr>
          <w:p>
            <w:pPr>
              <w:jc w:val="center"/>
              <w:ind w:right="32"/>
              <w:spacing w:after="0" w:line="136" w:lineRule="exact"/>
              <w:rPr>
                <w:sz w:val="20"/>
                <w:szCs w:val="20"/>
                <w:color w:val="auto"/>
              </w:rPr>
            </w:pPr>
            <w:r>
              <w:rPr>
                <w:rFonts w:ascii="Arial" w:cs="Arial" w:eastAsia="Arial" w:hAnsi="Arial"/>
                <w:sz w:val="14"/>
                <w:szCs w:val="14"/>
                <w:b w:val="1"/>
                <w:bCs w:val="1"/>
                <w:color w:val="auto"/>
                <w:w w:val="90"/>
              </w:rPr>
              <w:t>Withhold</w:t>
            </w:r>
          </w:p>
        </w:tc>
        <w:tc>
          <w:tcPr>
            <w:tcW w:w="620" w:type="dxa"/>
            <w:vAlign w:val="bottom"/>
          </w:tcPr>
          <w:p>
            <w:pPr>
              <w:ind w:left="100"/>
              <w:spacing w:after="0" w:line="136" w:lineRule="exact"/>
              <w:rPr>
                <w:sz w:val="20"/>
                <w:szCs w:val="20"/>
                <w:color w:val="auto"/>
              </w:rPr>
            </w:pPr>
            <w:r>
              <w:rPr>
                <w:rFonts w:ascii="Arial" w:cs="Arial" w:eastAsia="Arial" w:hAnsi="Arial"/>
                <w:sz w:val="14"/>
                <w:szCs w:val="14"/>
                <w:b w:val="1"/>
                <w:bCs w:val="1"/>
                <w:color w:val="auto"/>
              </w:rPr>
              <w:t>For All</w:t>
            </w:r>
          </w:p>
        </w:tc>
        <w:tc>
          <w:tcPr>
            <w:tcW w:w="5520" w:type="dxa"/>
            <w:vAlign w:val="bottom"/>
            <w:gridSpan w:val="4"/>
          </w:tcPr>
          <w:p>
            <w:pPr>
              <w:ind w:left="160"/>
              <w:spacing w:after="0" w:line="136" w:lineRule="exact"/>
              <w:rPr>
                <w:sz w:val="20"/>
                <w:szCs w:val="20"/>
                <w:color w:val="auto"/>
              </w:rPr>
            </w:pPr>
            <w:r>
              <w:rPr>
                <w:rFonts w:ascii="Arial" w:cs="Arial" w:eastAsia="Arial" w:hAnsi="Arial"/>
                <w:sz w:val="14"/>
                <w:szCs w:val="14"/>
                <w:color w:val="auto"/>
              </w:rPr>
              <w:t>To withhold authority to vote for any individual nominee(s), mark</w:t>
            </w:r>
          </w:p>
        </w:tc>
        <w:tc>
          <w:tcPr>
            <w:tcW w:w="0" w:type="dxa"/>
            <w:vAlign w:val="bottom"/>
          </w:tcPr>
          <w:p>
            <w:pPr>
              <w:spacing w:after="0"/>
              <w:rPr>
                <w:sz w:val="1"/>
                <w:szCs w:val="1"/>
                <w:color w:val="auto"/>
              </w:rPr>
            </w:pPr>
          </w:p>
        </w:tc>
      </w:tr>
      <w:tr>
        <w:trPr>
          <w:trHeight w:val="168"/>
        </w:trPr>
        <w:tc>
          <w:tcPr>
            <w:tcW w:w="3540" w:type="dxa"/>
            <w:vAlign w:val="bottom"/>
          </w:tcPr>
          <w:p>
            <w:pPr>
              <w:spacing w:after="0"/>
              <w:rPr>
                <w:sz w:val="14"/>
                <w:szCs w:val="14"/>
                <w:color w:val="auto"/>
              </w:rPr>
            </w:pPr>
          </w:p>
        </w:tc>
        <w:tc>
          <w:tcPr>
            <w:tcW w:w="1080" w:type="dxa"/>
            <w:vAlign w:val="bottom"/>
          </w:tcPr>
          <w:p>
            <w:pPr>
              <w:ind w:left="720"/>
              <w:spacing w:after="0"/>
              <w:rPr>
                <w:sz w:val="20"/>
                <w:szCs w:val="20"/>
                <w:color w:val="auto"/>
              </w:rPr>
            </w:pPr>
            <w:r>
              <w:rPr>
                <w:rFonts w:ascii="Arial" w:cs="Arial" w:eastAsia="Arial" w:hAnsi="Arial"/>
                <w:sz w:val="14"/>
                <w:szCs w:val="14"/>
                <w:b w:val="1"/>
                <w:bCs w:val="1"/>
                <w:color w:val="auto"/>
              </w:rPr>
              <w:t>All</w:t>
            </w:r>
          </w:p>
        </w:tc>
        <w:tc>
          <w:tcPr>
            <w:tcW w:w="6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All</w:t>
            </w: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Except</w:t>
            </w:r>
          </w:p>
        </w:tc>
        <w:tc>
          <w:tcPr>
            <w:tcW w:w="5520" w:type="dxa"/>
            <w:vAlign w:val="bottom"/>
            <w:gridSpan w:val="4"/>
          </w:tcPr>
          <w:p>
            <w:pPr>
              <w:ind w:left="160"/>
              <w:spacing w:after="0"/>
              <w:rPr>
                <w:sz w:val="20"/>
                <w:szCs w:val="20"/>
                <w:color w:val="auto"/>
              </w:rPr>
            </w:pPr>
            <w:r>
              <w:rPr>
                <w:rFonts w:ascii="Arial" w:cs="Arial" w:eastAsia="Arial" w:hAnsi="Arial"/>
                <w:sz w:val="14"/>
                <w:szCs w:val="14"/>
                <w:color w:val="auto"/>
              </w:rPr>
              <w:t>“For All Except” and write the number(s) of the nominee(s) on</w:t>
            </w:r>
          </w:p>
        </w:tc>
        <w:tc>
          <w:tcPr>
            <w:tcW w:w="0" w:type="dxa"/>
            <w:vAlign w:val="bottom"/>
          </w:tcPr>
          <w:p>
            <w:pPr>
              <w:spacing w:after="0"/>
              <w:rPr>
                <w:sz w:val="1"/>
                <w:szCs w:val="1"/>
                <w:color w:val="auto"/>
              </w:rPr>
            </w:pPr>
          </w:p>
        </w:tc>
      </w:tr>
      <w:tr>
        <w:trPr>
          <w:trHeight w:val="122"/>
        </w:trPr>
        <w:tc>
          <w:tcPr>
            <w:tcW w:w="3540" w:type="dxa"/>
            <w:vAlign w:val="bottom"/>
          </w:tcPr>
          <w:p>
            <w:pPr>
              <w:ind w:left="300"/>
              <w:spacing w:after="0" w:line="123" w:lineRule="exact"/>
              <w:rPr>
                <w:sz w:val="20"/>
                <w:szCs w:val="20"/>
                <w:color w:val="auto"/>
              </w:rPr>
            </w:pPr>
            <w:r>
              <w:rPr>
                <w:rFonts w:ascii="Arial" w:cs="Arial" w:eastAsia="Arial" w:hAnsi="Arial"/>
                <w:sz w:val="14"/>
                <w:szCs w:val="14"/>
                <w:b w:val="1"/>
                <w:bCs w:val="1"/>
                <w:color w:val="auto"/>
                <w:w w:val="88"/>
              </w:rPr>
              <w:t>The Board of Directors recommends you vote FOR the</w:t>
            </w:r>
          </w:p>
        </w:tc>
        <w:tc>
          <w:tcPr>
            <w:tcW w:w="1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560" w:type="dxa"/>
            <w:vAlign w:val="bottom"/>
          </w:tcPr>
          <w:p>
            <w:pPr>
              <w:ind w:left="160"/>
              <w:spacing w:after="0" w:line="123" w:lineRule="exact"/>
              <w:rPr>
                <w:sz w:val="20"/>
                <w:szCs w:val="20"/>
                <w:color w:val="auto"/>
              </w:rPr>
            </w:pPr>
            <w:r>
              <w:rPr>
                <w:rFonts w:ascii="Arial" w:cs="Arial" w:eastAsia="Arial" w:hAnsi="Arial"/>
                <w:sz w:val="14"/>
                <w:szCs w:val="14"/>
                <w:color w:val="auto"/>
              </w:rPr>
              <w:t>the line below.</w:t>
            </w:r>
          </w:p>
        </w:tc>
        <w:tc>
          <w:tcPr>
            <w:tcW w:w="226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540" w:type="dxa"/>
            <w:vAlign w:val="bottom"/>
          </w:tcPr>
          <w:p>
            <w:pPr>
              <w:ind w:left="300"/>
              <w:spacing w:after="0"/>
              <w:rPr>
                <w:sz w:val="20"/>
                <w:szCs w:val="20"/>
                <w:color w:val="auto"/>
              </w:rPr>
            </w:pPr>
            <w:r>
              <w:rPr>
                <w:rFonts w:ascii="Arial" w:cs="Arial" w:eastAsia="Arial" w:hAnsi="Arial"/>
                <w:sz w:val="14"/>
                <w:szCs w:val="14"/>
                <w:b w:val="1"/>
                <w:bCs w:val="1"/>
                <w:color w:val="auto"/>
              </w:rPr>
              <w:t>following:</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-749300</wp:posOffset>
            </wp:positionV>
            <wp:extent cx="7259320" cy="41636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9320" cy="4163695"/>
                    </a:xfrm>
                    <a:prstGeom prst="rect">
                      <a:avLst/>
                    </a:prstGeom>
                    <a:noFill/>
                  </pic:spPr>
                </pic:pic>
              </a:graphicData>
            </a:graphic>
          </wp:anchor>
        </w:drawing>
      </w:r>
    </w:p>
    <w:p>
      <w:pPr>
        <w:sectPr>
          <w:pgSz w:w="11900" w:h="16838" w:orient="portrait"/>
          <w:cols w:equalWidth="0" w:num="1">
            <w:col w:w="11440"/>
          </w:cols>
          <w:pgMar w:left="240" w:top="397" w:right="219" w:bottom="1440" w:gutter="0" w:footer="0" w:header="0"/>
          <w:type w:val="continuous"/>
        </w:sectPr>
      </w:pPr>
    </w:p>
    <w:p>
      <w:pPr>
        <w:spacing w:after="0" w:line="57" w:lineRule="exact"/>
        <w:rPr>
          <w:sz w:val="20"/>
          <w:szCs w:val="20"/>
          <w:color w:val="auto"/>
        </w:rPr>
      </w:pPr>
    </w:p>
    <w:p>
      <w:pPr>
        <w:ind w:left="520" w:hanging="215"/>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47"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84" w:lineRule="exact"/>
        <w:rPr>
          <w:sz w:val="20"/>
          <w:szCs w:val="20"/>
          <w:color w:val="auto"/>
        </w:rPr>
      </w:pPr>
    </w:p>
    <w:p>
      <w:pPr>
        <w:jc w:val="right"/>
        <w:ind w:right="1660"/>
        <w:spacing w:after="0"/>
        <w:tabs>
          <w:tab w:leader="none" w:pos="2700" w:val="left"/>
        </w:tabs>
        <w:rPr>
          <w:sz w:val="20"/>
          <w:szCs w:val="20"/>
          <w:color w:val="auto"/>
        </w:rPr>
      </w:pPr>
      <w:r>
        <w:rPr>
          <w:rFonts w:ascii="Arial" w:cs="Arial" w:eastAsia="Arial" w:hAnsi="Arial"/>
          <w:sz w:val="14"/>
          <w:szCs w:val="14"/>
          <w:color w:val="auto"/>
        </w:rPr>
        <w:t>01)</w:t>
      </w:r>
      <w:r>
        <w:rPr>
          <w:sz w:val="20"/>
          <w:szCs w:val="20"/>
          <w:color w:val="auto"/>
        </w:rPr>
        <w:tab/>
      </w:r>
      <w:r>
        <w:rPr>
          <w:rFonts w:ascii="Arial" w:cs="Arial" w:eastAsia="Arial" w:hAnsi="Arial"/>
          <w:sz w:val="12"/>
          <w:szCs w:val="12"/>
          <w:color w:val="auto"/>
        </w:rPr>
        <w:t>Adam K. Bernstein</w:t>
      </w:r>
    </w:p>
    <w:p>
      <w:pPr>
        <w:ind w:left="840" w:hanging="319"/>
        <w:spacing w:after="0" w:line="221" w:lineRule="auto"/>
        <w:tabs>
          <w:tab w:leader="none" w:pos="8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Jeffrey Flug</w:t>
      </w:r>
    </w:p>
    <w:p>
      <w:pPr>
        <w:ind w:left="840" w:hanging="319"/>
        <w:spacing w:after="0"/>
        <w:tabs>
          <w:tab w:leader="none" w:pos="8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Marshall Brozost</w:t>
      </w:r>
    </w:p>
    <w:p>
      <w:pPr>
        <w:spacing w:after="0" w:line="10" w:lineRule="exact"/>
        <w:rPr>
          <w:sz w:val="20"/>
          <w:szCs w:val="20"/>
          <w:color w:val="auto"/>
        </w:rPr>
      </w:pPr>
    </w:p>
    <w:p>
      <w:pPr>
        <w:ind w:left="840" w:hanging="319"/>
        <w:spacing w:after="0"/>
        <w:tabs>
          <w:tab w:leader="none" w:pos="8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Samuel L. Katz</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81" w:lineRule="exact"/>
        <w:tabs>
          <w:tab w:leader="none" w:pos="600" w:val="left"/>
          <w:tab w:leader="none" w:pos="12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1221" w:lineRule="exact"/>
        <w:rPr>
          <w:sz w:val="20"/>
          <w:szCs w:val="20"/>
          <w:color w:val="auto"/>
        </w:rPr>
      </w:pPr>
    </w:p>
    <w:p>
      <w:pPr>
        <w:sectPr>
          <w:pgSz w:w="11900" w:h="16838" w:orient="portrait"/>
          <w:cols w:equalWidth="0" w:num="2">
            <w:col w:w="3540" w:space="720"/>
            <w:col w:w="7180"/>
          </w:cols>
          <w:pgMar w:left="240" w:top="397" w:right="219" w:bottom="1440" w:gutter="0" w:footer="0" w:header="0"/>
          <w:type w:val="continuous"/>
        </w:sectPr>
      </w:pPr>
    </w:p>
    <w:p>
      <w:pPr>
        <w:spacing w:after="0" w:line="31" w:lineRule="exact"/>
        <w:rPr>
          <w:sz w:val="20"/>
          <w:szCs w:val="20"/>
          <w:color w:val="auto"/>
        </w:rPr>
      </w:pPr>
    </w:p>
    <w:p>
      <w:pPr>
        <w:ind w:left="300"/>
        <w:spacing w:after="0"/>
        <w:tabs>
          <w:tab w:leader="none" w:pos="9860" w:val="left"/>
          <w:tab w:leader="none" w:pos="10280" w:val="left"/>
        </w:tabs>
        <w:rPr>
          <w:sz w:val="20"/>
          <w:szCs w:val="20"/>
          <w:color w:val="auto"/>
        </w:rPr>
      </w:pPr>
      <w:r>
        <w:rPr>
          <w:rFonts w:ascii="Arial" w:cs="Arial" w:eastAsia="Arial" w:hAnsi="Arial"/>
          <w:sz w:val="14"/>
          <w:szCs w:val="14"/>
          <w:b w:val="1"/>
          <w:bCs w:val="1"/>
          <w:color w:val="auto"/>
        </w:rPr>
        <w:t>The Board of Directors recommends you vote FOR the following proposal:</w:t>
      </w:r>
      <w:r>
        <w:rPr>
          <w:sz w:val="20"/>
          <w:szCs w:val="20"/>
          <w:color w:val="auto"/>
        </w:rPr>
        <w:tab/>
      </w:r>
      <w:r>
        <w:rPr>
          <w:rFonts w:ascii="Arial" w:cs="Arial" w:eastAsia="Arial" w:hAnsi="Arial"/>
          <w:sz w:val="14"/>
          <w:szCs w:val="14"/>
          <w:b w:val="1"/>
          <w:bCs w:val="1"/>
          <w:color w:val="auto"/>
        </w:rPr>
        <w:t>For</w:t>
      </w:r>
      <w:r>
        <w:rPr>
          <w:sz w:val="20"/>
          <w:szCs w:val="20"/>
          <w:color w:val="auto"/>
        </w:rPr>
        <w:tab/>
      </w:r>
      <w:r>
        <w:rPr>
          <w:rFonts w:ascii="Arial" w:cs="Arial" w:eastAsia="Arial" w:hAnsi="Arial"/>
          <w:sz w:val="12"/>
          <w:szCs w:val="12"/>
          <w:b w:val="1"/>
          <w:bCs w:val="1"/>
          <w:color w:val="auto"/>
        </w:rPr>
        <w:t>Against Abstain</w:t>
      </w:r>
    </w:p>
    <w:p>
      <w:pPr>
        <w:spacing w:after="0" w:line="13" w:lineRule="exact"/>
        <w:rPr>
          <w:sz w:val="20"/>
          <w:szCs w:val="20"/>
          <w:color w:val="auto"/>
        </w:rPr>
      </w:pPr>
    </w:p>
    <w:p>
      <w:pPr>
        <w:ind w:left="300"/>
        <w:spacing w:after="0" w:line="351" w:lineRule="exact"/>
        <w:tabs>
          <w:tab w:leader="none" w:pos="500" w:val="left"/>
          <w:tab w:leader="none" w:pos="9880" w:val="left"/>
          <w:tab w:leader="none" w:pos="10420" w:val="left"/>
          <w:tab w:leader="none" w:pos="1094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2"/>
          <w:szCs w:val="12"/>
          <w:color w:val="auto"/>
        </w:rPr>
        <w:t>To ratify the selection of KPMG LLP to serve as the Company’s independent registered public accounting firm for the fiscal year ending September 30, 2013.</w:t>
      </w:r>
      <w:r>
        <w:rPr>
          <w:sz w:val="20"/>
          <w:szCs w:val="20"/>
          <w:color w:val="auto"/>
        </w:rPr>
        <w:tab/>
      </w:r>
      <w:r>
        <w:rPr>
          <w:rFonts w:ascii="MS PGothic" w:cs="MS PGothic" w:eastAsia="MS PGothic" w:hAnsi="MS PGothic"/>
          <w:sz w:val="35"/>
          <w:szCs w:val="35"/>
          <w:color w:val="auto"/>
          <w:vertAlign w:val="subscript"/>
        </w:rPr>
        <w:t>☐</w:t>
      </w:r>
      <w:r>
        <w:rPr>
          <w:rFonts w:ascii="MS PGothic" w:cs="MS PGothic" w:eastAsia="MS PGothic" w:hAnsi="MS PGothic"/>
          <w:sz w:val="35"/>
          <w:szCs w:val="35"/>
          <w:color w:val="auto"/>
        </w:rPr>
        <w:tab/>
      </w:r>
      <w:r>
        <w:rPr>
          <w:rFonts w:ascii="MS PGothic" w:cs="MS PGothic" w:eastAsia="MS PGothic" w:hAnsi="MS PGothic"/>
          <w:sz w:val="35"/>
          <w:szCs w:val="35"/>
          <w:color w:val="auto"/>
          <w:vertAlign w:val="subscript"/>
        </w:rPr>
        <w:t>☐</w:t>
      </w:r>
      <w:r>
        <w:rPr>
          <w:sz w:val="20"/>
          <w:szCs w:val="20"/>
          <w:color w:val="auto"/>
        </w:rPr>
        <w:tab/>
      </w:r>
      <w:r>
        <w:rPr>
          <w:rFonts w:ascii="MS PGothic" w:cs="MS PGothic" w:eastAsia="MS PGothic" w:hAnsi="MS PGothic"/>
          <w:sz w:val="24"/>
          <w:szCs w:val="24"/>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300" w:type="dxa"/>
        <w:tblCellMar>
          <w:top w:w="0" w:type="dxa"/>
          <w:left w:w="0" w:type="dxa"/>
          <w:bottom w:w="0" w:type="dxa"/>
          <w:right w:w="0" w:type="dxa"/>
        </w:tblCellMar>
      </w:tblPr>
      <w:tr>
        <w:trPr>
          <w:trHeight w:val="246"/>
        </w:trPr>
        <w:tc>
          <w:tcPr>
            <w:tcW w:w="3280" w:type="dxa"/>
            <w:vAlign w:val="bottom"/>
          </w:tcPr>
          <w:p>
            <w:pPr>
              <w:spacing w:after="0"/>
              <w:rPr>
                <w:sz w:val="20"/>
                <w:szCs w:val="20"/>
                <w:color w:val="auto"/>
              </w:rPr>
            </w:pPr>
            <w:r>
              <w:rPr>
                <w:rFonts w:ascii="Arial" w:cs="Arial" w:eastAsia="Arial" w:hAnsi="Arial"/>
                <w:sz w:val="14"/>
                <w:szCs w:val="14"/>
                <w:color w:val="auto"/>
              </w:rPr>
              <w:t>For address change/comments, mark here.</w:t>
            </w:r>
          </w:p>
        </w:tc>
        <w:tc>
          <w:tcPr>
            <w:tcW w:w="1020" w:type="dxa"/>
            <w:vAlign w:val="bottom"/>
          </w:tcPr>
          <w:p>
            <w:pPr>
              <w:spacing w:after="0"/>
              <w:rPr>
                <w:sz w:val="21"/>
                <w:szCs w:val="21"/>
                <w:color w:val="auto"/>
              </w:rPr>
            </w:pP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2"/>
        </w:trPr>
        <w:tc>
          <w:tcPr>
            <w:tcW w:w="3280" w:type="dxa"/>
            <w:vAlign w:val="bottom"/>
          </w:tcPr>
          <w:p>
            <w:pPr>
              <w:spacing w:after="0"/>
              <w:rPr>
                <w:sz w:val="20"/>
                <w:szCs w:val="20"/>
                <w:color w:val="auto"/>
              </w:rPr>
            </w:pPr>
            <w:r>
              <w:rPr>
                <w:rFonts w:ascii="Arial" w:cs="Arial" w:eastAsia="Arial" w:hAnsi="Arial"/>
                <w:sz w:val="14"/>
                <w:szCs w:val="14"/>
                <w:color w:val="auto"/>
              </w:rPr>
              <w:t>(see reverse for instructions)</w:t>
            </w:r>
          </w:p>
        </w:tc>
        <w:tc>
          <w:tcPr>
            <w:tcW w:w="10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Yes</w:t>
            </w: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3280" w:type="dxa"/>
            <w:vAlign w:val="bottom"/>
          </w:tcPr>
          <w:p>
            <w:pPr>
              <w:spacing w:after="0"/>
              <w:rPr>
                <w:sz w:val="20"/>
                <w:szCs w:val="20"/>
                <w:color w:val="auto"/>
              </w:rPr>
            </w:pPr>
            <w:r>
              <w:rPr>
                <w:rFonts w:ascii="Arial" w:cs="Arial" w:eastAsia="Arial" w:hAnsi="Arial"/>
                <w:sz w:val="14"/>
                <w:szCs w:val="14"/>
                <w:color w:val="auto"/>
              </w:rPr>
              <w:t>Please indicate if you plan to attend this meeting.</w:t>
            </w:r>
          </w:p>
        </w:tc>
        <w:tc>
          <w:tcPr>
            <w:tcW w:w="102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1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Please sign exactly as your name(s) appear(s) hereon. When signing as attorney, executor,</w:t>
      </w:r>
    </w:p>
    <w:p>
      <w:pPr>
        <w:ind w:left="300"/>
        <w:spacing w:after="0" w:line="221" w:lineRule="auto"/>
        <w:rPr>
          <w:sz w:val="20"/>
          <w:szCs w:val="20"/>
          <w:color w:val="auto"/>
        </w:rPr>
      </w:pPr>
      <w:r>
        <w:rPr>
          <w:rFonts w:ascii="Arial" w:cs="Arial" w:eastAsia="Arial" w:hAnsi="Arial"/>
          <w:sz w:val="14"/>
          <w:szCs w:val="14"/>
          <w:color w:val="auto"/>
        </w:rPr>
        <w:t>administrator, or other fiduciary, please give full title as such. Joint owners should each sign</w:t>
      </w:r>
    </w:p>
    <w:p>
      <w:pPr>
        <w:ind w:left="300"/>
        <w:spacing w:after="0" w:line="221" w:lineRule="auto"/>
        <w:rPr>
          <w:sz w:val="20"/>
          <w:szCs w:val="20"/>
          <w:color w:val="auto"/>
        </w:rPr>
      </w:pPr>
      <w:r>
        <w:rPr>
          <w:rFonts w:ascii="Arial" w:cs="Arial" w:eastAsia="Arial" w:hAnsi="Arial"/>
          <w:sz w:val="14"/>
          <w:szCs w:val="14"/>
          <w:color w:val="auto"/>
        </w:rPr>
        <w:t>personally. All holders must sign. If a corporation or partnership, please sign in full corporate or</w:t>
      </w:r>
    </w:p>
    <w:p>
      <w:pPr>
        <w:ind w:left="300"/>
        <w:spacing w:after="0"/>
        <w:rPr>
          <w:sz w:val="20"/>
          <w:szCs w:val="20"/>
          <w:color w:val="auto"/>
        </w:rPr>
      </w:pPr>
      <w:r>
        <w:rPr>
          <w:rFonts w:ascii="Arial" w:cs="Arial" w:eastAsia="Arial" w:hAnsi="Arial"/>
          <w:sz w:val="14"/>
          <w:szCs w:val="14"/>
          <w:color w:val="auto"/>
        </w:rPr>
        <w:t>partnership name by authorized officer.</w:t>
      </w:r>
    </w:p>
    <w:p>
      <w:pPr>
        <w:spacing w:after="0" w:line="200" w:lineRule="exact"/>
        <w:rPr>
          <w:sz w:val="20"/>
          <w:szCs w:val="20"/>
          <w:color w:val="auto"/>
        </w:rPr>
      </w:pPr>
    </w:p>
    <w:p>
      <w:pPr>
        <w:spacing w:after="0" w:line="262" w:lineRule="exact"/>
        <w:rPr>
          <w:sz w:val="20"/>
          <w:szCs w:val="20"/>
          <w:color w:val="auto"/>
        </w:rPr>
      </w:pPr>
    </w:p>
    <w:p>
      <w:pPr>
        <w:ind w:left="300"/>
        <w:spacing w:after="0"/>
        <w:tabs>
          <w:tab w:leader="none" w:pos="3400" w:val="left"/>
          <w:tab w:leader="none" w:pos="6060" w:val="left"/>
          <w:tab w:leader="none" w:pos="90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40"/>
          </w:cols>
          <w:pgMar w:left="240" w:top="397" w:right="219" w:bottom="1440" w:gutter="0" w:footer="0" w:header="0"/>
          <w:type w:val="continuous"/>
        </w:sectPr>
      </w:pPr>
    </w:p>
    <w:bookmarkStart w:id="36" w:name="page37"/>
    <w:bookmarkEnd w:id="36"/>
    <w:p>
      <w:pPr>
        <w:jc w:val="center"/>
        <w:ind w:right="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the Availability of Proxy Materials for the Annual Meeting:</w:t>
      </w:r>
    </w:p>
    <w:p>
      <w:pPr>
        <w:spacing w:after="0" w:line="2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Notice and Proxy Statement and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520"/>
        <w:spacing w:after="0"/>
        <w:rPr>
          <w:sz w:val="20"/>
          <w:szCs w:val="20"/>
          <w:color w:val="auto"/>
        </w:rPr>
      </w:pPr>
      <w:r>
        <w:rPr>
          <w:rFonts w:ascii="Arial" w:cs="Arial" w:eastAsia="Arial" w:hAnsi="Arial"/>
          <w:sz w:val="18"/>
          <w:szCs w:val="18"/>
          <w:color w:val="auto"/>
        </w:rPr>
        <w:t>M50860-P31457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139700</wp:posOffset>
            </wp:positionV>
            <wp:extent cx="7263765" cy="30359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303593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Annual Meeting of Shareholders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February 5, 2013 9:30 AM</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undersigned hereby appoints Arthur H. Penn with full power of substitution, to act as attorney and proxy for the undersigned to vote all of the shares of Common Stock of PennantPark Floating Rate Capital Ltd. (the “Company”) which the undersigned is entitled to vote at the Annual Meeting of Stockholders of the Company to be held at the offices of Dechert LLP, located at 1095 Avenue of the Americas, New York, New York, on February 5, 2013 at 9:30 a.m., Eastern Time, and at all adjournments thereof, as indicated on this proxy.</w:t>
      </w:r>
    </w:p>
    <w:p>
      <w:pPr>
        <w:spacing w:after="0" w:line="178"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Change/Comments: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(If you noted any Address Changes and/or Comments above, please mark corresponding box on the reverse side.)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940"/>
      </w:cols>
      <w:pgMar w:left="560" w:top="113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lvl w:ilvl="1">
      <w:lvlJc w:val="left"/>
      <w:lvlText w:val="(%2)"/>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lvl w:ilvl="1">
      <w:lvlJc w:val="left"/>
      <w:lvlText w:val="(%2)"/>
      <w:numFmt w:val="lowerLetter"/>
      <w:start w:val="2"/>
    </w:lvl>
  </w:abstractNum>
  <w:abstractNum w:abstractNumId="5">
    <w:nsid w:val="3F2DBA31"/>
    <w:multiLevelType w:val="hybridMultilevel"/>
    <w:lvl w:ilvl="0">
      <w:lvlJc w:val="left"/>
      <w:lvlText w:val="(%1)"/>
      <w:numFmt w:val="decimal"/>
      <w:start w:val="212"/>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lvl w:ilvl="1">
      <w:lvlJc w:val="left"/>
      <w:lvlText w:val="(%2)"/>
      <w:numFmt w:val="lowerLetter"/>
      <w:start w:val="2"/>
    </w:lvl>
  </w:abstractNum>
  <w:abstractNum w:abstractNumId="8">
    <w:nsid w:val="62BBD95A"/>
    <w:multiLevelType w:val="hybridMultilevel"/>
    <w:lvl w:ilvl="0">
      <w:lvlJc w:val="left"/>
      <w:lvlText w:val="%1."/>
      <w:numFmt w:val="decimal"/>
      <w:start w:val="2"/>
    </w:lvl>
    <w:lvl w:ilvl="1">
      <w:lvlJc w:val="left"/>
      <w:lvlText w:val="%2"/>
      <w:numFmt w:val="lowerLetter"/>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lvl w:ilvl="1">
      <w:lvlJc w:val="left"/>
      <w:lvlText w:val="%2)"/>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2"/>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lvl w:ilvl="1">
      <w:lvlJc w:val="left"/>
      <w:lvlText w:val="%2)"/>
      <w:numFmt w:val="decimal"/>
      <w:start w:val="2"/>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2"/>
    </w:lvl>
  </w:abstractNum>
  <w:abstractNum w:abstractNumId="24">
    <w:nsid w:val="2CA88611"/>
    <w:multiLevelType w:val="hybridMultilevel"/>
    <w:lvl w:ilvl="0">
      <w:lvlJc w:val="left"/>
      <w:lvlText w:val="%1)"/>
      <w:numFmt w:val="decimal"/>
      <w:start w:val="3"/>
    </w:lvl>
  </w:abstractNum>
  <w:abstractNum w:abstractNumId="25">
    <w:nsid w:val="836C40E"/>
    <w:multiLevelType w:val="hybridMultilevel"/>
    <w:lvl w:ilvl="0">
      <w:lvlJc w:val="left"/>
      <w:lvlText w:val="%1)"/>
      <w:numFmt w:val="decimal"/>
      <w:start w:val="4"/>
    </w:lvl>
  </w:abstractNum>
  <w:abstractNum w:abstractNumId="26">
    <w:nsid w:val="2901D82"/>
    <w:multiLevelType w:val="hybridMultilevel"/>
    <w:lvl w:ilvl="0">
      <w:lvlJc w:val="left"/>
      <w:lvlText w:val="%1."/>
      <w:numFmt w:val="decimal"/>
      <w:start w:val="2"/>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2"/>
    </w:lvl>
  </w:abstractNum>
  <w:abstractNum w:abstractNumId="29">
    <w:nsid w:val="1E7FF521"/>
    <w:multiLevelType w:val="hybridMultilevel"/>
    <w:lvl w:ilvl="0">
      <w:lvlJc w:val="left"/>
      <w:lvlText w:val="%1)"/>
      <w:numFmt w:val="decimal"/>
      <w:start w:val="3"/>
    </w:lvl>
  </w:abstractNum>
  <w:abstractNum w:abstractNumId="30">
    <w:nsid w:val="7C3DBD3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2019-12-09T18:17:00Z</dcterms:created>
  <dcterms:modified xsi:type="dcterms:W3CDTF">2019-12-09T18:17:00Z</dcterms:modified>
</cp:coreProperties>
</file>