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February 6, 2024</w:t>
      </w:r>
    </w:p>
    <w:p>
      <w:pPr>
        <w:spacing w:after="0" w:line="1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PennantPark Investment Corporation</w:t>
      </w:r>
    </w:p>
    <w:p>
      <w:pPr>
        <w:spacing w:after="0" w:line="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tbl>
      <w:tblPr>
        <w:tblLayout w:type="fixed"/>
        <w:tblInd w:w="780" w:type="dxa"/>
        <w:tblCellMar>
          <w:top w:w="0" w:type="dxa"/>
          <w:left w:w="0" w:type="dxa"/>
          <w:bottom w:w="0" w:type="dxa"/>
          <w:right w:w="0" w:type="dxa"/>
        </w:tblCellMar>
      </w:tblPr>
      <w:tr>
        <w:trPr>
          <w:trHeight w:val="190"/>
        </w:trPr>
        <w:tc>
          <w:tcPr>
            <w:tcW w:w="3820" w:type="dxa"/>
            <w:vAlign w:val="bottom"/>
          </w:tcPr>
          <w:p>
            <w:pPr>
              <w:jc w:val="center"/>
              <w:ind w:right="1535"/>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600" w:type="dxa"/>
            <w:vAlign w:val="bottom"/>
          </w:tcPr>
          <w:p>
            <w:pPr>
              <w:jc w:val="right"/>
              <w:ind w:right="1195"/>
              <w:spacing w:after="0"/>
              <w:rPr>
                <w:sz w:val="20"/>
                <w:szCs w:val="20"/>
                <w:color w:val="auto"/>
              </w:rPr>
            </w:pPr>
            <w:r>
              <w:rPr>
                <w:rFonts w:ascii="Times New Roman" w:cs="Times New Roman" w:eastAsia="Times New Roman" w:hAnsi="Times New Roman"/>
                <w:sz w:val="14"/>
                <w:szCs w:val="14"/>
                <w:b w:val="1"/>
                <w:bCs w:val="1"/>
                <w:color w:val="auto"/>
              </w:rPr>
              <w:t>814-00736</w:t>
            </w:r>
          </w:p>
        </w:tc>
        <w:tc>
          <w:tcPr>
            <w:tcW w:w="3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20-8250744</w:t>
            </w:r>
          </w:p>
        </w:tc>
      </w:tr>
      <w:tr>
        <w:trPr>
          <w:trHeight w:val="152"/>
        </w:trPr>
        <w:tc>
          <w:tcPr>
            <w:tcW w:w="3820" w:type="dxa"/>
            <w:vAlign w:val="bottom"/>
          </w:tcPr>
          <w:p>
            <w:pPr>
              <w:jc w:val="center"/>
              <w:ind w:right="1535"/>
              <w:spacing w:after="0"/>
              <w:rPr>
                <w:sz w:val="20"/>
                <w:szCs w:val="20"/>
                <w:color w:val="auto"/>
              </w:rPr>
            </w:pPr>
            <w:r>
              <w:rPr>
                <w:rFonts w:ascii="Times New Roman" w:cs="Times New Roman" w:eastAsia="Times New Roman" w:hAnsi="Times New Roman"/>
                <w:sz w:val="12"/>
                <w:szCs w:val="12"/>
                <w:b w:val="1"/>
                <w:bCs w:val="1"/>
                <w:color w:val="auto"/>
                <w:w w:val="97"/>
              </w:rPr>
              <w:t>(State or other jurisdiction of incorporation)</w:t>
            </w:r>
          </w:p>
        </w:tc>
        <w:tc>
          <w:tcPr>
            <w:tcW w:w="2600" w:type="dxa"/>
            <w:vAlign w:val="bottom"/>
          </w:tcPr>
          <w:p>
            <w:pPr>
              <w:jc w:val="center"/>
              <w:ind w:right="475"/>
              <w:spacing w:after="0"/>
              <w:rPr>
                <w:sz w:val="20"/>
                <w:szCs w:val="20"/>
                <w:color w:val="auto"/>
              </w:rPr>
            </w:pPr>
            <w:r>
              <w:rPr>
                <w:rFonts w:ascii="Times New Roman" w:cs="Times New Roman" w:eastAsia="Times New Roman" w:hAnsi="Times New Roman"/>
                <w:sz w:val="12"/>
                <w:szCs w:val="12"/>
                <w:b w:val="1"/>
                <w:bCs w:val="1"/>
                <w:color w:val="auto"/>
                <w:w w:val="96"/>
              </w:rPr>
              <w:t>(Commission File Number)</w:t>
            </w:r>
          </w:p>
        </w:tc>
        <w:tc>
          <w:tcPr>
            <w:tcW w:w="3020" w:type="dxa"/>
            <w:vAlign w:val="bottom"/>
          </w:tcPr>
          <w:p>
            <w:pPr>
              <w:jc w:val="center"/>
              <w:ind w:left="1251"/>
              <w:spacing w:after="0"/>
              <w:rPr>
                <w:sz w:val="20"/>
                <w:szCs w:val="20"/>
                <w:color w:val="auto"/>
              </w:rPr>
            </w:pPr>
            <w:r>
              <w:rPr>
                <w:rFonts w:ascii="Times New Roman" w:cs="Times New Roman" w:eastAsia="Times New Roman" w:hAnsi="Times New Roman"/>
                <w:sz w:val="12"/>
                <w:szCs w:val="12"/>
                <w:b w:val="1"/>
                <w:bCs w:val="1"/>
                <w:color w:val="auto"/>
                <w:w w:val="97"/>
              </w:rPr>
              <w:t>(IRS Employer Identification No.)</w:t>
            </w:r>
          </w:p>
        </w:tc>
      </w:tr>
      <w:tr>
        <w:trPr>
          <w:trHeight w:val="468"/>
        </w:trPr>
        <w:tc>
          <w:tcPr>
            <w:tcW w:w="3820" w:type="dxa"/>
            <w:vAlign w:val="bottom"/>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1691 Michigan Avenue, Miami Beach, Florida</w:t>
            </w:r>
          </w:p>
        </w:tc>
        <w:tc>
          <w:tcPr>
            <w:tcW w:w="2600" w:type="dxa"/>
            <w:vAlign w:val="bottom"/>
          </w:tcPr>
          <w:p>
            <w:pPr>
              <w:spacing w:after="0"/>
              <w:rPr>
                <w:sz w:val="24"/>
                <w:szCs w:val="24"/>
                <w:color w:val="auto"/>
              </w:rPr>
            </w:pPr>
          </w:p>
        </w:tc>
        <w:tc>
          <w:tcPr>
            <w:tcW w:w="3020" w:type="dxa"/>
            <w:vAlign w:val="bottom"/>
          </w:tcPr>
          <w:p>
            <w:pPr>
              <w:jc w:val="right"/>
              <w:ind w:right="1531"/>
              <w:spacing w:after="0"/>
              <w:rPr>
                <w:sz w:val="20"/>
                <w:szCs w:val="20"/>
                <w:color w:val="auto"/>
              </w:rPr>
            </w:pPr>
            <w:r>
              <w:rPr>
                <w:rFonts w:ascii="Times New Roman" w:cs="Times New Roman" w:eastAsia="Times New Roman" w:hAnsi="Times New Roman"/>
                <w:sz w:val="14"/>
                <w:szCs w:val="14"/>
                <w:b w:val="1"/>
                <w:bCs w:val="1"/>
                <w:color w:val="auto"/>
              </w:rPr>
              <w:t>33139</w:t>
            </w:r>
          </w:p>
        </w:tc>
      </w:tr>
      <w:tr>
        <w:trPr>
          <w:trHeight w:val="190"/>
        </w:trPr>
        <w:tc>
          <w:tcPr>
            <w:tcW w:w="3820" w:type="dxa"/>
            <w:vAlign w:val="bottom"/>
          </w:tcPr>
          <w:p>
            <w:pPr>
              <w:jc w:val="center"/>
              <w:ind w:left="195"/>
              <w:spacing w:after="0"/>
              <w:rPr>
                <w:sz w:val="20"/>
                <w:szCs w:val="20"/>
                <w:color w:val="auto"/>
              </w:rPr>
            </w:pPr>
            <w:r>
              <w:rPr>
                <w:rFonts w:ascii="Times New Roman" w:cs="Times New Roman" w:eastAsia="Times New Roman" w:hAnsi="Times New Roman"/>
                <w:sz w:val="12"/>
                <w:szCs w:val="12"/>
                <w:b w:val="1"/>
                <w:bCs w:val="1"/>
                <w:color w:val="auto"/>
                <w:w w:val="96"/>
              </w:rPr>
              <w:t>(Address of principal executive offices)</w:t>
            </w:r>
          </w:p>
        </w:tc>
        <w:tc>
          <w:tcPr>
            <w:tcW w:w="2600" w:type="dxa"/>
            <w:vAlign w:val="bottom"/>
          </w:tcPr>
          <w:p>
            <w:pPr>
              <w:spacing w:after="0"/>
              <w:rPr>
                <w:sz w:val="16"/>
                <w:szCs w:val="16"/>
                <w:color w:val="auto"/>
              </w:rPr>
            </w:pPr>
          </w:p>
        </w:tc>
        <w:tc>
          <w:tcPr>
            <w:tcW w:w="3020" w:type="dxa"/>
            <w:vAlign w:val="bottom"/>
          </w:tcPr>
          <w:p>
            <w:pPr>
              <w:jc w:val="center"/>
              <w:ind w:right="49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0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(786) 297-9500</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2"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8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right="4260" w:firstLine="21"/>
        <w:spacing w:after="0" w:line="461" w:lineRule="auto"/>
        <w:tabs>
          <w:tab w:leader="none" w:pos="47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ectPr>
          <w:pgSz w:w="11900" w:h="16838" w:orient="portrait"/>
          <w:cols w:equalWidth="0" w:num="1">
            <w:col w:w="11160"/>
          </w:cols>
          <w:pgMar w:left="320" w:top="934" w:right="419" w:bottom="1440" w:gutter="0" w:footer="0" w:header="0"/>
        </w:sectPr>
      </w:pPr>
    </w:p>
    <w:p>
      <w:pPr>
        <w:spacing w:after="0" w:line="1"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9"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PNNT</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color w:val="auto"/>
        </w:rPr>
        <w:t>The New York Stock Exchange</w:t>
      </w:r>
    </w:p>
    <w:p>
      <w:pPr>
        <w:spacing w:after="0" w:line="137" w:lineRule="exact"/>
        <w:rPr>
          <w:sz w:val="24"/>
          <w:szCs w:val="24"/>
          <w:color w:val="auto"/>
        </w:rPr>
      </w:pPr>
    </w:p>
    <w:p>
      <w:pPr>
        <w:sectPr>
          <w:pgSz w:w="11900" w:h="16838" w:orient="portrait"/>
          <w:cols w:equalWidth="0" w:num="3">
            <w:col w:w="4360" w:space="720"/>
            <w:col w:w="1820" w:space="720"/>
            <w:col w:w="3540"/>
          </w:cols>
          <w:pgMar w:left="320" w:top="934" w:right="419" w:bottom="1440" w:gutter="0" w:footer="0" w:header="0"/>
          <w:type w:val="continuous"/>
        </w:sect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 230.405) or Rule 12b-2 of the Securities Exchange Act of 1934 (17 CFR § 240.12b-2).</w:t>
      </w:r>
    </w:p>
    <w:p>
      <w:pPr>
        <w:spacing w:after="0" w:line="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1" w:lineRule="exact"/>
        <w:rPr>
          <w:sz w:val="24"/>
          <w:szCs w:val="24"/>
          <w:color w:val="auto"/>
        </w:rPr>
      </w:pPr>
    </w:p>
    <w:p>
      <w:pPr>
        <w:ind w:right="4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4" w:right="419" w:bottom="1440" w:gutter="0" w:footer="0" w:header="0"/>
          <w:type w:val="continuous"/>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4"/>
          <w:szCs w:val="14"/>
          <w:b w:val="1"/>
          <w:bCs w:val="1"/>
          <w:color w:val="auto"/>
        </w:rPr>
        <w:t>Submission of Matters to a Vote of Security Holders</w:t>
      </w:r>
    </w:p>
    <w:p>
      <w:pPr>
        <w:spacing w:after="0" w:line="57" w:lineRule="exact"/>
        <w:rPr>
          <w:sz w:val="20"/>
          <w:szCs w:val="20"/>
          <w:color w:val="auto"/>
        </w:rPr>
      </w:pPr>
    </w:p>
    <w:p>
      <w:pPr>
        <w:jc w:val="both"/>
        <w:ind w:right="220" w:firstLine="509"/>
        <w:spacing w:after="0" w:line="241" w:lineRule="auto"/>
        <w:rPr>
          <w:sz w:val="20"/>
          <w:szCs w:val="20"/>
          <w:color w:val="auto"/>
        </w:rPr>
      </w:pPr>
      <w:r>
        <w:rPr>
          <w:rFonts w:ascii="Times New Roman" w:cs="Times New Roman" w:eastAsia="Times New Roman" w:hAnsi="Times New Roman"/>
          <w:sz w:val="14"/>
          <w:szCs w:val="14"/>
          <w:color w:val="auto"/>
        </w:rPr>
        <w:t>On February 6, 2024,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December 13, 2023. As of December 6, 2023, the record date, 65,224,500 shares of common stock were eligible to vote. A summary of the matters voted upon by the stockholders is set forth below.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Proposal 1. </w:t>
      </w:r>
      <w:r>
        <w:rPr>
          <w:rFonts w:ascii="Times New Roman" w:cs="Times New Roman" w:eastAsia="Times New Roman" w:hAnsi="Times New Roman"/>
          <w:sz w:val="14"/>
          <w:szCs w:val="14"/>
          <w:color w:val="auto"/>
        </w:rPr>
        <w:t>The Company’s stockholders elected two Class II directors of the Company, who will each serve until the 2027 Annual Meeting and until his successor is duly elected and qualifies.</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voting results as of February 6, 2024, as certified by the inspector of election, are set forth below: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300" w:type="dxa"/>
            <w:vAlign w:val="bottom"/>
          </w:tcPr>
          <w:p>
            <w:pPr>
              <w:spacing w:after="0"/>
              <w:rPr>
                <w:sz w:val="14"/>
                <w:szCs w:val="14"/>
                <w:color w:val="auto"/>
              </w:rPr>
            </w:pPr>
          </w:p>
        </w:tc>
        <w:tc>
          <w:tcPr>
            <w:tcW w:w="246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color w:val="auto"/>
              </w:rPr>
              <w:t>For</w:t>
            </w:r>
          </w:p>
        </w:tc>
        <w:tc>
          <w:tcPr>
            <w:tcW w:w="20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color w:val="auto"/>
              </w:rPr>
              <w:t>Against</w:t>
            </w:r>
          </w:p>
        </w:tc>
        <w:tc>
          <w:tcPr>
            <w:tcW w:w="20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color w:val="auto"/>
              </w:rPr>
              <w:t>Abstain</w:t>
            </w:r>
          </w:p>
        </w:tc>
        <w:tc>
          <w:tcPr>
            <w:tcW w:w="17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Broker Non-Vote</w:t>
            </w:r>
          </w:p>
        </w:tc>
      </w:tr>
      <w:tr>
        <w:trPr>
          <w:trHeight w:val="169"/>
        </w:trPr>
        <w:tc>
          <w:tcPr>
            <w:tcW w:w="2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Class II</w:t>
            </w:r>
          </w:p>
        </w:tc>
        <w:tc>
          <w:tcPr>
            <w:tcW w:w="300" w:type="dxa"/>
            <w:vAlign w:val="bottom"/>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2700" w:type="dxa"/>
            <w:vAlign w:val="bottom"/>
            <w:shd w:val="clear" w:color="auto" w:fill="BDD7EE"/>
          </w:tcPr>
          <w:p>
            <w:pPr>
              <w:ind w:left="20"/>
              <w:spacing w:after="0"/>
              <w:rPr>
                <w:sz w:val="20"/>
                <w:szCs w:val="20"/>
                <w:color w:val="auto"/>
              </w:rPr>
            </w:pPr>
            <w:r>
              <w:rPr>
                <w:rFonts w:ascii="Times New Roman" w:cs="Times New Roman" w:eastAsia="Times New Roman" w:hAnsi="Times New Roman"/>
                <w:sz w:val="14"/>
                <w:szCs w:val="14"/>
                <w:color w:val="auto"/>
              </w:rPr>
              <w:t>Adam Bernstein</w:t>
            </w:r>
          </w:p>
        </w:tc>
        <w:tc>
          <w:tcPr>
            <w:tcW w:w="236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17,415,537</w:t>
            </w:r>
          </w:p>
        </w:tc>
        <w:tc>
          <w:tcPr>
            <w:tcW w:w="400" w:type="dxa"/>
            <w:vAlign w:val="bottom"/>
            <w:shd w:val="clear" w:color="auto" w:fill="BDD7EE"/>
          </w:tcPr>
          <w:p>
            <w:pPr>
              <w:spacing w:after="0"/>
              <w:rPr>
                <w:sz w:val="15"/>
                <w:szCs w:val="15"/>
                <w:color w:val="auto"/>
              </w:rPr>
            </w:pPr>
          </w:p>
        </w:tc>
        <w:tc>
          <w:tcPr>
            <w:tcW w:w="1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7,143,279</w:t>
            </w:r>
          </w:p>
        </w:tc>
        <w:tc>
          <w:tcPr>
            <w:tcW w:w="380" w:type="dxa"/>
            <w:vAlign w:val="bottom"/>
            <w:shd w:val="clear" w:color="auto" w:fill="BDD7EE"/>
          </w:tcPr>
          <w:p>
            <w:pPr>
              <w:spacing w:after="0"/>
              <w:rPr>
                <w:sz w:val="15"/>
                <w:szCs w:val="15"/>
                <w:color w:val="auto"/>
              </w:rPr>
            </w:pPr>
          </w:p>
        </w:tc>
        <w:tc>
          <w:tcPr>
            <w:tcW w:w="1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346,883</w:t>
            </w:r>
          </w:p>
        </w:tc>
        <w:tc>
          <w:tcPr>
            <w:tcW w:w="380" w:type="dxa"/>
            <w:vAlign w:val="bottom"/>
            <w:shd w:val="clear" w:color="auto" w:fill="BDD7EE"/>
          </w:tcPr>
          <w:p>
            <w:pPr>
              <w:spacing w:after="0"/>
              <w:rPr>
                <w:sz w:val="15"/>
                <w:szCs w:val="15"/>
                <w:color w:val="auto"/>
              </w:rPr>
            </w:pPr>
          </w:p>
        </w:tc>
        <w:tc>
          <w:tcPr>
            <w:tcW w:w="1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21,389,252</w:t>
            </w:r>
          </w:p>
        </w:tc>
        <w:tc>
          <w:tcPr>
            <w:tcW w:w="100" w:type="dxa"/>
            <w:vAlign w:val="bottom"/>
            <w:shd w:val="clear" w:color="auto" w:fill="BDD7EE"/>
          </w:tcPr>
          <w:p>
            <w:pPr>
              <w:spacing w:after="0"/>
              <w:rPr>
                <w:sz w:val="15"/>
                <w:szCs w:val="15"/>
                <w:color w:val="auto"/>
              </w:rPr>
            </w:pPr>
          </w:p>
        </w:tc>
      </w:tr>
      <w:tr>
        <w:trPr>
          <w:trHeight w:val="175"/>
        </w:trPr>
        <w:tc>
          <w:tcPr>
            <w:tcW w:w="2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of Shares Voted</w:t>
            </w:r>
          </w:p>
        </w:tc>
        <w:tc>
          <w:tcPr>
            <w:tcW w:w="2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69.93 %</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28.68 %</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1.39 %</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r>
      <w:tr>
        <w:trPr>
          <w:trHeight w:val="176"/>
        </w:trPr>
        <w:tc>
          <w:tcPr>
            <w:tcW w:w="2700" w:type="dxa"/>
            <w:vAlign w:val="bottom"/>
            <w:shd w:val="clear" w:color="auto" w:fill="BDD7EE"/>
          </w:tcPr>
          <w:p>
            <w:pPr>
              <w:ind w:left="20"/>
              <w:spacing w:after="0"/>
              <w:rPr>
                <w:sz w:val="20"/>
                <w:szCs w:val="20"/>
                <w:color w:val="auto"/>
              </w:rPr>
            </w:pPr>
            <w:r>
              <w:rPr>
                <w:rFonts w:ascii="Times New Roman" w:cs="Times New Roman" w:eastAsia="Times New Roman" w:hAnsi="Times New Roman"/>
                <w:sz w:val="14"/>
                <w:szCs w:val="14"/>
                <w:color w:val="auto"/>
              </w:rPr>
              <w:t>Jeffrey Flug</w:t>
            </w:r>
          </w:p>
        </w:tc>
        <w:tc>
          <w:tcPr>
            <w:tcW w:w="236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19,345,827</w:t>
            </w:r>
          </w:p>
        </w:tc>
        <w:tc>
          <w:tcPr>
            <w:tcW w:w="400" w:type="dxa"/>
            <w:vAlign w:val="bottom"/>
            <w:shd w:val="clear" w:color="auto" w:fill="BDD7EE"/>
          </w:tcPr>
          <w:p>
            <w:pPr>
              <w:spacing w:after="0"/>
              <w:rPr>
                <w:sz w:val="15"/>
                <w:szCs w:val="15"/>
                <w:color w:val="auto"/>
              </w:rPr>
            </w:pPr>
          </w:p>
        </w:tc>
        <w:tc>
          <w:tcPr>
            <w:tcW w:w="1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5,204,249</w:t>
            </w:r>
          </w:p>
        </w:tc>
        <w:tc>
          <w:tcPr>
            <w:tcW w:w="380" w:type="dxa"/>
            <w:vAlign w:val="bottom"/>
            <w:shd w:val="clear" w:color="auto" w:fill="BDD7EE"/>
          </w:tcPr>
          <w:p>
            <w:pPr>
              <w:spacing w:after="0"/>
              <w:rPr>
                <w:sz w:val="15"/>
                <w:szCs w:val="15"/>
                <w:color w:val="auto"/>
              </w:rPr>
            </w:pPr>
          </w:p>
        </w:tc>
        <w:tc>
          <w:tcPr>
            <w:tcW w:w="1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355,623</w:t>
            </w:r>
          </w:p>
        </w:tc>
        <w:tc>
          <w:tcPr>
            <w:tcW w:w="380" w:type="dxa"/>
            <w:vAlign w:val="bottom"/>
            <w:shd w:val="clear" w:color="auto" w:fill="BDD7EE"/>
          </w:tcPr>
          <w:p>
            <w:pPr>
              <w:spacing w:after="0"/>
              <w:rPr>
                <w:sz w:val="15"/>
                <w:szCs w:val="15"/>
                <w:color w:val="auto"/>
              </w:rPr>
            </w:pPr>
          </w:p>
        </w:tc>
        <w:tc>
          <w:tcPr>
            <w:tcW w:w="1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21,389,252</w:t>
            </w:r>
          </w:p>
        </w:tc>
        <w:tc>
          <w:tcPr>
            <w:tcW w:w="100" w:type="dxa"/>
            <w:vAlign w:val="bottom"/>
            <w:shd w:val="clear" w:color="auto" w:fill="BDD7EE"/>
          </w:tcPr>
          <w:p>
            <w:pPr>
              <w:spacing w:after="0"/>
              <w:rPr>
                <w:sz w:val="15"/>
                <w:szCs w:val="15"/>
                <w:color w:val="auto"/>
              </w:rPr>
            </w:pPr>
          </w:p>
        </w:tc>
      </w:tr>
      <w:tr>
        <w:trPr>
          <w:trHeight w:val="188"/>
        </w:trPr>
        <w:tc>
          <w:tcPr>
            <w:tcW w:w="2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of Shares Voted</w:t>
            </w:r>
          </w:p>
        </w:tc>
        <w:tc>
          <w:tcPr>
            <w:tcW w:w="2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77.67 %</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20.90 %</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1.43 %</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Proposal 2. </w:t>
      </w:r>
      <w:r>
        <w:rPr>
          <w:rFonts w:ascii="Times New Roman" w:cs="Times New Roman" w:eastAsia="Times New Roman" w:hAnsi="Times New Roman"/>
          <w:sz w:val="14"/>
          <w:szCs w:val="14"/>
          <w:color w:val="auto"/>
        </w:rPr>
        <w:t>The Company’s stockholders ratified the selection of RSM US LLP to serve as the Company’s independent registered public accounting firm for the year ending September 30, 2024.</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voting results as of February 6, 2024, as certified by the inspector of election, are set forth below: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Pr>
          <w:p>
            <w:pPr>
              <w:spacing w:after="0"/>
              <w:rPr>
                <w:sz w:val="14"/>
                <w:szCs w:val="14"/>
                <w:color w:val="auto"/>
              </w:rPr>
            </w:pP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For</w:t>
            </w:r>
          </w:p>
        </w:tc>
        <w:tc>
          <w:tcPr>
            <w:tcW w:w="8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Against</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Abstain</w:t>
            </w:r>
          </w:p>
        </w:tc>
        <w:tc>
          <w:tcPr>
            <w:tcW w:w="120" w:type="dxa"/>
            <w:vAlign w:val="bottom"/>
            <w:gridSpan w:val="2"/>
          </w:tcPr>
          <w:p>
            <w:pPr>
              <w:spacing w:after="0"/>
              <w:rPr>
                <w:sz w:val="14"/>
                <w:szCs w:val="14"/>
                <w:color w:val="auto"/>
              </w:rPr>
            </w:pPr>
          </w:p>
        </w:tc>
      </w:tr>
      <w:tr>
        <w:trPr>
          <w:trHeight w:val="169"/>
        </w:trPr>
        <w:tc>
          <w:tcPr>
            <w:tcW w:w="5140" w:type="dxa"/>
            <w:vAlign w:val="bottom"/>
            <w:gridSpan w:val="2"/>
            <w:shd w:val="clear" w:color="auto" w:fill="BDD7EE"/>
          </w:tcPr>
          <w:p>
            <w:pPr>
              <w:ind w:left="20"/>
              <w:spacing w:after="0"/>
              <w:rPr>
                <w:sz w:val="20"/>
                <w:szCs w:val="20"/>
                <w:color w:val="auto"/>
              </w:rPr>
            </w:pPr>
            <w:r>
              <w:rPr>
                <w:rFonts w:ascii="Times New Roman" w:cs="Times New Roman" w:eastAsia="Times New Roman" w:hAnsi="Times New Roman"/>
                <w:sz w:val="14"/>
                <w:szCs w:val="14"/>
                <w:color w:val="auto"/>
              </w:rPr>
              <w:t>Shares Voted</w:t>
            </w:r>
          </w:p>
        </w:tc>
        <w:tc>
          <w:tcPr>
            <w:tcW w:w="82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44,873,959</w:t>
            </w:r>
          </w:p>
        </w:tc>
        <w:tc>
          <w:tcPr>
            <w:tcW w:w="480" w:type="dxa"/>
            <w:vAlign w:val="bottom"/>
            <w:shd w:val="clear" w:color="auto" w:fill="BDD7EE"/>
          </w:tcPr>
          <w:p>
            <w:pPr>
              <w:spacing w:after="0"/>
              <w:rPr>
                <w:sz w:val="14"/>
                <w:szCs w:val="14"/>
                <w:color w:val="auto"/>
              </w:rPr>
            </w:pPr>
          </w:p>
        </w:tc>
        <w:tc>
          <w:tcPr>
            <w:tcW w:w="1460" w:type="dxa"/>
            <w:vAlign w:val="bottom"/>
            <w:shd w:val="clear" w:color="auto" w:fill="BDD7EE"/>
          </w:tcPr>
          <w:p>
            <w:pPr>
              <w:spacing w:after="0"/>
              <w:rPr>
                <w:sz w:val="14"/>
                <w:szCs w:val="14"/>
                <w:color w:val="auto"/>
              </w:rPr>
            </w:pPr>
          </w:p>
        </w:tc>
        <w:tc>
          <w:tcPr>
            <w:tcW w:w="6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757,149</w:t>
            </w:r>
          </w:p>
        </w:tc>
        <w:tc>
          <w:tcPr>
            <w:tcW w:w="460" w:type="dxa"/>
            <w:vAlign w:val="bottom"/>
            <w:shd w:val="clear" w:color="auto" w:fill="BDD7EE"/>
          </w:tcPr>
          <w:p>
            <w:pPr>
              <w:spacing w:after="0"/>
              <w:rPr>
                <w:sz w:val="14"/>
                <w:szCs w:val="14"/>
                <w:color w:val="auto"/>
              </w:rPr>
            </w:pPr>
          </w:p>
        </w:tc>
        <w:tc>
          <w:tcPr>
            <w:tcW w:w="212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4"/>
                <w:szCs w:val="14"/>
                <w:color w:val="auto"/>
              </w:rPr>
              <w:t>663,843</w:t>
            </w:r>
          </w:p>
        </w:tc>
        <w:tc>
          <w:tcPr>
            <w:tcW w:w="100" w:type="dxa"/>
            <w:vAlign w:val="bottom"/>
            <w:shd w:val="clear" w:color="auto" w:fill="BDD7EE"/>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51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 of Shares Voted</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96.93 %</w:t>
            </w:r>
          </w:p>
        </w:tc>
        <w:tc>
          <w:tcPr>
            <w:tcW w:w="146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1.64 %</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20" w:type="dxa"/>
            <w:vAlign w:val="bottom"/>
          </w:tcPr>
          <w:p>
            <w:pPr>
              <w:spacing w:after="0"/>
              <w:rPr>
                <w:sz w:val="16"/>
                <w:szCs w:val="16"/>
                <w:color w:val="auto"/>
              </w:rPr>
            </w:pPr>
          </w:p>
        </w:tc>
      </w:tr>
      <w:tr>
        <w:trPr>
          <w:trHeight w:val="696"/>
        </w:trPr>
        <w:tc>
          <w:tcPr>
            <w:tcW w:w="38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7" w:right="31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65" w:lineRule="exact"/>
        <w:rPr>
          <w:sz w:val="20"/>
          <w:szCs w:val="20"/>
          <w:color w:val="auto"/>
        </w:rPr>
      </w:pPr>
    </w:p>
    <w:p>
      <w:pPr>
        <w:ind w:firstLine="481"/>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3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PennantPark Investment Corporation</w:t>
      </w:r>
    </w:p>
    <w:p>
      <w:pPr>
        <w:spacing w:after="0" w:line="40" w:lineRule="exact"/>
        <w:rPr>
          <w:sz w:val="20"/>
          <w:szCs w:val="20"/>
          <w:color w:val="auto"/>
        </w:rPr>
      </w:pPr>
    </w:p>
    <w:p>
      <w:pPr>
        <w:ind w:left="20"/>
        <w:spacing w:after="0"/>
        <w:tabs>
          <w:tab w:leader="none" w:pos="7800" w:val="left"/>
        </w:tabs>
        <w:rPr>
          <w:sz w:val="20"/>
          <w:szCs w:val="20"/>
          <w:color w:val="auto"/>
        </w:rPr>
      </w:pPr>
      <w:r>
        <w:rPr>
          <w:rFonts w:ascii="Times New Roman" w:cs="Times New Roman" w:eastAsia="Times New Roman" w:hAnsi="Times New Roman"/>
          <w:sz w:val="14"/>
          <w:szCs w:val="14"/>
          <w:color w:val="auto"/>
        </w:rPr>
        <w:t>Date: February 9, 2024</w:t>
      </w:r>
      <w:r>
        <w:rPr>
          <w:sz w:val="20"/>
          <w:szCs w:val="20"/>
          <w:color w:val="auto"/>
        </w:rPr>
        <w:tab/>
      </w:r>
      <w:r>
        <w:rPr>
          <w:rFonts w:ascii="Times New Roman" w:cs="Times New Roman" w:eastAsia="Times New Roman" w:hAnsi="Times New Roman"/>
          <w:sz w:val="21"/>
          <w:szCs w:val="21"/>
          <w:color w:val="auto"/>
          <w:vertAlign w:val="subscript"/>
        </w:rPr>
        <w:t>/s/ RICHARD T. ALLORTO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77470</wp:posOffset>
            </wp:positionV>
            <wp:extent cx="3257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8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color w:val="auto"/>
        </w:rPr>
        <w:t>Richard T. Allorto</w:t>
      </w:r>
    </w:p>
    <w:p>
      <w:pPr>
        <w:spacing w:after="0" w:line="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1" w:right="5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2024-02-09T15:12:15Z</dcterms:created>
  <dcterms:modified xsi:type="dcterms:W3CDTF">2024-02-09T15:12:15Z</dcterms:modified>
</cp:coreProperties>
</file>