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02,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May 2, 2012, PennantPark Investment Corporation issued a press release announcing its financial results for the quarter ended March 31,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02,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02, 2012</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02,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2012</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NEW YORK, NY -- (Marketwire - May 02, 2012) - PennantPark Investment Corporation (NASDAQ: PNNT), "we," "our," "us" or "Company," today announces financial results for its second fiscal quarter ended March 31,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March 31, 2012</w:t>
      </w: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888.9</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583.3</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10.38</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Credit Facility (cost $158.5)</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157.8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13.3%</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One-time debt issuance costs per share (1)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long-term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110.9</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long-term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w:t>
            </w:r>
          </w:p>
        </w:tc>
      </w:tr>
      <w:tr>
        <w:trPr>
          <w:trHeight w:val="405"/>
        </w:trPr>
        <w:tc>
          <w:tcPr>
            <w:tcW w:w="59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1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39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One-time costs relating to amending and restating our Credit Facility.</w:t>
      </w:r>
    </w:p>
    <w:p>
      <w:pPr>
        <w:spacing w:after="0" w:line="8" w:lineRule="exact"/>
        <w:rPr>
          <w:rFonts w:ascii="Arial" w:cs="Arial" w:eastAsia="Arial" w:hAnsi="Arial"/>
          <w:sz w:val="22"/>
          <w:szCs w:val="22"/>
          <w:color w:val="auto"/>
        </w:rPr>
      </w:pPr>
    </w:p>
    <w:p>
      <w:pPr>
        <w:ind w:right="180" w:firstLine="8"/>
        <w:spacing w:after="0" w:line="233"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net investment income is a non-GAAP financial measure which excludes one time charges primarily related to our Credit Facility, amortized for tax purposes. The Company believes that core net investment income provides useful information to investors regarding financial performance because it is one method the Company uses to measure its financial condition and results of operations. The presentation of this additional information is not meant to be considered in isolation or as a substitute for financial results prepared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3, 2012</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Company will host a conference call at 10:00 a.m. (Eastern Time) on Thursday, May 3, 2012 to discuss its quarterly financial results. All interested parties are welcome to participate. You can access the conference call by dialing (888) 378-4361 approximately 5-10 minutes prior to the call. International callers should dial (719) 457-2642. All callers should reference PennantPark Investment Corporation. An archived replay of the call will be available through May 17, 2012 by calling (888)</w:t>
      </w:r>
    </w:p>
    <w:p>
      <w:pPr>
        <w:spacing w:after="0" w:line="3" w:lineRule="exact"/>
        <w:rPr>
          <w:sz w:val="20"/>
          <w:szCs w:val="20"/>
          <w:color w:val="auto"/>
        </w:rPr>
      </w:pPr>
    </w:p>
    <w:p>
      <w:pPr>
        <w:ind w:right="500"/>
        <w:spacing w:after="0" w:line="426" w:lineRule="auto"/>
        <w:rPr>
          <w:sz w:val="20"/>
          <w:szCs w:val="20"/>
          <w:color w:val="auto"/>
        </w:rPr>
      </w:pPr>
      <w:r>
        <w:rPr>
          <w:rFonts w:ascii="Arial" w:cs="Arial" w:eastAsia="Arial" w:hAnsi="Arial"/>
          <w:sz w:val="22"/>
          <w:szCs w:val="22"/>
          <w:color w:val="auto"/>
        </w:rPr>
        <w:t xml:space="preserve">203-1112. International callers please dial (719) 457-0820. For all phone replays, please reference conference ID #2586492. </w:t>
      </w:r>
      <w:r>
        <w:rPr>
          <w:rFonts w:ascii="Arial" w:cs="Arial" w:eastAsia="Arial" w:hAnsi="Arial"/>
          <w:sz w:val="22"/>
          <w:szCs w:val="22"/>
          <w:b w:val="1"/>
          <w:bCs w:val="1"/>
          <w:color w:val="auto"/>
        </w:rPr>
        <w:t>PORTFOLIO AND INVESTMENT ACTIVITY</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As of March 31, 2012, our portfolio totaled $888.9 million and consisted of $274.2 million of senior secured loans, $168.1 million of second lien secured debt, $362.9 million of subordinated debt and $83.7 million of preferred and common equity investments. Our portfolio consisted of 66% fixed-rate investments and 34% variable-rate investments (including 27% with a London Interbank Offered Rate, or LIBOR, or prime floor). On March 31, 2012, we had one non-accrual debt investment, representing 1% of our overall portfolio on a market value basis and 4% of our overall portfolio on a cost basis. Our overall portfolio consisted of 49 companies with an average investment size of $18.1 million, had a weighted average yield on debt investments of 13.3% and was invested 31% in senior secured loans, 19% in second lien secured debt, 41% in subordinated debt and 9% in preferred and common equity investments.</w:t>
      </w:r>
    </w:p>
    <w:p>
      <w:pPr>
        <w:spacing w:after="0" w:line="180"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investments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For the three months ended March 31, 2012, we invested $110.9 million in five new and four existing portfolio companies with a weighted average yield on debt investments of 13.2%. Sales and repayments of long-term investments totaled $49.3 million for the same period. For the six months ended March 31, 2012, we invested $153.9 million in six new and eleven existing portfolio companies with a weighted average yield of 14.2% on debt investments. Sales and repayments of long-term investments totaled $118.5 million for the same period.</w:t>
      </w:r>
    </w:p>
    <w:p>
      <w:pPr>
        <w:sectPr>
          <w:pgSz w:w="11900" w:h="16838" w:orient="portrait"/>
          <w:cols w:equalWidth="0" w:num="1">
            <w:col w:w="11220"/>
          </w:cols>
          <w:pgMar w:left="320" w:top="111" w:right="359" w:bottom="0" w:gutter="0" w:footer="0" w:header="0"/>
        </w:sectPr>
      </w:pPr>
    </w:p>
    <w:bookmarkStart w:id="3" w:name="page4"/>
    <w:bookmarkEnd w:id="3"/>
    <w:p>
      <w:pPr>
        <w:ind w:right="180"/>
        <w:spacing w:after="0" w:line="236" w:lineRule="auto"/>
        <w:rPr>
          <w:sz w:val="20"/>
          <w:szCs w:val="20"/>
          <w:color w:val="auto"/>
        </w:rPr>
      </w:pPr>
      <w:r>
        <w:rPr>
          <w:rFonts w:ascii="Arial" w:cs="Arial" w:eastAsia="Arial" w:hAnsi="Arial"/>
          <w:sz w:val="22"/>
          <w:szCs w:val="22"/>
          <w:color w:val="auto"/>
        </w:rPr>
        <w:t>For the three months ended March 31, 2011, we invested $96.6 million in four new and two existing portfolio companies with a weighted average yield on debt investments of 13.6%. Sales and repayments of long-term investments totaled $51.6 million for the same period. For the six months ended March 31, 2011, we invested $196.5 million in ten new and three existing portfolio companies with a weighted average yield of 14.3% on debt investments. Sales and repayments of long-term investments totaled $137.1 million for the same period.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and six months ended March 31, 2012 and 2011,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Investment income for the three and six months ended March 31, 2012 was $26.4 million and $53.2 million, respectively, and was attributable to $9.4 million and $20.7 million from senior secured loans, $4.4 million and $8.5 million from second lien secured debt investments, and $12.6 million and $24.0 million from subordinated debt investments, respectively. This compares to investment income for the three and six months ended March 31, 2011, which was $22.7 million and $42.7 million, respectively, and was primarily attributable to $8.0 million and $15.1 million from senior secured loans, $2.8 million and $6.0 million from second lien secured debt investments and $8.6 million and $16.3 million from subordinated debt investments, respectively. The increase in investment income from the same period in the prior year is due to the growth of our portfolio, which is the result of deploying both equity from our follow-on offering and debt capital raised during the period.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Expenses for the three and six months ended March 31, 2012 totaled $16.6 million and $28.4 million, respectively. For the same respective periods, base management fees totaled $4.2 million and $8.2 million, performance-based incentive fees totaled $2.4 million and $6.1 million, our senior secured revolving credit facility, or the Credit Facility, and the Small Business Administration, or SBA, debentures expense (excluding the $5.4 million one-time fees associated with amending and extending our Credit Facility) totaled $2.7 million and $5.1 million, general and administrative expenses totaled $1.7 million and $3.3 million and excise taxes totaled $0.2 million and $0.3 million. This compares to expenses for the three and six months ended March 31, 2011, which totaled $9.6 million and $18.4 million, respectively. For the same respective periods, base management fees totaled $3.6 million and $7.1 million, performance-based incentive fees totaled $3.3 million and $6.1 million, Credit Facility and SBA debentures expenses totaled $1.1 million and $2.2 million, general and administrative expenses totaled $1.5 million and $2.8 million, and excise tax for the six months ended March 31, 2011 totaled $0.2 million. The increase in expenses from the same period in the prior year is due to the growth of the portfolio and net investment income as well as the costs associated with amending and extending our Credit Facility. Interest expense could be higher going forward resulting from an increase in the spread on the amended Credit Facility.</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GAAP net investment income totaled $9.8 million and $24.8 million, or $0.18 and $0.50 per share, for the three and six months ended March 31, 2012, respectively. Core net investment income totaled $15.2 million and $30.1 million, or $0.28 and $0.61 per share, for the three and six months ended March 31, 2012, respectively. Core net investment income is a non-GAAP financial measure which excludes one time charges primarily related to our Credit Facility which are amortized for tax purposes. The Company believes that core net investment income provides useful information to investors regarding financial performance because it is one method the Company uses to measure its taxable financial condition and results of operations. The presentation of this additional information is not meant to be considered in isolation or as a substitute for financial results prepared in accordance with GAAP. For the same respective periods in the prior year, net investment income totaled $13.2 million and $24.3 million, or $0.32 and $0.63 per share. The decrease in per share net investment income over the periods was primarily the result of upfront expenses associated with amending and restating our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Sales and repayments of long-term investments for the three and six months ended March 31, 2012 totaled $49.3 million and $118.5 million and realized losses totaled $3.9 million and $12.0 million, respectively, due to refinancing of our debt investments. Sales and repayments of long-term investments for the three and six months ended March 31, 2011 totaled $51.6 million and $137.1 million and realized gains totaled $0.3 million and $2.6 million, respectively, due to sales of lower yielding investments and refinancing of our debt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For the three and six months ended March 31, 2012, we reported unrealized appreciation on investments of $20.8 million and $30.8 million, respectively. For the three and six months ended March 31, 2011, we reported unrealized appreciation on investments of $4.8 million and $23.5 million, respectively. The change in unrealized appreciation for current periods compared to the prior periods is the result of changes in the leveraged credit markets. On March 31, 2012 and September 30, 2011, our net unrealized depreciation on investments totaled $8.0 million and $38.8 million, respectively.</w:t>
      </w:r>
    </w:p>
    <w:p>
      <w:pPr>
        <w:spacing w:after="0" w:line="147"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For the three and six months ended March 31, 2012, our long-term Credit Facility payable increased in value due to unrealized appreciation of $0.2 million and $1.4 million, respectively. For the three and six months ended March 31, 2011, our long-term Credit Facility balance increased in value due to unrealized appreciation of $4.7 million and $11.3 million, respectively. The</w:t>
      </w:r>
    </w:p>
    <w:p>
      <w:pPr>
        <w:sectPr>
          <w:pgSz w:w="11900" w:h="16838" w:orient="portrait"/>
          <w:cols w:equalWidth="0" w:num="1">
            <w:col w:w="11240"/>
          </w:cols>
          <w:pgMar w:left="320" w:top="118" w:right="339" w:bottom="0" w:gutter="0" w:footer="0" w:header="0"/>
        </w:sectPr>
      </w:pPr>
    </w:p>
    <w:bookmarkStart w:id="4" w:name="page5"/>
    <w:bookmarkEnd w:id="4"/>
    <w:p>
      <w:pPr>
        <w:jc w:val="both"/>
        <w:ind w:right="40"/>
        <w:spacing w:after="0"/>
        <w:rPr>
          <w:sz w:val="20"/>
          <w:szCs w:val="20"/>
          <w:color w:val="auto"/>
        </w:rPr>
      </w:pPr>
      <w:r>
        <w:rPr>
          <w:rFonts w:ascii="Arial" w:cs="Arial" w:eastAsia="Arial" w:hAnsi="Arial"/>
          <w:sz w:val="22"/>
          <w:szCs w:val="22"/>
          <w:color w:val="auto"/>
        </w:rPr>
        <w:t>change in unrealized appreciation for current periods compared to the prior periods is the result of our Credit Facility, which was amended and extended during the quarter. On March 31, 2012 and September 30, 2011, net unrealized depreciation on our long-term Credit Facility totaled $0.7 million and $2.1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Net increase in net assets resulting from operations totaled $26.4 million and $42.2 million or $0.50 per share and $0.85 per share, respectively, for the three and six months ended March 31, 2012. This compares to a net increase in net assets resulting from operations which totaled $13.6 million and $39.1 million, respectively, or $0.33 per share and $1.01 per share, respectively, for the three and six months ended March 31, 2011. This increase in net assets from operations is due to both unrealized appreciation on investments and net investment income, which was offset by upfront one-time fees on our Credit Facility.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78"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On March 31, 2012 and September 30, 2011, we had outstanding borrowings of $158.5 million (including a temporary draw of $10.0 million) and $240.9 million under the Credit Facility, with a weighted average interest rate of 3.19% and 1.27%, exclusive of the fee on undrawn commitments of 0.50% and 0.20%, respectively.</w:t>
      </w:r>
    </w:p>
    <w:p>
      <w:pPr>
        <w:spacing w:after="0" w:line="18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On March 31, 2012 and September 30, 2011, $150.0 million in SBA debt commitments were fully drawn with a weighted average interest rate of 3.70% exclusive of 3.43% in upfront fees (4.04% inclusive of the upfront fees). We had $25.8 million of cash in PennantPark SBIC LP as of March 31, 2012.</w:t>
      </w:r>
    </w:p>
    <w:p>
      <w:pPr>
        <w:spacing w:after="0" w:line="186"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Our operating activities used cash of $44.0 million for the six months ended March 31, 2012, primarily due to investing and offset by repayments on our investments. Our financing activities used cash of $0.6 million for the same period, primarily from proceeds from our common stock offering and net repayments under our Credit Facility.</w:t>
      </w:r>
    </w:p>
    <w:p>
      <w:pPr>
        <w:spacing w:after="0" w:line="169" w:lineRule="exact"/>
        <w:rPr>
          <w:sz w:val="20"/>
          <w:szCs w:val="20"/>
          <w:color w:val="auto"/>
        </w:rPr>
      </w:pPr>
    </w:p>
    <w:p>
      <w:pPr>
        <w:ind w:right="340"/>
        <w:spacing w:after="0"/>
        <w:rPr>
          <w:sz w:val="20"/>
          <w:szCs w:val="20"/>
          <w:color w:val="auto"/>
        </w:rPr>
      </w:pPr>
      <w:r>
        <w:rPr>
          <w:rFonts w:ascii="Arial" w:cs="Arial" w:eastAsia="Arial" w:hAnsi="Arial"/>
          <w:sz w:val="22"/>
          <w:szCs w:val="22"/>
          <w:color w:val="auto"/>
        </w:rPr>
        <w:t>Our operating activities used cash of $54.5 million for the six months ended March 31, 2011, and our financing activities provided cash of $54.2 million for the same period, primarily from net repayments under our Credit Facility, SBA debentures issued, and our common stock offering.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During the three and six months ended March 31, 2012, we declared distributions of $0.28 and $0.56 per share, respectively, for total distributions of $15.7 million and $28.5 million, respectively. During the three and six months ended March 31, 2011, we declared distributions of $0.27 and $0.53 per share, respectively, for total distributions of $12.3 million and $21.7 million, respectively.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its website at www.pennantpark.com.</w:t>
      </w:r>
    </w:p>
    <w:p>
      <w:pPr>
        <w:spacing w:after="0" w:line="396"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26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580" w:type="dxa"/>
            <w:vAlign w:val="bottom"/>
          </w:tcPr>
          <w:p>
            <w:pPr>
              <w:ind w:left="300"/>
              <w:spacing w:after="0"/>
              <w:rPr>
                <w:sz w:val="20"/>
                <w:szCs w:val="20"/>
                <w:color w:val="auto"/>
              </w:rPr>
            </w:pPr>
            <w:r>
              <w:rPr>
                <w:rFonts w:ascii="Courier New" w:cs="Courier New" w:eastAsia="Courier New" w:hAnsi="Courier New"/>
                <w:sz w:val="18"/>
                <w:szCs w:val="18"/>
                <w:color w:val="auto"/>
              </w:rPr>
              <w:t>March 31,</w:t>
            </w:r>
          </w:p>
        </w:tc>
        <w:tc>
          <w:tcPr>
            <w:tcW w:w="14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860" w:type="dxa"/>
            <w:vAlign w:val="bottom"/>
          </w:tcPr>
          <w:p>
            <w:pPr>
              <w:spacing w:after="0"/>
              <w:rPr>
                <w:sz w:val="17"/>
                <w:szCs w:val="17"/>
                <w:color w:val="auto"/>
              </w:rPr>
            </w:pP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(unaudited)</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(cost--$850,864,770 and</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$816,078,311, 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$ 838,697,179</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$ 773,375,381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 at</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(cost--$31,457,826 and</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$36,744,425, 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35,656,110</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40,673,133</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Controlled, affiliated investments, at fair</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(cost--$14,500,100 and $13,500,100,</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14,500,002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13,500,001</w:t>
            </w:r>
          </w:p>
        </w:tc>
      </w:tr>
      <w:tr>
        <w:trPr>
          <w:trHeight w:val="202"/>
        </w:trPr>
        <w:tc>
          <w:tcPr>
            <w:tcW w:w="48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Investments, at fair value (cost--</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$896,822,696 and $866,322,836,</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respectively)</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888,853,291</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827,548,515</w:t>
            </w:r>
          </w:p>
        </w:tc>
      </w:tr>
    </w:tbl>
    <w:p>
      <w:pPr>
        <w:sectPr>
          <w:pgSz w:w="11900" w:h="16838" w:orient="portrait"/>
          <w:cols w:equalWidth="0" w:num="1">
            <w:col w:w="11180"/>
          </w:cols>
          <w:pgMar w:left="320" w:top="118" w:right="3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26,964,225</w:t>
            </w:r>
          </w:p>
        </w:tc>
        <w:tc>
          <w:tcPr>
            <w:tcW w:w="220" w:type="dxa"/>
            <w:vAlign w:val="bottom"/>
          </w:tcPr>
          <w:p>
            <w:pPr>
              <w:spacing w:after="0"/>
              <w:rPr>
                <w:sz w:val="17"/>
                <w:szCs w:val="17"/>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71,604,519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11,013,869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10,878,236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4,179,031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13,118,967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4,895,013</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5,587,977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935,905,429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928,738,214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15,737,924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12,336,241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3,528,707</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18,572,499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16,980,269</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37,132,151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(cost--$158,500,000</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$240,900,000, respectively)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157,757,500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238,792,125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150,000,000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150,000,000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 and SBA</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debentures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937,416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687,362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4,176,894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4,008,054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2,374,706</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3,773,829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1,104,368</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778,757</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352,597,784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466,081,018</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56,206,873 and 45,689,781 shares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and outstanding, respectively.</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Par value $0.001 per share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56,207</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45,690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647,530,381</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540,603,020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4,551,894</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8,326,854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 investments</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(61,603,932)</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(49,651,922)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(7,969,405)</w:t>
            </w:r>
          </w:p>
        </w:tc>
        <w:tc>
          <w:tcPr>
            <w:tcW w:w="2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(38,774,321)</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Credit Facility</w:t>
            </w:r>
          </w:p>
        </w:tc>
        <w:tc>
          <w:tcPr>
            <w:tcW w:w="2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742,500</w:t>
            </w:r>
          </w:p>
        </w:tc>
        <w:tc>
          <w:tcPr>
            <w:tcW w:w="2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2,107,875</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$ 583,307,645</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$ 462,657,196</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$ 935,905,429</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$ 928,738,214</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49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pacing w:after="0" w:line="20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Three months ended March 31, Six months ended March 31,</w:t>
      </w: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2012</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23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$24,310,488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$20,836,197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$ 48,330,912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$ 39,395,362</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1,084,688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1,233,863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2,955,202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2,080,447</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549,594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381,222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1,122,525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744,654</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416,889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260,167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791,778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470,167</w:t>
            </w:r>
          </w:p>
        </w:tc>
      </w:tr>
      <w:tr>
        <w:trPr>
          <w:trHeight w:val="203"/>
        </w:trPr>
        <w:tc>
          <w:tcPr>
            <w:tcW w:w="23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26,361,659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22,711,449</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53,200,417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42,690,630</w:t>
            </w:r>
          </w:p>
        </w:tc>
      </w:tr>
      <w:tr>
        <w:trPr>
          <w:trHeight w:val="202"/>
        </w:trPr>
        <w:tc>
          <w:tcPr>
            <w:tcW w:w="23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4,178,151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3,589,342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8,221,432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7,087,936</w:t>
            </w:r>
          </w:p>
        </w:tc>
      </w:tr>
      <w:tr>
        <w:trPr>
          <w:trHeight w:val="202"/>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2,374,842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3,338,434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6,123,970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6,131,428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the</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Credit Facility and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SBA debentures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2,736,619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1,086,523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5,111,742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2,221,950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808,303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650,662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1,605,656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1,229,717</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897,849</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847,668</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1,740,194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1,531,027</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 and debt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costs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10,995,764</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9,512,629</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22,802,994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18,202,058</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Excise tax</w:t>
            </w:r>
          </w:p>
        </w:tc>
        <w:tc>
          <w:tcPr>
            <w:tcW w:w="16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245,000</w:t>
            </w:r>
          </w:p>
        </w:tc>
        <w:tc>
          <w:tcPr>
            <w:tcW w:w="16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39,857</w:t>
            </w:r>
          </w:p>
        </w:tc>
        <w:tc>
          <w:tcPr>
            <w:tcW w:w="160" w:type="dxa"/>
            <w:vAlign w:val="bottom"/>
          </w:tcPr>
          <w:p>
            <w:pPr>
              <w:spacing w:after="0"/>
              <w:rPr>
                <w:sz w:val="24"/>
                <w:szCs w:val="24"/>
                <w:color w:val="auto"/>
              </w:rPr>
            </w:pP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280,000</w:t>
            </w:r>
          </w:p>
        </w:tc>
        <w:tc>
          <w:tcPr>
            <w:tcW w:w="1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158,824</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5,361,319</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5,361,319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16,602,083</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9,552,486</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28,444,313</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18,360,882</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ind w:left="420"/>
              <w:spacing w:after="0"/>
              <w:rPr>
                <w:sz w:val="20"/>
                <w:szCs w:val="20"/>
                <w:color w:val="auto"/>
              </w:rPr>
            </w:pPr>
            <w:r>
              <w:rPr>
                <w:rFonts w:ascii="Courier New" w:cs="Courier New" w:eastAsia="Courier New" w:hAnsi="Courier New"/>
                <w:sz w:val="18"/>
                <w:szCs w:val="18"/>
                <w:color w:val="auto"/>
              </w:rPr>
              <w:t>Net investment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9,759,576</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13,158,963</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24,756,104</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24,329,748</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Realized and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investments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Credit Facility: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investments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(3,922,455)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286,452</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(11,952,011)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2,579,813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22,470,558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4,711,487</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30,535,339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23,464,360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&amp; non-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(1,692,070)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128,906</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269,576</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38,735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(4,698,821)</w:t>
            </w:r>
          </w:p>
        </w:tc>
        <w:tc>
          <w:tcPr>
            <w:tcW w:w="1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(1,365,375)</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(11,303,446)</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20,560,988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141,572</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29,439,540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12,199,649</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 from</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16,638,533</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428,024</w:t>
            </w:r>
          </w:p>
        </w:tc>
        <w:tc>
          <w:tcPr>
            <w:tcW w:w="16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17,487,529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14,779,462</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$26,398,109</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$13,586,987</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$ 42,243,633</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$ 39,109,210</w:t>
            </w:r>
          </w:p>
        </w:tc>
      </w:tr>
      <w:tr>
        <w:trPr>
          <w:trHeight w:val="203"/>
        </w:trPr>
        <w:tc>
          <w:tcPr>
            <w:tcW w:w="238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Net increase in net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operations per common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w:t>
      </w:r>
    </w:p>
    <w:p>
      <w:pPr>
        <w:sectPr>
          <w:pgSz w:w="11900" w:h="16838" w:orient="portrait"/>
          <w:cols w:equalWidth="0" w:num="1">
            <w:col w:w="11220"/>
          </w:cols>
          <w:pgMar w:left="320" w:top="136" w:right="359" w:bottom="0" w:gutter="0" w:footer="0" w:header="0"/>
        </w:sectPr>
      </w:pPr>
    </w:p>
    <w:bookmarkStart w:id="7" w:name="page8"/>
    <w:bookmarkEnd w:id="7"/>
    <w:p>
      <w:pPr>
        <w:ind w:right="180"/>
        <w:spacing w:after="0" w:line="274" w:lineRule="auto"/>
        <w:rPr>
          <w:sz w:val="20"/>
          <w:szCs w:val="20"/>
          <w:color w:val="auto"/>
        </w:rPr>
      </w:pPr>
      <w:r>
        <w:rPr>
          <w:rFonts w:ascii="Arial" w:cs="Arial" w:eastAsia="Arial" w:hAnsi="Arial"/>
          <w:sz w:val="21"/>
          <w:szCs w:val="21"/>
          <w:color w:val="auto"/>
        </w:rPr>
        <w:t>time in filings with the Securities and Exchange Commission. The Company undertakes no duty to update any forward-looking statement made herein. All forward-looking statements speak only as of the date of this press release.</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2020-05-05T15:07:12Z</dcterms:created>
  <dcterms:modified xsi:type="dcterms:W3CDTF">2020-05-05T15:07:12Z</dcterms:modified>
</cp:coreProperties>
</file>