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08,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May 8, 2013, PennantPark Investment Corporation issued a press release announcing its financial results for its second fiscal quarter ended March 31, 2013.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08, 2013</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08,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2013</w:t>
      </w:r>
    </w:p>
    <w:p>
      <w:pPr>
        <w:spacing w:after="0" w:line="21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NEW YORK, NY -- (Marketwire - May 08, 2013) - PennantPark Investment Corporation (NASDAQ: PNNT) announced today financial results for its second fiscal quarter ended March 31, 2013.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2013</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1,114.9</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Credit Facility (cost $171.7)</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171.7</w:t>
            </w:r>
          </w:p>
        </w:tc>
      </w:tr>
      <w:tr>
        <w:trPr>
          <w:trHeight w:val="202"/>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issuance cost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3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bl>
    <w:p>
      <w:pPr>
        <w:spacing w:after="0" w:line="399" w:lineRule="exact"/>
        <w:rPr>
          <w:sz w:val="20"/>
          <w:szCs w:val="20"/>
          <w:color w:val="auto"/>
        </w:rPr>
      </w:pPr>
    </w:p>
    <w:p>
      <w:pPr>
        <w:ind w:right="120" w:firstLine="8"/>
        <w:spacing w:after="0" w:line="287"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the costs associated with the issuance of our 2025 Notes. The presentation of this additional information is not meant to be considered in isolation or as a substitute for financial results prepared in accordance with GAAP.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9, 2013</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Thursday, May 9, 2013 to discuss its financial results. All interested parties are welcome to participate. You can access the conference call by dialing (888) 461-2021 approximately 5-10 minutes prior to the call. International callers should dial (719) 457-2089. All callers should reference PennantPark Investment Corporation. An archived replay of the call will be available through May 23, 2013 by calling (888) 203-1112. International callers please dial (719) 457-0820. For all phone replays, please reference conference ID #8422204.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of March 31, 2013, our portfolio totaled $1,114.9 million and consisted of $291.3 million of senior secured loans, $249.1 million of second lien secured debt, $427.6 million of subordinated debt and $146.9 million of preferred and common equity investments. Our debt portfolio consisted of 67% fixed-rate and 33% variable-rate investments (including 30% with a London Interbank Offered Rate, or LIBOR, or prime floor). Our overall portfolio consisted of 58 companies with an average investment size of $19.2 million, had a weighted average yield on debt investments of 13.5%, and was invested 26% in senior secured loans, 22% in second lien secured debt, 39% in subordinated debt and 13% in preferred and common equity investments.</w:t>
      </w:r>
    </w:p>
    <w:p>
      <w:pPr>
        <w:spacing w:after="0" w:line="150"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For the three months ended March 31, 2013, we invested $75.4 million in one new portfolio company and seven existing portfolio companies with a weighted average yield on debt investments of 13.5%. Sales and repayments of long-term investments for the three months ended March 31, 2013 totaled $42.5 million. During the three months ended March 31, 2013, we had one investment restructured after going on non-accrual status. For the six months ended March 31, 2013, we invested $243.8 million in six new and 14 existing portfolio companies with a weighted average yield of 12.9% on debt investments. Sales and repayments of long-term investments for the six months ended March 31, 2013 totaled $153.4 million.</w:t>
      </w:r>
    </w:p>
    <w:p>
      <w:pPr>
        <w:sectPr>
          <w:pgSz w:w="11900" w:h="16868" w:orient="portrait"/>
          <w:cols w:equalWidth="0" w:num="1">
            <w:col w:w="11220"/>
          </w:cols>
          <w:pgMar w:left="320" w:top="111" w:right="359" w:bottom="0" w:gutter="0" w:footer="0" w:header="0"/>
        </w:sectPr>
      </w:pPr>
    </w:p>
    <w:bookmarkStart w:id="3" w:name="page4"/>
    <w:bookmarkEnd w:id="3"/>
    <w:p>
      <w:pPr>
        <w:spacing w:after="0" w:line="282" w:lineRule="auto"/>
        <w:rPr>
          <w:sz w:val="20"/>
          <w:szCs w:val="20"/>
          <w:color w:val="auto"/>
        </w:rPr>
      </w:pPr>
      <w:r>
        <w:rPr>
          <w:rFonts w:ascii="Arial" w:cs="Arial" w:eastAsia="Arial" w:hAnsi="Arial"/>
          <w:sz w:val="19"/>
          <w:szCs w:val="19"/>
          <w:color w:val="auto"/>
        </w:rPr>
        <w:t>For the three months ended March 31, 2012, we invested $110.9 million in five new and four existing portfolio companies with a weighted average yield on debt investments of 13.2%. Sales and repayments of long-term investments for the three months ended March 31, 2012 totaled $49.3 million. For the six months ended March 31, 2012, we invested approximately $153.9 million in six new and 11 existing portfolio companies with a weighted average yield of 14.2% on debt investments. Sales and repayments of long-term investments for the six months ended March 31, 2012 totaled $118.5 million.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2013 and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Investment income for the three and six months ended March 31, 2013 was $31.0 million and $64.0 million, respectively, and was attributable to $9.2 million and $18.0 million from senior secured loans, $8.6 million and $15.0 million from second lien secured debt investments, $13.2 million and $29.7 million from subordinated debt investments, and zero and $1.3 million from common equity investments, respectively. This compares to investment income for the three and six months ended March 31, 2012 which was $26.4 million and $53.2 million, respectively, and was attributable to $9.4 million and $20.7 million from senior secured loans, $4.4 million and $8.5 million from second lien secured debt investments, and $12.6 million and $24.0 million from subordinated debt investments, respectively. The increase in investment income compared with the same period in the prior year was due to the growth of our portfolio which was funded through the issuance of shares and 6.25% senior notes due 2025, or 2025 Notes.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Expenses for the three and six months ended March 31, 2013 totaled $17.0 million and $31.8 million, respectively. Base management fees for the same periods totaled $5.3 million and $10.5 million, performance-based incentive fees totaled $3.6 million and $8.1 million, debt related interest and expenses (excluding the $2.4 million debt issuance expenses associated with the 2025 Notes) totaled $4.0 million and $7.1 million, general and administrative expenses and excise tax totaled $1.7 million and $3.7 million, respectively. This compares to expenses for the three and six months ended March 31, 2012, which totaled $16.6 million and $28.4 million, respectively. Base management fee for the same respective periods totaled $4.2 million and $8.2 million, performance-based incentive fees totaled $2.4 million and $6.1 million, Credit Facility and SBA Debentures interest and expenses (excluding the $5.4 million upfront fees associated with amending and restating our Credit Facility) totaled $2.7 million and $5.1 million, general and administrative expenses totaled $1.7 million and $3.3 million and excise taxes totaled $0.2 million and $0.3 million, respectively. The increase in expenses was due to the growth of the portfolio as well as the higher cost of debt capital.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Net investment income totaled $14.1 million and $32.2 million, or $0.21 and $0.49 per share, for the three and six months ended March 31, 2013, respectively. Core net investment income (excluding $2.4 million of 2025 Notes debt issuance costs), a non-GAAP financial measure, totaled $16.5 million and $34.7 million, or $0.25 and $0.53 per share, for the three and six months ended March 31, 2013, respectively. For the same respective periods in the prior year, net investment income totaled $9.8 million and $24.8 million, or $0.18 and $0.50 per share. The increase in net investment income compared to the same period in the prior year was primarily the result of the growth of our portfolio offset by the increased cost of debt capital.</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 or Losses</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Sales and repayments of long-term investments for the three and six months ended March 31, 2013 totaled $42.5 million and $153.4 million, respectively, and realized losses totaled $1.8 million and $1.0 million, respectively, due to sales and refinancing of our investments. Sales and repayments of long-term investments for the three and six months ended March 31, 2012 totaled $49.3 million and $118.5 million, respectively, and realized losses totaled $3.9 million and $12.0 million, respectively, due to sales and refinancing of our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Debt</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For the three and six months ended March 31, 2013, we reported unrealized appreciation on investments of $15.2 million and $25.2 million, respectively. For the three and six months ended March 31, 2012, we reported unrealized appreciation on investments of $20.8 million and $30.8 million, respectively. The change in unrealized appreciation for current periods compared to the prior periods is the result of changes in the leveraged credit markets. As of March 31, 2013 and September 30, 2012, our net unrealized appreciation (depreciation) on investments totaled $7.1 million and $(18.1) million, respectively.</w:t>
      </w:r>
    </w:p>
    <w:p>
      <w:pPr>
        <w:spacing w:after="0" w:line="147"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For the three and six months ended March 31, 2013, our Credit Facility and 2025 Notes changed in value due to unrealized appreciation of $0.4 million and $1.0 million, respectively. For the three and six months ended March 31, 2012, our Credit Facility increased in value due to unrealized appreciation of $0.2 million and $1.4 million, respectively. The change in unrealized appreciation for current periods compared to the prior periods is the result of issuing new debt capital and the resetting of our Credit Facility to current market rates. On March 31, 2013 and September 30, 2012, net unrealized depreciation on our Credit Facility totaled $0.4 million and $0.5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ectPr>
          <w:pgSz w:w="11900" w:h="16838" w:orient="portrait"/>
          <w:cols w:equalWidth="0" w:num="1">
            <w:col w:w="11220"/>
          </w:cols>
          <w:pgMar w:left="320" w:top="118" w:right="359" w:bottom="0" w:gutter="0" w:footer="0" w:header="0"/>
        </w:sectPr>
      </w:pPr>
    </w:p>
    <w:bookmarkStart w:id="4" w:name="page5"/>
    <w:bookmarkEnd w:id="4"/>
    <w:p>
      <w:pPr>
        <w:spacing w:after="0" w:line="10"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Net increase in net assets resulting from operations totaled $27.0 million and $55.5 million, or $0.41 per share and $0.84 per share, for the three and six months ended March 31, 2013, respectively. This compares to a net increase in net assets resulting from operations which totaled $26.4 million and $42.2 million, or $0.50 per share and $0.85 per share, for the three and six months ended March 31, 2012, respectively. The change in net assets from operations is due to both unrealized appreciation on investments and net investment income.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Our liquidity and capital resources are derived primarily from proceeds of securities offerings, our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debt capital and proceeds from the rotation of our portfolio and proceeds from public and private offerings of securities to finance our investment objectives.</w:t>
      </w:r>
    </w:p>
    <w:p>
      <w:pPr>
        <w:spacing w:after="0" w:line="178"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As of March 31, 2013 and September 30, 2012, we had $171.7 million (including a temporary draw of $3.5 million) and $145.0 million (including a temporary draw of $35.5 million), respectively, in outstanding borrowings under the Credit Facility, with a weighted average interest rate of 3.04% and 3.49%, respectively, exclusive of the fee on undrawn commitments of 0.50%.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As of March 31, 2013 we had $71.3 million of 2025 Notes outstanding with a fixed interest rate of 6.25%.</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As of March 31, 2013 and September 30, 2012, $150.0 million in SBA debt commitments were fully drawn with a weighted average interest rate of 3.70%, exclusive of the 3.43% in upfront fees (4.04% after upfront fees). The SBA debentures upfront fees of 3.43% consist of a commitment fee of 1.00% and an issuance discount of 2.43%. Both fees are being amortized over the lives of the loans.</w:t>
      </w:r>
    </w:p>
    <w:p>
      <w:pPr>
        <w:spacing w:after="0" w:line="185"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Our operating activities used cash of $63.1 million for the six months ended March 31, 2013, primarily for net purchases of investments. Our financing activities provided cash of $72.9 million for the same period, primarily from the proceeds of the issuance of the 2025 Notes.</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$44.0 million for the six months ended March 31, 2012, primarily for net purchases of investments. Our financing activities used cash of $0.6 million for the same period and used proceeds from the equity offering to pay down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and six months ended March 31, 2013 we declared distributions of $0.28 and $0.56 per share, respectively, for total distributions of $18.6 million and $37.2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On April 29, 2013, we utilized the accordion feature of our Credit Facility and expanded the facility by $50 million, bringing the size of our Credit Facility to $430 million.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0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PENNANTPARK INVESTMENT CORPORATION AND SUBSIDIARIES CONSOLIDATED STATEMENTS</w:t>
      </w:r>
    </w:p>
    <w:p>
      <w:pPr>
        <w:spacing w:after="0" w:line="16"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March 31, 2013</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 -</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$917,043,333 and $871,867,953,</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971,792,490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871,892,745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 - $126,891,564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$72,576,858,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105,565,435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80,955,257</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 - $63,870,076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$64,167,051,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37,519,282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37,631,708</w:t>
            </w:r>
          </w:p>
        </w:tc>
      </w:tr>
      <w:tr>
        <w:trPr>
          <w:trHeight w:val="202"/>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at fair value (cost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49"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 $1,107,804,973 and $1,008,611,862,</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1,114,877,207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990,479,710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17,333,318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7,559,453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14,621,482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14,928,862</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5,444,939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5,999,506</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1,152,276,946</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1,018,967,531</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18,592,349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15,824,061</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2,935,322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26,801,667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26,935,270</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Credit Facility payable (cost - $171,700,000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$145,000,000, respectively)</w:t>
            </w: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171,700,000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144,452,500</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SBA debentures payable (cost - $150,000,000)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150,000,000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2025 Notes payable (cost - $71,250,000)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71,677,500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1,809,052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854,725</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Management fee payable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5,328,100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4,791,913</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3,559,245</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4,206,989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Accrued other expenses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2,497,403</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2,185,026</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454,900,638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349,250,484</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66,401,248 and 65,514,503</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66,401</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65,514</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754,021,968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744,704,825</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(Distributions in excess of) Undistributed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investment income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(2,124,126)</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2,804,397</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loss on investments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(61,232,669)</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(60,273,037)</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7,072,234</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(18,132,152)</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(427,500)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4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697,376,308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669,717,047</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Total liabilities and net assets</w:t>
            </w: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$1,152,276,946</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$1,018,967,531</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w:t>
            </w:r>
          </w:p>
        </w:tc>
      </w:tr>
      <w:tr>
        <w:trPr>
          <w:trHeight w:val="203"/>
        </w:trPr>
        <w:tc>
          <w:tcPr>
            <w:tcW w:w="2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8020" w:type="dxa"/>
            <w:vAlign w:val="bottom"/>
            <w:gridSpan w:val="6"/>
          </w:tcPr>
          <w:p>
            <w:pPr>
              <w:jc w:val="center"/>
              <w:ind w:right="1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r>
      <w:tr>
        <w:trPr>
          <w:trHeight w:val="203"/>
        </w:trPr>
        <w:tc>
          <w:tcPr>
            <w:tcW w:w="6440" w:type="dxa"/>
            <w:vAlign w:val="bottom"/>
            <w:gridSpan w:val="4"/>
          </w:tcPr>
          <w:p>
            <w:pPr>
              <w:jc w:val="center"/>
              <w:ind w:left="13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380" w:type="dxa"/>
            <w:vAlign w:val="bottom"/>
          </w:tcPr>
          <w:p>
            <w:pPr>
              <w:spacing w:after="0"/>
              <w:rPr>
                <w:sz w:val="17"/>
                <w:szCs w:val="17"/>
                <w:color w:val="auto"/>
              </w:rPr>
            </w:pPr>
          </w:p>
        </w:tc>
        <w:tc>
          <w:tcPr>
            <w:tcW w:w="2680" w:type="dxa"/>
            <w:vAlign w:val="bottom"/>
            <w:gridSpan w:val="2"/>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2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96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380" w:type="dxa"/>
            <w:vAlign w:val="bottom"/>
          </w:tcPr>
          <w:p>
            <w:pPr>
              <w:spacing w:after="0"/>
              <w:rPr>
                <w:sz w:val="17"/>
                <w:szCs w:val="17"/>
                <w:color w:val="auto"/>
              </w:rPr>
            </w:pPr>
          </w:p>
        </w:tc>
        <w:tc>
          <w:tcPr>
            <w:tcW w:w="2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c>
          <w:tcPr>
            <w:tcW w:w="29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38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2013</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2013</w:t>
            </w:r>
          </w:p>
        </w:tc>
        <w:tc>
          <w:tcPr>
            <w:tcW w:w="1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23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$ 28,058,570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$24,310,488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$53,827,187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$ 48,330,912</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and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876,680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1,084,688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5,242,954</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2,955,202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938,261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549,594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2,330,764</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1,122,525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227,800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1,183,750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416,889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2,386,457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791,778</w:t>
            </w:r>
          </w:p>
        </w:tc>
      </w:tr>
      <w:tr>
        <w:trPr>
          <w:trHeight w:val="203"/>
        </w:trPr>
        <w:tc>
          <w:tcPr>
            <w:tcW w:w="23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31,057,261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26,361,659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64,015,162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53,200,417</w:t>
            </w:r>
          </w:p>
        </w:tc>
      </w:tr>
      <w:tr>
        <w:trPr>
          <w:trHeight w:val="203"/>
        </w:trPr>
        <w:tc>
          <w:tcPr>
            <w:tcW w:w="23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5,328,100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4,178,151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10,456,711</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8,221,432</w:t>
            </w:r>
          </w:p>
        </w:tc>
      </w:tr>
      <w:tr>
        <w:trPr>
          <w:trHeight w:val="202"/>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3,559,244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2,374,842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8,104,498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6,123,970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3,984,909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2,736,619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7,079,774</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5,111,742</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1,155,537</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808,303</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2,327,859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1,605,656</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719,423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897,849</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1,479,955</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1,740,194</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14,747,213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10,995,764</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29,448,797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22,802,994</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(credit)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(190,197)</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245,000</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(114,896)</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280,000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2,437,500</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5,361,319</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2,437,500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5,361,319</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16,994,516</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16,602,083</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31,771,401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28,444,313</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14,062,745</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9,759,576</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32,243,761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24,756,104</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investments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(loss)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(1,830,764)</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(3,922,455)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(959,632)</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(11,952,011)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26,227,226</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22,470,558</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32,289,547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30,535,339</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 non-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(11,059,378)</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(1,692,070)</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(7,085,161)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269,576</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appreciation</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(427,500)</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(217,500)</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(975,000)</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(1,365,375)</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14,740,348</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20,560,988</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24,229,386</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29,439,540</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 from</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12,909,584</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16,638,533</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23,269,754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17,487,529</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$ 26,972,329</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$26,398,109</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$55,513,515</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$ 42,243,633</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operations per common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0.50</w:t>
            </w:r>
          </w:p>
        </w:tc>
      </w:tr>
      <w:tr>
        <w:trPr>
          <w:trHeight w:val="203"/>
        </w:trPr>
        <w:tc>
          <w:tcPr>
            <w:tcW w:w="238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We may use words such as "anticipates," "believes," "expects," "intends," "seeks," "plans," "estimates" and similar expressions to identify forward-looking statements. Such statements are based on currently available operating, financial and competitive</w:t>
      </w:r>
    </w:p>
    <w:p>
      <w:pPr>
        <w:sectPr>
          <w:pgSz w:w="11900" w:h="16927" w:orient="portrait"/>
          <w:cols w:equalWidth="0" w:num="1">
            <w:col w:w="11220"/>
          </w:cols>
          <w:pgMar w:left="320" w:top="136" w:right="359" w:bottom="0" w:gutter="0" w:footer="0" w:header="0"/>
        </w:sectPr>
      </w:pPr>
    </w:p>
    <w:bookmarkStart w:id="7" w:name="page8"/>
    <w:bookmarkEnd w:id="7"/>
    <w:p>
      <w:pPr>
        <w:spacing w:after="0" w:line="238" w:lineRule="auto"/>
        <w:rPr>
          <w:sz w:val="20"/>
          <w:szCs w:val="20"/>
          <w:color w:val="auto"/>
        </w:rPr>
      </w:pPr>
      <w:r>
        <w:rPr>
          <w:rFonts w:ascii="Arial" w:cs="Arial" w:eastAsia="Arial" w:hAnsi="Arial"/>
          <w:sz w:val="22"/>
          <w:szCs w:val="22"/>
          <w:color w:val="auto"/>
        </w:rPr>
        <w:t>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2020-05-05T15:07:02Z</dcterms:created>
  <dcterms:modified xsi:type="dcterms:W3CDTF">2020-05-05T15:07:02Z</dcterms:modified>
</cp:coreProperties>
</file>