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06, 2009</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140"/>
        <w:spacing w:after="0" w:line="328" w:lineRule="auto"/>
        <w:rPr>
          <w:sz w:val="20"/>
          <w:szCs w:val="20"/>
          <w:color w:val="auto"/>
        </w:rPr>
      </w:pPr>
      <w:r>
        <w:rPr>
          <w:rFonts w:ascii="Arial" w:cs="Arial" w:eastAsia="Arial" w:hAnsi="Arial"/>
          <w:sz w:val="19"/>
          <w:szCs w:val="19"/>
          <w:color w:val="auto"/>
        </w:rPr>
        <w:t>On May 6, 2009, PennantPark Investment Corporation issued a press release announcing its financial results for quarter ended March 31, 2009. A copy of the press release is furnished as exhibit 99.1 to this report pursuant to Item 2.02 and Regulation FD.</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00" w:lineRule="exact"/>
        <w:rPr>
          <w:sz w:val="24"/>
          <w:szCs w:val="24"/>
          <w:color w:val="auto"/>
        </w:rPr>
      </w:pPr>
    </w:p>
    <w:p>
      <w:pPr>
        <w:spacing w:after="0" w:line="24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May 06, 2009</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57"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06, 2009</w:t>
            </w:r>
          </w:p>
        </w:tc>
        <w:tc>
          <w:tcPr>
            <w:tcW w:w="6720" w:type="dxa"/>
            <w:vAlign w:val="bottom"/>
            <w:gridSpan w:val="3"/>
          </w:tcPr>
          <w:p>
            <w:pPr>
              <w:ind w:left="19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20" w:type="dxa"/>
            <w:vAlign w:val="bottom"/>
          </w:tcPr>
          <w:p>
            <w:pPr>
              <w:spacing w:after="0"/>
              <w:rPr>
                <w:sz w:val="24"/>
                <w:szCs w:val="24"/>
                <w:color w:val="auto"/>
              </w:rPr>
            </w:pPr>
          </w:p>
        </w:tc>
        <w:tc>
          <w:tcPr>
            <w:tcW w:w="672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72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72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May 06, 2009</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396"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March 31, 2009</w:t>
      </w:r>
    </w:p>
    <w:p>
      <w:pPr>
        <w:spacing w:after="0" w:line="213" w:lineRule="exact"/>
        <w:rPr>
          <w:sz w:val="20"/>
          <w:szCs w:val="20"/>
          <w:color w:val="auto"/>
        </w:rPr>
      </w:pPr>
    </w:p>
    <w:p>
      <w:pPr>
        <w:ind w:right="720"/>
        <w:spacing w:after="0" w:line="274" w:lineRule="auto"/>
        <w:rPr>
          <w:sz w:val="20"/>
          <w:szCs w:val="20"/>
          <w:color w:val="auto"/>
        </w:rPr>
      </w:pPr>
      <w:r>
        <w:rPr>
          <w:rFonts w:ascii="Arial" w:cs="Arial" w:eastAsia="Arial" w:hAnsi="Arial"/>
          <w:sz w:val="21"/>
          <w:szCs w:val="21"/>
          <w:color w:val="auto"/>
        </w:rPr>
        <w:t>NEW YORK, NY -- (Marketwire - May 06, 2009) - PennantPark Investment Corporation (the "Company," "we," or "us") (NASDAQ: PNNT) today announces financial results for its second fiscal quarter ended March 31, 2009.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March 31, 2009</w:t>
      </w:r>
    </w:p>
    <w:p>
      <w:pP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spacing w:after="0"/>
              <w:rPr>
                <w:sz w:val="20"/>
                <w:szCs w:val="20"/>
                <w:color w:val="auto"/>
              </w:rPr>
            </w:pPr>
            <w:r>
              <w:rPr>
                <w:rFonts w:ascii="Courier New" w:cs="Courier New" w:eastAsia="Courier New" w:hAnsi="Courier New"/>
                <w:sz w:val="18"/>
                <w:szCs w:val="18"/>
                <w:color w:val="auto"/>
              </w:rPr>
              <w:t>Investment portfolio</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363.5</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252.9</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Credit Facility (cost $187.7)</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125.3</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Investment portfolio composition and yield:</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6480" w:type="dxa"/>
            <w:vAlign w:val="bottom"/>
          </w:tcPr>
          <w:p>
            <w:pPr>
              <w:ind w:left="540"/>
              <w:spacing w:after="0"/>
              <w:rPr>
                <w:sz w:val="20"/>
                <w:szCs w:val="20"/>
                <w:color w:val="auto"/>
              </w:rPr>
            </w:pPr>
            <w:r>
              <w:rPr>
                <w:rFonts w:ascii="Courier New" w:cs="Courier New" w:eastAsia="Courier New" w:hAnsi="Courier New"/>
                <w:sz w:val="18"/>
                <w:szCs w:val="18"/>
                <w:color w:val="auto"/>
              </w:rPr>
              <w:t>Senior secured debt, subordinated debt, second lien</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6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secured debt and equity (core)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313.7</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Senior secured debt (non-core)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49.8</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Weighted average yield on debt</w:t>
            </w:r>
          </w:p>
        </w:tc>
        <w:tc>
          <w:tcPr>
            <w:tcW w:w="7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Weighted average yield on core investments</w:t>
            </w:r>
          </w:p>
        </w:tc>
        <w:tc>
          <w:tcPr>
            <w:tcW w:w="7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Weighted average yield on non-core investments</w:t>
            </w:r>
          </w:p>
        </w:tc>
        <w:tc>
          <w:tcPr>
            <w:tcW w:w="7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0.25</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0.24</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Purchase of long term investments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Sales and repayments of long term investments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r>
      <w:tr>
        <w:trPr>
          <w:trHeight w:val="405"/>
        </w:trPr>
        <w:tc>
          <w:tcPr>
            <w:tcW w:w="6480" w:type="dxa"/>
            <w:vAlign w:val="bottom"/>
          </w:tcPr>
          <w:p>
            <w:pPr>
              <w:ind w:left="54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74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74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Number of portfolio companies at end of period</w:t>
            </w:r>
          </w:p>
        </w:tc>
        <w:tc>
          <w:tcPr>
            <w:tcW w:w="74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CONFERENCE CALL AT 10:00 A.M. ET ON MAY 7, 2009</w:t>
      </w: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Company will host a conference call at 10:00 a.m. (Eastern Time) on Thursday, May 7, 2009 to discuss the quarterly results. All interested parties are welcome to participate. You can access the conference call by dialing (877) 741-4249 approximately 5-10 minutes prior to the call. International callers should dial (719) 325-4837. All callers should reference PennantPark Investment Corporation. An archived replay of the call will be available through May 21, 2009 by calling (888) 203-1112. International callers please dial (719) 457-0820. For all replays, please reference conference ID #3274739.</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PORTFOLIO AND INVESTMENT ACTIVITY</w:t>
      </w:r>
    </w:p>
    <w:p>
      <w:pPr>
        <w:spacing w:after="0" w:line="206"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As of March 31, 2009, our portfolio totaled $363.5 million and consisted of $77.2 million of senior secured loans, $103.5 million of second lien secured debt, $158.4 million of subordinated debt, $10.1 million of preferred equity and $14.3 million of common equity investments. This compares to our portfolio as of September 30, 2008, which totaled $372.1 million and consisted of $78.8 million of senior secured loans, $104.2 million of second lien secured debt, $166.2 million of subordinated debt, $9.3 million of preferred equity and $13.6 million of common equity investments.</w:t>
      </w:r>
    </w:p>
    <w:p>
      <w:pPr>
        <w:spacing w:after="0" w:line="17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Our core assets totaled $313.7 million and consisted of investments in twenty-one different companies with an average investment size of $14.9 million per company and a weighted average yield of 11.6% on debt investments as of March 31, 2009. This compares to our core assets as of September 30, 2008, which totaled $305.5 million and consisted of investments in nineteen different companies with an average investment size of $16.1 million per company and a weighted average yield of 12.5% on debt investments.</w:t>
      </w:r>
    </w:p>
    <w:p>
      <w:pPr>
        <w:spacing w:after="0" w:line="187"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As of March 31, 2009, our non-core senior secured loan portfolio totaled $49.8 million and consisted of fifteen different companies (including one company also in our core portfolio) with an average investment size of $3.3 million and a weighted average yield of 3.1% on debt investments. This compares to our non-core assets as of September 30, 2008, which totaled $66.6 million and consisted of nineteen different companies (including one company also in our core portfolio) with an average investment size of $3.5 million and a weighted average yield of 5.2% on debt investments.</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Our overall portfolio consisted of thirty-five companies with an average investment size of $10.4 million and a weighted average yield on debt investments of 10.1%. The portfolio was invested 21% in senior secured loans, 28% in second lien secured debt, 44% in subordinated debt, 3% in preferred equity and 4% in common equity investments as of March 31, 2009. This compares to our overall portfolio as of September 30, 2008, which consisted of thirty-seven companies with an average investment size of $10.1 million and a weighted average yield on debt investments of 11.1%, and was invested 21% in senior secured loans, 28% in second lien secured debt, 45% in subordinated debt, 2% in preferred equity and 4% in common equity.</w:t>
      </w:r>
    </w:p>
    <w:p>
      <w:pPr>
        <w:spacing w:after="0" w:line="150"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For the three months ending March 31, 2009 and 2008, our portfolio had unrealized appreciation of $27.3 million and unrealized depreciation of $37.8 million, respectively.</w:t>
      </w:r>
    </w:p>
    <w:p>
      <w:pPr>
        <w:sectPr>
          <w:pgSz w:w="11900" w:h="16838" w:orient="portrait"/>
          <w:cols w:equalWidth="0" w:num="1">
            <w:col w:w="11240"/>
          </w:cols>
          <w:pgMar w:left="320" w:top="111" w:right="339" w:bottom="0" w:gutter="0" w:footer="0" w:header="0"/>
        </w:sectPr>
      </w:pPr>
    </w:p>
    <w:bookmarkStart w:id="3" w:name="page4"/>
    <w:bookmarkEnd w:id="3"/>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For the three months ended March 31, 2009, we invested $14.5 million, in one new and one existing portfolio company, with an average yield of 21.5% on debt investments. Sales and repayments of long-term investments totaled $3.3 million for the same period. This compares to the three months ended March 31, 2008, in which we invested $31.5 million in two new companies with an average yield of 14.4% on the debt investments. Sales and repayments of long-term investments for the three months ended March 31, 2008 totaled $0.9 million.</w:t>
      </w:r>
    </w:p>
    <w:p>
      <w:pPr>
        <w:spacing w:after="0" w:line="188"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"We are generally pleased with the performance of our portfolio in this challenging market and economic environment," said Arthur Penn, Chairman and Chief Executive Officer. "Our underlying portfolio companies generally have strong interest coverage that is paid to us as interest income which covers our dividend. The new investments we made during the quarter ended March 31st and in this quarter should help us grow income. Additionally, we have ample liquidity to make new investments to continue to grow income."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 periods ended March 31, 2009 and 2008.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Investment Income</w:t>
      </w:r>
    </w:p>
    <w:p>
      <w:pPr>
        <w:spacing w:after="0" w:line="206" w:lineRule="exact"/>
        <w:rPr>
          <w:sz w:val="20"/>
          <w:szCs w:val="20"/>
          <w:color w:val="auto"/>
        </w:rPr>
      </w:pPr>
    </w:p>
    <w:p>
      <w:pPr>
        <w:ind w:right="120"/>
        <w:spacing w:after="0" w:line="246" w:lineRule="auto"/>
        <w:rPr>
          <w:sz w:val="20"/>
          <w:szCs w:val="20"/>
          <w:color w:val="auto"/>
        </w:rPr>
      </w:pPr>
      <w:r>
        <w:rPr>
          <w:rFonts w:ascii="Arial" w:cs="Arial" w:eastAsia="Arial" w:hAnsi="Arial"/>
          <w:sz w:val="21"/>
          <w:szCs w:val="21"/>
          <w:color w:val="auto"/>
        </w:rPr>
        <w:t>Investment income for the three months ended March 31, 2009 and 2008, was $10.4 million and $9.7 million, respectively. Investment income for the three months ended March 31, 2009 was primarily attributed to $4.3 million from senior secured loan investments, $3.4 million from second lien secured debt investments, and $2.5 million from subordinated debt investments. Investment income for the three months ended March 31, 2008 was primarily attributed to $3.7 million from to senior secured loan investments, $3.9 million from second lien secured debt investments, and $1.8 million from subordinated debt investments. The remaining investment income for the same periods was primarily attributed to interest income from short-term investments and to net accretion of discount and amortization of premium.</w:t>
      </w:r>
    </w:p>
    <w:p>
      <w:pPr>
        <w:spacing w:after="0" w:line="184"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Investment income for the six months ended March 31, 2009 and 2008, was $22.5 million and $18.7 million, respectively. Investment income for the six months ended March 31, 2009 was primarily attributed to $9.3 million from senior secured loan investments, $7.3 million from second lien secured debt investments, and $5.0 million from subordinated debt investments. Investment income for the six months ended March 31, 2008 was primarily attributed to $7.9 million from to senior secured loan investments, $6.8 million from second lien secured debt investments, and $3.5 million from subordinated debt investments. The remaining investment income for the six months ended March 31, 2009 and 2008 of $0.9 million and $0.5 million, respectively, was primarily attributed to interest income from short-term investments and to net accretion of discount and amortization of premium.</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Net Expenses</w:t>
      </w:r>
    </w:p>
    <w:p>
      <w:pPr>
        <w:spacing w:after="0" w:line="206"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Net expenses for the three months ended March 31, 2009 and 2008 totaled $5.2 million and $5.3 million, respectively. Of these totals $1.8 million and $1.5 million were attributable to base management fees, $1.3 million and $1.0 million were attributable to performance-based incentive fees, $1.2 million and $1.7 million were attributable to credit facility related expenses, and $0.9 million and $1.1 million were attributable to general and administrative expenses, respectively.</w:t>
      </w:r>
    </w:p>
    <w:p>
      <w:pPr>
        <w:spacing w:after="0" w:line="143"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Net expenses for the six months ended March 31, 2009 and 2008, totaled $11.5 million and $9.5 million, respectively. Of these totals $3.6 million and $2.9 million were attributable to base management fees, $2.8 million and $1.4 million were attributable to performance-based incentive fees, $3.0 million and $2.8 million were attributable to credit facility related expenses, and $2.1 million and $2.4 million were attributable to general and administrative expenses,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Net Investment Income</w:t>
      </w:r>
    </w:p>
    <w:p>
      <w:pPr>
        <w:spacing w:after="0" w:line="206" w:lineRule="exact"/>
        <w:rPr>
          <w:sz w:val="20"/>
          <w:szCs w:val="20"/>
          <w:color w:val="auto"/>
        </w:rPr>
      </w:pPr>
    </w:p>
    <w:p>
      <w:pPr>
        <w:ind w:right="40"/>
        <w:spacing w:after="0"/>
        <w:rPr>
          <w:sz w:val="20"/>
          <w:szCs w:val="20"/>
          <w:color w:val="auto"/>
        </w:rPr>
      </w:pPr>
      <w:r>
        <w:rPr>
          <w:rFonts w:ascii="Arial" w:cs="Arial" w:eastAsia="Arial" w:hAnsi="Arial"/>
          <w:sz w:val="22"/>
          <w:szCs w:val="22"/>
          <w:color w:val="auto"/>
        </w:rPr>
        <w:t>Net investment income totaled $5.3 million and $11.0 million, or $0.25 and $0.52 per share, respectively, for the three and six months ended March 31, 2009, and $4.4 million and $9.2 million, or $0.21 and $0.44 per share, respectively, for the three and six months ended March 31, 2008.</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Net Realized Loss</w:t>
      </w:r>
    </w:p>
    <w:p>
      <w:pPr>
        <w:spacing w:after="0" w:line="206"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Sales and repayments of long-term investments for the three and six months ended March 31, 2009 totaled $3.3 million and $5.5 million, and realized losses totaled $5.3 million and $6.1 million, respectively, due to the sale of senior secured loans. Sales and repayments of long-term investments totaled approximately $0.9 million and $5.2 million, and net realized losses totaled approximately $8,500 and $219,000, respectively, for the three and six months ended March 31, 2008.</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Net Unrealized Appreciation/Depreciation on Investments, cash equivalents and credit facility</w:t>
      </w:r>
    </w:p>
    <w:p>
      <w:pPr>
        <w:spacing w:after="0" w:line="206"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For the three and six months ended March 31, 2009, the Company's investments had a net unrealized appreciation of $27.3 million and a net unrealized depreciation of $15.1 million, respectively. For the three and six months ended March 31, 2009, the Company's credit facility experienced a net unrealized depreciation of $14.9 million and $20.6 million, respectively. For the three and six months ended March 31, 2008, the Company's investments and cash equivalents had a net increase in unrealized depreciation of $37.8 million and $53.8 million, respectively.</w:t>
      </w:r>
    </w:p>
    <w:p>
      <w:pPr>
        <w:spacing w:after="0" w:line="187" w:lineRule="exact"/>
        <w:rPr>
          <w:sz w:val="20"/>
          <w:szCs w:val="20"/>
          <w:color w:val="auto"/>
        </w:rPr>
      </w:pPr>
    </w:p>
    <w:p>
      <w:pPr>
        <w:ind w:right="560"/>
        <w:spacing w:after="0" w:line="328" w:lineRule="auto"/>
        <w:rPr>
          <w:sz w:val="20"/>
          <w:szCs w:val="20"/>
          <w:color w:val="auto"/>
        </w:rPr>
      </w:pPr>
      <w:r>
        <w:rPr>
          <w:rFonts w:ascii="Arial" w:cs="Arial" w:eastAsia="Arial" w:hAnsi="Arial"/>
          <w:sz w:val="19"/>
          <w:szCs w:val="19"/>
          <w:color w:val="auto"/>
        </w:rPr>
        <w:t>On March 31, 2009 and September 30, 2008, net unrealized depreciation on investments and cash equivalents totaled $87.1 million and $72.0 million, respectively, primarily due to the continued downturn in the leveraged finance credit market. On</w:t>
      </w:r>
    </w:p>
    <w:p>
      <w:pPr>
        <w:sectPr>
          <w:pgSz w:w="11900" w:h="17008" w:orient="portrait"/>
          <w:cols w:equalWidth="0" w:num="1">
            <w:col w:w="11240"/>
          </w:cols>
          <w:pgMar w:left="320" w:top="118" w:right="33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March 31, 2009 unrealized depreciation on the credit facility was $62.4 million.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Net Increase/Decrease in Net Assets from Operations</w:t>
      </w:r>
    </w:p>
    <w:p>
      <w:pPr>
        <w:spacing w:after="0" w:line="206"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Net increase in net assets resulting from operations totaled $42.2 million and $10.4 million, or $2.00 per share and $0.49 per share, respectively, for the three and six months ended March 31, 2009, primarily due to an increase in investment values and a decline in the market value of our credit facility.</w:t>
      </w:r>
    </w:p>
    <w:p>
      <w:pPr>
        <w:spacing w:after="0" w:line="186" w:lineRule="exact"/>
        <w:rPr>
          <w:sz w:val="20"/>
          <w:szCs w:val="20"/>
          <w:color w:val="auto"/>
        </w:rPr>
      </w:pPr>
    </w:p>
    <w:p>
      <w:pPr>
        <w:jc w:val="both"/>
        <w:ind w:right="700"/>
        <w:spacing w:after="0"/>
        <w:rPr>
          <w:sz w:val="20"/>
          <w:szCs w:val="20"/>
          <w:color w:val="auto"/>
        </w:rPr>
      </w:pPr>
      <w:r>
        <w:rPr>
          <w:rFonts w:ascii="Arial" w:cs="Arial" w:eastAsia="Arial" w:hAnsi="Arial"/>
          <w:sz w:val="22"/>
          <w:szCs w:val="22"/>
          <w:color w:val="auto"/>
        </w:rPr>
        <w:t>Net decrease in net assets resulting from operations totaled $33.3 million and $44.9 million, or $1.58 and $2.13 per share, respectively, for the three and six months ended March 31, 2008, primarily due to the overall decline in market values for investments held in our portfolio.</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LIQUIDITY AND CAPITAL RESOURCES</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Our liquidity and capital resources are generated primarily through its senior secured, multi-currency, $300 million, five-year revolving credit facility maturing in June 2012 as well as from cash flows from operations, investment sales and prepayments, and income earned from investments and cash equivalents. On March 31, 2009, we had $187.7 million in borrowings outstanding with a fair market value under GAAP of $125.3 million, and had cash equivalents of $29.9 million.</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During the six months ended March 31, 2009, we generated operating cash flows primarily from interest earned on debt investments, and our primary use of funds for operations during the same period consisted of investments in portfolio companies, payments of fees and other operating expenses we incurred. Our operating activities resulted in net cash inflows of $4.1 million and $14.1 million, respectively, for the three and six months ended March 31, 2009, and our financing activities resulted in a net cash outflow of $25.3 million and $24.4 million for the same periods, primarily from repayments under our credit facility.</w:t>
      </w:r>
    </w:p>
    <w:p>
      <w:pPr>
        <w:spacing w:after="0" w:line="147"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During the six months ended March 31, 2008, we generated operating cash flows primarily from interest earned on debt investments, and our primary use of funds for operations during the same period consisted of investments in portfolio companies, payments of fees and other operating expenses we incurred. Our operating activities resulted in a net cash outflow of $98.9 million and $351.9 million, respectively, for the three and six months ended March 31, 2008, and our financing activities resulted in a net cash inflow of $98.3 million and $175.2 million for the same periods, primarily from borrowings under our credit facility.</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DISTRIBUTIONS</w:t>
      </w:r>
    </w:p>
    <w:p>
      <w:pPr>
        <w:spacing w:after="0" w:line="206"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Distributions declared to stockholders for the three and six months ended March 31, 2009 totaled $5.1 million and $10.1 million or $0.24 and $0.48 per share, respectively. Distributions declared to stockholders for the three and six months ended March 31, 2008 totaled $4.6 million and $9.3 million or $0.22 and $0.44 per share,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color w:val="auto"/>
        </w:rPr>
        <w:t>Tax characteristics of all dividends will be reported to stockholders on form 1099-DIV after the end of the calendar year.</w:t>
      </w:r>
    </w:p>
    <w:p>
      <w:pPr>
        <w:spacing w:after="0" w:line="236"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8"/>
          <w:szCs w:val="18"/>
          <w:color w:val="auto"/>
        </w:rPr>
        <w:t>PENNANTPARK INVESTMENT CORPORATION</w:t>
      </w:r>
    </w:p>
    <w:p>
      <w:pPr>
        <w:jc w:val="center"/>
        <w:ind w:right="3420"/>
        <w:spacing w:after="0" w:line="238" w:lineRule="auto"/>
        <w:rPr>
          <w:sz w:val="20"/>
          <w:szCs w:val="20"/>
          <w:color w:val="auto"/>
        </w:rPr>
      </w:pPr>
      <w:r>
        <w:rPr>
          <w:rFonts w:ascii="Courier New" w:cs="Courier New" w:eastAsia="Courier New" w:hAnsi="Courier New"/>
          <w:sz w:val="18"/>
          <w:szCs w:val="18"/>
          <w:color w:val="auto"/>
        </w:rPr>
        <w:t>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17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March 31, 2009</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440" w:type="dxa"/>
            <w:vAlign w:val="bottom"/>
          </w:tcPr>
          <w:p>
            <w:pPr>
              <w:spacing w:after="0"/>
              <w:rPr>
                <w:sz w:val="17"/>
                <w:szCs w:val="17"/>
                <w:color w:val="auto"/>
              </w:rPr>
            </w:pPr>
          </w:p>
        </w:tc>
        <w:tc>
          <w:tcPr>
            <w:tcW w:w="1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2008</w:t>
            </w:r>
          </w:p>
        </w:tc>
      </w:tr>
      <w:tr>
        <w:trPr>
          <w:trHeight w:val="203"/>
        </w:trPr>
        <w:tc>
          <w:tcPr>
            <w:tcW w:w="4440" w:type="dxa"/>
            <w:vAlign w:val="bottom"/>
          </w:tcPr>
          <w:p>
            <w:pPr>
              <w:spacing w:after="0"/>
              <w:rPr>
                <w:sz w:val="17"/>
                <w:szCs w:val="17"/>
                <w:color w:val="auto"/>
              </w:rPr>
            </w:pP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 $433,594,451 and</w:t>
            </w:r>
          </w:p>
        </w:tc>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$427,481,745, respectively)</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347,599,004</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354,261,950</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Non-controlled, affiliated investments,</w:t>
            </w:r>
          </w:p>
        </w:tc>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at fair value (cost -- $17,024,962 and</w:t>
            </w:r>
          </w:p>
        </w:tc>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$16,692,261, respectively)</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15,898,202</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17,885,870</w:t>
            </w:r>
          </w:p>
        </w:tc>
      </w:tr>
      <w:tr>
        <w:trPr>
          <w:trHeight w:val="203"/>
        </w:trPr>
        <w:tc>
          <w:tcPr>
            <w:tcW w:w="444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investments at fair value</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363,497,206</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372,147,820</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29,906,268</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40,249,201</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6,734,435</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6,046,199</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1,110,498</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1,367,479</w:t>
            </w:r>
          </w:p>
        </w:tc>
      </w:tr>
      <w:tr>
        <w:trPr>
          <w:trHeight w:val="203"/>
        </w:trPr>
        <w:tc>
          <w:tcPr>
            <w:tcW w:w="444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assets</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401,248,407</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419,810,699</w:t>
            </w:r>
          </w:p>
        </w:tc>
      </w:tr>
      <w:tr>
        <w:trPr>
          <w:trHeight w:val="203"/>
        </w:trPr>
        <w:tc>
          <w:tcPr>
            <w:tcW w:w="4440" w:type="dxa"/>
            <w:vAlign w:val="bottom"/>
          </w:tcPr>
          <w:p>
            <w:pPr>
              <w:spacing w:after="0"/>
              <w:rPr>
                <w:sz w:val="17"/>
                <w:szCs w:val="17"/>
                <w:color w:val="auto"/>
              </w:rPr>
            </w:pP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5,056,505</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5,056,505</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9,257,269</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4,665,231</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(fair value:</w:t>
            </w:r>
          </w:p>
        </w:tc>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$125,254,911 and $160,204,000,</w:t>
            </w:r>
          </w:p>
        </w:tc>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 (cost: $187,700,000 and</w:t>
            </w:r>
          </w:p>
        </w:tc>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2"/>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$202,000,000, respectively)</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125,254,911</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202,000,000</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74,128</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725,317</w:t>
            </w:r>
          </w:p>
        </w:tc>
      </w:tr>
      <w:tr>
        <w:trPr>
          <w:trHeight w:val="202"/>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1,747,235</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85,896</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1,320,317</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123,033</w:t>
            </w:r>
          </w:p>
        </w:tc>
      </w:tr>
      <w:tr>
        <w:trPr>
          <w:trHeight w:val="202"/>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1,019,296</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1,091,688</w:t>
            </w:r>
          </w:p>
        </w:tc>
      </w:tr>
    </w:tbl>
    <w:p>
      <w:pPr>
        <w:sectPr>
          <w:pgSz w:w="11900" w:h="16838" w:orient="portrait"/>
          <w:cols w:equalWidth="0" w:num="1">
            <w:col w:w="11220"/>
          </w:cols>
          <w:pgMar w:left="320" w:top="118" w:right="35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6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rPr>
              <w:t>--------------- ---------------</w:t>
            </w:r>
          </w:p>
        </w:tc>
      </w:tr>
      <w:tr>
        <w:trPr>
          <w:trHeight w:val="203"/>
        </w:trPr>
        <w:tc>
          <w:tcPr>
            <w:tcW w:w="364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148,394,892</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209,082,439</w:t>
            </w:r>
          </w:p>
        </w:tc>
      </w:tr>
      <w:tr>
        <w:trPr>
          <w:trHeight w:val="203"/>
        </w:trPr>
        <w:tc>
          <w:tcPr>
            <w:tcW w:w="2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Common stock, par value $0.001 per share,</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100,000,000 shares authorized and</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21,068,772 shares issued and outstanding</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21,069</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21,069</w:t>
            </w:r>
          </w:p>
        </w:tc>
      </w:tr>
      <w:tr>
        <w:trPr>
          <w:trHeight w:val="202"/>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Paid-in capital in excess of par</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294,586,604</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294,586,604</w:t>
            </w: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Undistributed (distributions in excess of)</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net investment income</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318,791</w:t>
            </w:r>
          </w:p>
        </w:tc>
        <w:tc>
          <w:tcPr>
            <w:tcW w:w="3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(602,660)</w:t>
            </w: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Cumulative effect of adoption of fair</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value option (credit facility)</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41,796,000</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Accumulated net realized loss on</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investments and cash equivalents</w:t>
            </w:r>
          </w:p>
        </w:tc>
        <w:tc>
          <w:tcPr>
            <w:tcW w:w="13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(17,395,831)</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(11,250,567)</w:t>
            </w: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(87,122,207)</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(72,026,186)</w:t>
            </w: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Net unrealized depreciation on credit</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20,649,089</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64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252,853,515</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210,728,260</w:t>
            </w:r>
          </w:p>
        </w:tc>
      </w:tr>
      <w:tr>
        <w:trPr>
          <w:trHeight w:val="203"/>
        </w:trPr>
        <w:tc>
          <w:tcPr>
            <w:tcW w:w="2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9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 liabilities and net assets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401,248,407</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419,810,699</w:t>
            </w:r>
          </w:p>
        </w:tc>
      </w:tr>
      <w:tr>
        <w:trPr>
          <w:trHeight w:val="203"/>
        </w:trPr>
        <w:tc>
          <w:tcPr>
            <w:tcW w:w="2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2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r>
      <w:tr>
        <w:trPr>
          <w:trHeight w:val="810"/>
        </w:trPr>
        <w:tc>
          <w:tcPr>
            <w:tcW w:w="6120" w:type="dxa"/>
            <w:vAlign w:val="bottom"/>
            <w:gridSpan w:val="4"/>
          </w:tcPr>
          <w:p>
            <w:pPr>
              <w:ind w:left="2120"/>
              <w:spacing w:after="0"/>
              <w:rPr>
                <w:sz w:val="20"/>
                <w:szCs w:val="20"/>
                <w:color w:val="auto"/>
              </w:rPr>
            </w:pPr>
            <w:r>
              <w:rPr>
                <w:rFonts w:ascii="Courier New" w:cs="Courier New" w:eastAsia="Courier New" w:hAnsi="Courier New"/>
                <w:sz w:val="18"/>
                <w:szCs w:val="18"/>
                <w:color w:val="auto"/>
              </w:rPr>
              <w:t>PENNANTPARK INVESTMENT CORPORATION</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2320" w:type="dxa"/>
            <w:vAlign w:val="bottom"/>
          </w:tcPr>
          <w:p>
            <w:pPr>
              <w:spacing w:after="0"/>
              <w:rPr>
                <w:sz w:val="17"/>
                <w:szCs w:val="17"/>
                <w:color w:val="auto"/>
              </w:rPr>
            </w:pPr>
          </w:p>
        </w:tc>
        <w:tc>
          <w:tcPr>
            <w:tcW w:w="3800" w:type="dxa"/>
            <w:vAlign w:val="bottom"/>
            <w:gridSpan w:val="3"/>
          </w:tcPr>
          <w:p>
            <w:pPr>
              <w:jc w:val="right"/>
              <w:ind w:right="872"/>
              <w:spacing w:after="0" w:line="203" w:lineRule="exact"/>
              <w:rPr>
                <w:sz w:val="20"/>
                <w:szCs w:val="20"/>
                <w:color w:val="auto"/>
              </w:rPr>
            </w:pPr>
            <w:r>
              <w:rPr>
                <w:rFonts w:ascii="Courier New" w:cs="Courier New" w:eastAsia="Courier New" w:hAnsi="Courier New"/>
                <w:sz w:val="18"/>
                <w:szCs w:val="18"/>
                <w:color w:val="auto"/>
              </w:rPr>
              <w:t>STATEMENTS OF OPERATIONS</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(Unaudited)</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2320" w:type="dxa"/>
            <w:vAlign w:val="bottom"/>
          </w:tcPr>
          <w:p>
            <w:pPr>
              <w:spacing w:after="0"/>
              <w:rPr>
                <w:sz w:val="24"/>
                <w:szCs w:val="24"/>
                <w:color w:val="auto"/>
              </w:rPr>
            </w:pPr>
          </w:p>
        </w:tc>
        <w:tc>
          <w:tcPr>
            <w:tcW w:w="26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Three months ended</w:t>
            </w:r>
          </w:p>
        </w:tc>
        <w:tc>
          <w:tcPr>
            <w:tcW w:w="294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2320" w:type="dxa"/>
            <w:vAlign w:val="bottom"/>
          </w:tcPr>
          <w:p>
            <w:pPr>
              <w:spacing w:after="0"/>
              <w:rPr>
                <w:sz w:val="17"/>
                <w:szCs w:val="17"/>
                <w:color w:val="auto"/>
              </w:rPr>
            </w:pP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29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March 31,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March 31,</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March 31,</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232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2009</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2008</w:t>
            </w:r>
          </w:p>
        </w:tc>
        <w:tc>
          <w:tcPr>
            <w:tcW w:w="11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2009</w:t>
            </w:r>
          </w:p>
        </w:tc>
        <w:tc>
          <w:tcPr>
            <w:tcW w:w="320" w:type="dxa"/>
            <w:vAlign w:val="bottom"/>
          </w:tcPr>
          <w:p>
            <w:pPr>
              <w:spacing w:after="0"/>
              <w:rPr>
                <w:sz w:val="17"/>
                <w:szCs w:val="17"/>
                <w:color w:val="auto"/>
              </w:rPr>
            </w:pP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2008</w:t>
            </w:r>
          </w:p>
        </w:tc>
      </w:tr>
      <w:tr>
        <w:trPr>
          <w:trHeight w:val="203"/>
        </w:trPr>
        <w:tc>
          <w:tcPr>
            <w:tcW w:w="2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non-affiliated</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$ 9,987,157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9,315,802</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$21,583,410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$ 17,917,677</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111,737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35,910</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227,494</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55,882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325,820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362,210</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690,319</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743,791</w:t>
            </w:r>
          </w:p>
        </w:tc>
      </w:tr>
      <w:tr>
        <w:trPr>
          <w:trHeight w:val="203"/>
        </w:trPr>
        <w:tc>
          <w:tcPr>
            <w:tcW w:w="2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investment</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10,424,714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9,713,922</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22,501,223</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18,717,530</w:t>
            </w:r>
          </w:p>
        </w:tc>
      </w:tr>
      <w:tr>
        <w:trPr>
          <w:trHeight w:val="203"/>
        </w:trPr>
        <w:tc>
          <w:tcPr>
            <w:tcW w:w="2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1,747,235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1,725,466</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3,567,423</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3,365,841</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1,320,317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1,000,725</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2,762,299</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1,448,107</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other</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1,188,326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1,669,296</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3,025,546</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2,766,403</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services expenses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356,093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548,631</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976,495</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1,212,321</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546,210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536,614</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1,134,998</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1,164,836</w:t>
            </w:r>
          </w:p>
        </w:tc>
      </w:tr>
      <w:tr>
        <w:trPr>
          <w:trHeight w:val="203"/>
        </w:trPr>
        <w:tc>
          <w:tcPr>
            <w:tcW w:w="2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Expenses before base</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management fee</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waiver</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5,158,181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5,480,732</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11,466,761</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9,957,508</w:t>
            </w:r>
          </w:p>
        </w:tc>
      </w:tr>
      <w:tr>
        <w:trPr>
          <w:trHeight w:val="203"/>
        </w:trPr>
        <w:tc>
          <w:tcPr>
            <w:tcW w:w="2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waiver</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(215,684)</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(420,731)</w:t>
            </w:r>
          </w:p>
        </w:tc>
      </w:tr>
      <w:tr>
        <w:trPr>
          <w:trHeight w:val="203"/>
        </w:trPr>
        <w:tc>
          <w:tcPr>
            <w:tcW w:w="2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expenses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5,158,181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5,265,048</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11,466,761</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9,536,777</w:t>
            </w:r>
          </w:p>
        </w:tc>
      </w:tr>
      <w:tr>
        <w:trPr>
          <w:trHeight w:val="202"/>
        </w:trPr>
        <w:tc>
          <w:tcPr>
            <w:tcW w:w="2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5,266,533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4,448,874</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11,034,462</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9,180,753</w:t>
            </w:r>
          </w:p>
        </w:tc>
      </w:tr>
      <w:tr>
        <w:trPr>
          <w:trHeight w:val="203"/>
        </w:trPr>
        <w:tc>
          <w:tcPr>
            <w:tcW w:w="2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Realized and unrealized</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(loss) on</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cash</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equivalents and credit</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Net realized loss on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investments and cash</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w:t>
            </w:r>
          </w:p>
        </w:tc>
        <w:tc>
          <w:tcPr>
            <w:tcW w:w="1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(5,258,194)</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(8,483)</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(6,145,264)</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(219,374)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non-affiliated</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4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investments and cash</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2"/>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equivalents</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27,887,439</w:t>
            </w:r>
          </w:p>
        </w:tc>
        <w:tc>
          <w:tcPr>
            <w:tcW w:w="160" w:type="dxa"/>
            <w:vAlign w:val="bottom"/>
          </w:tcPr>
          <w:p>
            <w:pPr>
              <w:spacing w:after="0"/>
              <w:rPr>
                <w:sz w:val="17"/>
                <w:szCs w:val="17"/>
                <w:color w:val="auto"/>
              </w:rPr>
            </w:pPr>
          </w:p>
        </w:tc>
        <w:tc>
          <w:tcPr>
            <w:tcW w:w="2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(36,143,543) (12,775,652)</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(51,843,132)</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(627,183)</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(1,625,521)</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(2,320,369)</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(1,983,576)</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14,930,395</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20,649,089</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42,190,651</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(37,769,064)</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5,553,068</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(53,826,708)</w:t>
            </w:r>
          </w:p>
        </w:tc>
      </w:tr>
      <w:tr>
        <w:trPr>
          <w:trHeight w:val="203"/>
        </w:trPr>
        <w:tc>
          <w:tcPr>
            <w:tcW w:w="228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gain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from</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cash</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 and</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36,932,457</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(37,777,547)</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(592,196)</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(54,046,082)</w:t>
            </w:r>
          </w:p>
        </w:tc>
      </w:tr>
      <w:tr>
        <w:trPr>
          <w:trHeight w:val="203"/>
        </w:trPr>
        <w:tc>
          <w:tcPr>
            <w:tcW w:w="228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(decrease) in net</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operations</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$42,198,990</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$(33,328,673)</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$10,442,266</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$(44,865,329)</w:t>
            </w:r>
          </w:p>
        </w:tc>
      </w:tr>
      <w:tr>
        <w:trPr>
          <w:trHeight w:val="203"/>
        </w:trPr>
        <w:tc>
          <w:tcPr>
            <w:tcW w:w="228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(loss) per</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we may also invest in public companies whose securities are thinly traded. PennantPark Investment Corporation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(212) 905-1000</w:t>
      </w:r>
    </w:p>
    <w:p>
      <w:pPr>
        <w:spacing w:after="0"/>
        <w:tabs>
          <w:tab w:leader="none" w:pos="2940" w:val="left"/>
        </w:tabs>
        <w:rPr>
          <w:sz w:val="20"/>
          <w:szCs w:val="20"/>
          <w:color w:val="auto"/>
        </w:rPr>
      </w:pPr>
      <w:r>
        <w:rPr>
          <w:rFonts w:ascii="Courier New" w:cs="Courier New" w:eastAsia="Courier New" w:hAnsi="Courier New"/>
          <w:sz w:val="18"/>
          <w:szCs w:val="18"/>
          <w:color w:val="auto"/>
        </w:rPr>
        <w:t>Or visit us on the web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20"/>
      </w:cols>
      <w:pgMar w:left="320" w:top="1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2020-05-05T15:06:51Z</dcterms:created>
  <dcterms:modified xsi:type="dcterms:W3CDTF">2020-05-05T15:06:51Z</dcterms:modified>
</cp:coreProperties>
</file>