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ind w:left="759"/>
              <w:spacing w:after="0"/>
              <w:rPr>
                <w:sz w:val="20"/>
                <w:szCs w:val="20"/>
                <w:color w:val="auto"/>
              </w:rPr>
            </w:pPr>
            <w:r>
              <w:rPr>
                <w:rFonts w:ascii="Arial" w:cs="Arial" w:eastAsia="Arial" w:hAnsi="Arial"/>
                <w:sz w:val="18"/>
                <w:szCs w:val="18"/>
                <w:b w:val="1"/>
                <w:bCs w:val="1"/>
                <w:color w:val="auto"/>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4"/>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2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20" w:type="dxa"/>
            <w:vAlign w:val="bottom"/>
          </w:tcPr>
          <w:p>
            <w:pPr>
              <w:spacing w:after="0"/>
              <w:rPr>
                <w:sz w:val="16"/>
                <w:szCs w:val="16"/>
                <w:color w:val="auto"/>
              </w:rPr>
            </w:pPr>
          </w:p>
        </w:tc>
        <w:tc>
          <w:tcPr>
            <w:tcW w:w="2560" w:type="dxa"/>
            <w:vAlign w:val="bottom"/>
          </w:tcPr>
          <w:p>
            <w:pPr>
              <w:jc w:val="center"/>
              <w:ind w:right="861"/>
              <w:spacing w:after="0"/>
              <w:rPr>
                <w:sz w:val="20"/>
                <w:szCs w:val="20"/>
                <w:color w:val="auto"/>
              </w:rPr>
            </w:pPr>
            <w:r>
              <w:rPr>
                <w:rFonts w:ascii="Arial" w:cs="Arial" w:eastAsia="Arial" w:hAnsi="Arial"/>
                <w:sz w:val="14"/>
                <w:szCs w:val="14"/>
                <w:b w:val="1"/>
                <w:bCs w:val="1"/>
                <w:color w:val="auto"/>
                <w:w w:val="93"/>
              </w:rPr>
              <w:t>(212) 905-1000</w:t>
            </w:r>
          </w:p>
        </w:tc>
        <w:tc>
          <w:tcPr>
            <w:tcW w:w="3860" w:type="dxa"/>
            <w:vAlign w:val="bottom"/>
          </w:tcPr>
          <w:p>
            <w:pPr>
              <w:spacing w:after="0"/>
              <w:rPr>
                <w:sz w:val="16"/>
                <w:szCs w:val="16"/>
                <w:color w:val="auto"/>
              </w:rPr>
            </w:pPr>
          </w:p>
        </w:tc>
      </w:tr>
      <w:tr>
        <w:trPr>
          <w:trHeight w:val="186"/>
        </w:trPr>
        <w:tc>
          <w:tcPr>
            <w:tcW w:w="7380" w:type="dxa"/>
            <w:vAlign w:val="bottom"/>
            <w:gridSpan w:val="2"/>
          </w:tcPr>
          <w:p>
            <w:pPr>
              <w:jc w:val="center"/>
              <w:ind w:left="37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60" w:type="dxa"/>
            <w:vAlign w:val="bottom"/>
          </w:tcPr>
          <w:p>
            <w:pPr>
              <w:spacing w:after="0"/>
              <w:rPr>
                <w:sz w:val="16"/>
                <w:szCs w:val="16"/>
                <w:color w:val="auto"/>
              </w:rPr>
            </w:pPr>
          </w:p>
        </w:tc>
      </w:tr>
      <w:tr>
        <w:trPr>
          <w:trHeight w:val="66"/>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0"/>
        </w:trPr>
        <w:tc>
          <w:tcPr>
            <w:tcW w:w="482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70"/>
        </w:trPr>
        <w:tc>
          <w:tcPr>
            <w:tcW w:w="4820" w:type="dxa"/>
            <w:vAlign w:val="bottom"/>
          </w:tcPr>
          <w:p>
            <w:pPr>
              <w:jc w:val="center"/>
              <w:ind w:right="999"/>
              <w:spacing w:after="0"/>
              <w:rPr>
                <w:sz w:val="20"/>
                <w:szCs w:val="20"/>
                <w:color w:val="auto"/>
              </w:rPr>
            </w:pPr>
            <w:r>
              <w:rPr>
                <w:rFonts w:ascii="Arial" w:cs="Arial" w:eastAsia="Arial" w:hAnsi="Arial"/>
                <w:sz w:val="16"/>
                <w:szCs w:val="16"/>
                <w:b w:val="1"/>
                <w:bCs w:val="1"/>
                <w:color w:val="auto"/>
                <w:w w:val="91"/>
              </w:rPr>
              <w:t>Title of Each Class</w:t>
            </w:r>
          </w:p>
        </w:tc>
        <w:tc>
          <w:tcPr>
            <w:tcW w:w="256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Trading Symbol(s)</w:t>
            </w:r>
          </w:p>
        </w:tc>
        <w:tc>
          <w:tcPr>
            <w:tcW w:w="38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2"/>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Common Stock, par value $0.001 per share</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5.50% Notes due 2024</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PNNTG</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firstLine="496"/>
        <w:spacing w:after="0" w:line="32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00" w:right="20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$0.001 par value per share, outstanding as of August 5, 2020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JUNE 30, 2020</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60" w:type="dxa"/>
            <w:vAlign w:val="bottom"/>
          </w:tcPr>
          <w:p>
            <w:pPr>
              <w:spacing w:after="0"/>
              <w:rPr>
                <w:sz w:val="16"/>
                <w:szCs w:val="16"/>
                <w:color w:val="auto"/>
              </w:rPr>
            </w:pP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60" w:type="dxa"/>
            <w:vAlign w:val="bottom"/>
          </w:tcPr>
          <w:p>
            <w:pPr>
              <w:spacing w:after="0"/>
              <w:rPr>
                <w:sz w:val="24"/>
                <w:szCs w:val="24"/>
                <w:color w:val="auto"/>
              </w:rPr>
            </w:pP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2020 (unaudited) and September 30, 2019</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2020 and 2019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nine months ended June 30, 2020 and 2019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2020 and 2019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99"/>
        </w:trPr>
        <w:tc>
          <w:tcPr>
            <w:tcW w:w="93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2020 (unaudited) and September 30, 2019</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27">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Controls and Procedures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00" w:type="dxa"/>
            <w:vAlign w:val="bottom"/>
          </w:tcPr>
          <w:p>
            <w:pPr>
              <w:ind w:left="430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PART II. OTHER INFORMATION</w:t>
              </w:r>
            </w:hyperlink>
          </w:p>
        </w:tc>
        <w:tc>
          <w:tcPr>
            <w:tcW w:w="1960" w:type="dxa"/>
            <w:vAlign w:val="bottom"/>
          </w:tcPr>
          <w:p>
            <w:pPr>
              <w:spacing w:after="0"/>
              <w:rPr>
                <w:sz w:val="24"/>
                <w:szCs w:val="24"/>
                <w:color w:val="auto"/>
              </w:rPr>
            </w:pP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 Legal Proceedings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1A. Risk Factors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Item 3. Defaults Upon Senior Securities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Item 4. Mine Safety Disclosures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Item 5. Other Information</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6. Exhibits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743"/>
        </w:trPr>
        <w:tc>
          <w:tcPr>
            <w:tcW w:w="9300" w:type="dxa"/>
            <w:vAlign w:val="bottom"/>
          </w:tcPr>
          <w:p>
            <w:pPr>
              <w:ind w:left="5580"/>
              <w:spacing w:after="0"/>
              <w:rPr>
                <w:sz w:val="20"/>
                <w:szCs w:val="20"/>
                <w:color w:val="auto"/>
              </w:rPr>
            </w:pPr>
            <w:r>
              <w:rPr>
                <w:rFonts w:ascii="Arial" w:cs="Arial" w:eastAsia="Arial" w:hAnsi="Arial"/>
                <w:sz w:val="14"/>
                <w:szCs w:val="14"/>
                <w:color w:val="auto"/>
              </w:rPr>
              <w:t>2</w:t>
            </w:r>
          </w:p>
        </w:tc>
        <w:tc>
          <w:tcPr>
            <w:tcW w:w="1960" w:type="dxa"/>
            <w:vAlign w:val="bottom"/>
          </w:tcPr>
          <w:p>
            <w:pPr>
              <w:spacing w:after="0"/>
              <w:rPr>
                <w:sz w:val="24"/>
                <w:szCs w:val="24"/>
                <w:color w:val="auto"/>
              </w:rPr>
            </w:pPr>
          </w:p>
        </w:tc>
      </w:tr>
      <w:tr>
        <w:trPr>
          <w:trHeight w:val="100"/>
        </w:trPr>
        <w:tc>
          <w:tcPr>
            <w:tcW w:w="93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21" w:lineRule="exact"/>
        <w:rPr>
          <w:sz w:val="20"/>
          <w:szCs w:val="20"/>
          <w:color w:val="auto"/>
        </w:rPr>
      </w:pPr>
    </w:p>
    <w:p>
      <w:pPr>
        <w:ind w:firstLine="438"/>
        <w:spacing w:after="0" w:line="225" w:lineRule="auto"/>
        <w:rPr>
          <w:sz w:val="20"/>
          <w:szCs w:val="20"/>
          <w:color w:val="auto"/>
        </w:rPr>
      </w:pPr>
      <w:r>
        <w:rPr>
          <w:rFonts w:ascii="Arial" w:cs="Arial" w:eastAsia="Arial" w:hAnsi="Arial"/>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 to PennantPark Investment Advisers, LLC; “PennantPark Investment Administration” or “Administrator” refer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“Truist Credit Facility” refers to our multi-currency, senior secured revolving credit facility with Truist Bank (formerly SunTrust Bank), as amended and restated; “Credit Facilities” refers to the BNP Credit Facility and the Truist Credit Facility collectively; “2019 Notes” refers to our 4.5% notes due 2019, which we redeemed in March 2019; “2024 Notes” refers to our 5.5%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our other consolidated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3"/>
                <w:szCs w:val="13"/>
                <w:color w:val="auto"/>
              </w:rPr>
              <w:t>Non-controlled, non-affiliated investments (cost—$1,084,872,788 and $922,304,099, respectively)</w:t>
            </w: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1,086,891,447</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936,632,099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3"/>
                <w:szCs w:val="13"/>
                <w:color w:val="auto"/>
              </w:rPr>
              <w:t>Non-controlled, affiliated investments (cost—$77,628,920 and $77,600,816, respectively)</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33,132,158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49,349,338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3"/>
                <w:szCs w:val="13"/>
                <w:color w:val="auto"/>
              </w:rPr>
              <w:t>Controlled, affiliated investments (cost—$275,946,491 and $257,117,800, respectively)</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213,325,256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233,451,359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rPr>
                <w:sz w:val="20"/>
                <w:szCs w:val="20"/>
                <w:color w:val="auto"/>
              </w:rPr>
            </w:pPr>
            <w:r>
              <w:rPr>
                <w:rFonts w:ascii="Arial" w:cs="Arial" w:eastAsia="Arial" w:hAnsi="Arial"/>
                <w:sz w:val="13"/>
                <w:szCs w:val="13"/>
                <w:color w:val="auto"/>
              </w:rPr>
              <w:t>Total of investments (cost—$1,438,448,199 and $1,257,022,715, respectively)</w:t>
            </w:r>
          </w:p>
        </w:tc>
        <w:tc>
          <w:tcPr>
            <w:tcW w:w="2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1,333,348,861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Cash and cash equivalents (cost—$51,620,212 and $59,546,438, respectively)</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51,565,044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59,516,236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Interest receivable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5,230,894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6,226,539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Prepaid expenses and other assets</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1,099,585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662,442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1,391,244,384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Liabilities</w:t>
            </w:r>
          </w:p>
        </w:tc>
        <w:tc>
          <w:tcPr>
            <w:tcW w:w="20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Distributions payable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8,045,413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12,068,119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BNP Credit Facility payable, at fair value (cost—$245,000,000 and $171,000,000, respectively) (See Notes 5 and 10)</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236,670,000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170,145,000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Truist Credit Facility payable, at fair value (cost—$417,636,000 and $301,636,000, respectively)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397,419,103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2024 Notes payable, net (par—$86,250,000 and $75,000,000, respectively) (See Notes 5 and 10)</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83,671,185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SBA debentures payable, net (par—$133,500,000 and $150,000,000, respectively)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130,383,825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Base management fee payable, net (See Note 3)</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4,643,273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4,641,480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Interest payable on debt</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5,666,385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2,895,695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497,446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569,175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rPr>
                <w:sz w:val="20"/>
                <w:szCs w:val="20"/>
                <w:color w:val="auto"/>
              </w:rPr>
            </w:pPr>
            <w:r>
              <w:rPr>
                <w:rFonts w:ascii="Arial" w:cs="Arial" w:eastAsia="Arial" w:hAnsi="Arial"/>
                <w:sz w:val="13"/>
                <w:szCs w:val="13"/>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866,996,630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703,932,345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Commitments and contingencies (See Note 11)</w:t>
            </w:r>
          </w:p>
        </w:tc>
        <w:tc>
          <w:tcPr>
            <w:tcW w:w="20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Common stock, 67,045,105 and 67,045,105 shares issued and outstanding, respectively</w:t>
            </w:r>
          </w:p>
        </w:tc>
        <w:tc>
          <w:tcPr>
            <w:tcW w:w="200" w:type="dxa"/>
            <w:vAlign w:val="bottom"/>
            <w:shd w:val="clear" w:color="auto" w:fill="CCECFF"/>
          </w:tcPr>
          <w:p>
            <w:pPr>
              <w:spacing w:after="0"/>
              <w:rPr>
                <w:sz w:val="13"/>
                <w:szCs w:val="13"/>
                <w:color w:val="auto"/>
              </w:rPr>
            </w:pPr>
          </w:p>
        </w:tc>
        <w:tc>
          <w:tcPr>
            <w:tcW w:w="13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20" w:type="dxa"/>
            <w:vAlign w:val="bottom"/>
            <w:shd w:val="clear" w:color="auto" w:fill="CCECFF"/>
          </w:tcPr>
          <w:p>
            <w:pPr>
              <w:ind w:left="100"/>
              <w:spacing w:after="0"/>
              <w:rPr>
                <w:sz w:val="20"/>
                <w:szCs w:val="20"/>
                <w:color w:val="auto"/>
              </w:rPr>
            </w:pPr>
            <w:r>
              <w:rPr>
                <w:rFonts w:ascii="Arial" w:cs="Arial" w:eastAsia="Arial" w:hAnsi="Arial"/>
                <w:sz w:val="13"/>
                <w:szCs w:val="13"/>
                <w:color w:val="auto"/>
              </w:rPr>
              <w:t>Par value $0.001 per share and 100,000,000 shares authorized</w:t>
            </w:r>
          </w:p>
        </w:tc>
        <w:tc>
          <w:tcPr>
            <w:tcW w:w="200" w:type="dxa"/>
            <w:vAlign w:val="bottom"/>
            <w:shd w:val="clear" w:color="auto" w:fill="CCECFF"/>
          </w:tcPr>
          <w:p>
            <w:pPr>
              <w:spacing w:after="0"/>
              <w:rPr>
                <w:sz w:val="13"/>
                <w:szCs w:val="13"/>
                <w:color w:val="auto"/>
              </w:rPr>
            </w:pPr>
          </w:p>
        </w:tc>
        <w:tc>
          <w:tcPr>
            <w:tcW w:w="1300" w:type="dxa"/>
            <w:vAlign w:val="bottom"/>
            <w:vMerge w:val="continue"/>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vMerge w:val="continue"/>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Paid-in capital in excess of par value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788,192,159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788,192,159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Distributable income</w:t>
            </w:r>
          </w:p>
        </w:tc>
        <w:tc>
          <w:tcPr>
            <w:tcW w:w="20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(264,011,450)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(206,353,536)</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rPr>
                <w:sz w:val="20"/>
                <w:szCs w:val="20"/>
                <w:color w:val="auto"/>
              </w:rPr>
            </w:pPr>
            <w:r>
              <w:rPr>
                <w:rFonts w:ascii="Arial" w:cs="Arial" w:eastAsia="Arial" w:hAnsi="Arial"/>
                <w:sz w:val="13"/>
                <w:szCs w:val="13"/>
                <w:b w:val="1"/>
                <w:bCs w:val="1"/>
                <w:color w:val="auto"/>
              </w:rPr>
              <w:t>Total net assets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524,247,754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581,905,668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shd w:val="clear" w:color="auto" w:fill="CCECFF"/>
          </w:tcPr>
          <w:p>
            <w:pPr>
              <w:ind w:left="1000"/>
              <w:spacing w:after="0"/>
              <w:rPr>
                <w:sz w:val="20"/>
                <w:szCs w:val="20"/>
                <w:color w:val="auto"/>
              </w:rPr>
            </w:pPr>
            <w:r>
              <w:rPr>
                <w:rFonts w:ascii="Arial" w:cs="Arial" w:eastAsia="Arial" w:hAnsi="Arial"/>
                <w:sz w:val="13"/>
                <w:szCs w:val="13"/>
                <w:b w:val="1"/>
                <w:bCs w:val="1"/>
                <w:color w:val="auto"/>
              </w:rPr>
              <w:t>Total liabilities and net assets</w:t>
            </w: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1,391,244,384</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3"/>
                <w:szCs w:val="13"/>
                <w:b w:val="1"/>
                <w:bCs w:val="1"/>
                <w:color w:val="auto"/>
              </w:rPr>
              <w:t>Net asset value per share</w:t>
            </w: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7.82</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56"/>
        </w:trPr>
        <w:tc>
          <w:tcPr>
            <w:tcW w:w="630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20,118,883</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19,928,284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63,252,326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66,484,378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2,099,536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1,987,294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5,962,936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4,625,804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1,165,825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530,923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2,107,027</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1,992,875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588,818</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3,435,510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1,793,442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7,272,766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1,434,567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1,454,009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5,830,555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2,855,450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776,944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949,445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25,407,629</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28,112,964</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78,946,286</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84,180,718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4,643,273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4,653,657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14,266,402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13,583,748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1,921,984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2,471,085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4,579,657</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5,146,696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8,316,571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7,808,175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26,145,154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21,119,041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521,520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538,125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1,564,560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1,592,375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0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643,480</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692,178</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1,936,322</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2,002,723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w w:val="91"/>
              </w:rPr>
              <w:t>Expenses before performance-based incentive fees waiver, financing costs and provision for taxes</w:t>
            </w:r>
          </w:p>
        </w:tc>
        <w:tc>
          <w:tcPr>
            <w:tcW w:w="1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16,046,828</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16,163,220</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48,492,095</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43,444,583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Pr>
          <w:p>
            <w:pPr>
              <w:ind w:left="260"/>
              <w:spacing w:after="0" w:line="155" w:lineRule="exact"/>
              <w:rPr>
                <w:sz w:val="20"/>
                <w:szCs w:val="20"/>
                <w:color w:val="auto"/>
              </w:rPr>
            </w:pPr>
            <w:r>
              <w:rPr>
                <w:rFonts w:ascii="Arial" w:cs="Arial" w:eastAsia="Arial" w:hAnsi="Arial"/>
                <w:sz w:val="14"/>
                <w:szCs w:val="14"/>
                <w:color w:val="auto"/>
              </w:rPr>
              <w:t>Performance-based incentive fee waiver (See Note 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(1,921,984)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(1,921,984)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issuance costs (See Notes 5 and 10)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2,696,498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Make-whole premium (See Notes 5 and 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2,162,526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900,000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1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14,424,844</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16,463,220</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47,470,111</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49,203,607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10,982,785</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11,649,744</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31,476,175</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34,977,111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on investments on:</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(109,739)</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(43,486,868)</w:t>
            </w:r>
          </w:p>
        </w:tc>
        <w:tc>
          <w:tcPr>
            <w:tcW w:w="16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(10,719,114)</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(33,757,334)</w:t>
            </w: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(56,148,032)</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(56,375,131)</w:t>
            </w:r>
          </w:p>
        </w:tc>
        <w:tc>
          <w:tcPr>
            <w:tcW w:w="0" w:type="dxa"/>
            <w:vAlign w:val="bottom"/>
          </w:tcPr>
          <w:p>
            <w:pPr>
              <w:spacing w:after="0"/>
              <w:rPr>
                <w:sz w:val="1"/>
                <w:szCs w:val="1"/>
                <w:color w:val="auto"/>
              </w:rPr>
            </w:pPr>
          </w:p>
        </w:tc>
      </w:tr>
      <w:tr>
        <w:trPr>
          <w:trHeight w:val="155"/>
        </w:trPr>
        <w:tc>
          <w:tcPr>
            <w:tcW w:w="6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realized loss on investments</w:t>
            </w:r>
          </w:p>
        </w:tc>
        <w:tc>
          <w:tcPr>
            <w:tcW w:w="1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(109,739)</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(99,634,900)</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(10,719,114)</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(90,132,465)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11,319,274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36,381,944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(12,334,358)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7,535,406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18,495,283</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57,045,559</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39"/>
              <w:spacing w:after="0"/>
              <w:rPr>
                <w:sz w:val="20"/>
                <w:szCs w:val="20"/>
                <w:color w:val="auto"/>
              </w:rPr>
            </w:pPr>
            <w:r>
              <w:rPr>
                <w:rFonts w:ascii="Arial" w:cs="Arial" w:eastAsia="Arial" w:hAnsi="Arial"/>
                <w:sz w:val="14"/>
                <w:szCs w:val="14"/>
                <w:color w:val="auto"/>
              </w:rPr>
              <w:t>(55,200,078)</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45,366,352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(25,073,673)</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186,504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21,301,111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9,914,139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4,740,884</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93,614,007</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(46,233,325)</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62,815,897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4,631,145</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(6,020,893)</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(56,952,439)</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(27,316,568)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15,613,930</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5,628,851</w:t>
            </w:r>
          </w:p>
        </w:tc>
        <w:tc>
          <w:tcPr>
            <w:tcW w:w="2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(25,476,264</w:t>
            </w:r>
          </w:p>
        </w:tc>
        <w:tc>
          <w:tcPr>
            <w:tcW w:w="220" w:type="dxa"/>
            <w:vAlign w:val="bottom"/>
            <w:tcBorders>
              <w:bottom w:val="single" w:sz="8" w:color="CCECFF"/>
            </w:tcBorders>
            <w:shd w:val="clear" w:color="auto" w:fill="CCECFF"/>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7,660,543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tcBorders>
              <w:bottom w:val="single" w:sz="8" w:color="CCECFF"/>
            </w:tcBorders>
            <w:vMerge w:val="continue"/>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22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0.08</w:t>
            </w:r>
          </w:p>
        </w:tc>
        <w:tc>
          <w:tcPr>
            <w:tcW w:w="2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(0.38)</w:t>
            </w:r>
          </w:p>
        </w:tc>
        <w:tc>
          <w:tcPr>
            <w:tcW w:w="220" w:type="dxa"/>
            <w:vAlign w:val="bottom"/>
            <w:tcBorders>
              <w:bottom w:val="single" w:sz="8" w:color="CCEC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0.11</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3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0.17</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0.47</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56"/>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10,982,785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11,649,744</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31,476,175</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34,977,111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(109,739)</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(99,634,900)</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(10,719,114)</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(90,132,465)</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29,814,557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93,427,503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(67,534,436)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52,901,758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(25,073,673)</w:t>
            </w: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186,504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21,301,111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9,914,139</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15,613,930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5,628,851</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(25,476,264)</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7,660,543</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(8,045,413)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(32,181,650)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(36,381,194)</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(14,471,720)</w:t>
            </w: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7,568,517</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(6,439,267)</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(57,657,914)</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(43,192,371)</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516,679,237</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592,148,791</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581,905,668</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100" w:type="dxa"/>
            <w:vAlign w:val="bottom"/>
            <w:tcBorders>
              <w:bottom w:val="single" w:sz="8" w:color="CCECFF"/>
            </w:tcBorders>
          </w:tcPr>
          <w:p>
            <w:pPr>
              <w:spacing w:after="0"/>
              <w:rPr>
                <w:sz w:val="14"/>
                <w:szCs w:val="14"/>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524,247,754</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585,709,524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524,247,754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585,709,524</w:t>
            </w: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b w:val="1"/>
                <w:bCs w:val="1"/>
                <w:color w:val="auto"/>
              </w:rPr>
              <w:t>Capital share activity: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(2,008,853)</w:t>
            </w: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(decrease)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(25,476,264)</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7,660,543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(decrease)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67,534,436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(52,901,758)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(21,301,111)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(9,914,139)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10,719,114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90,132,465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(2,184,545)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(2,095,442)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(292,216,763)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(494,793,457)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(11,825,750)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(8,765,915)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114,085,199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325,598,567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1,302,122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628,761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995,645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387,222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prepaid expenses and other assets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(437,143)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546,453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interest payable on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2,770,690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(2,568,650)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base management fee payable, net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566,826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performance-based incentive fee payable, net</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(493,179)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(71,729)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(726,208)</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(156,104,306)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(146,737,911)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(14,471,720)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(36,204,356)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(36,742,787)</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2024 Notes issuance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10,912,500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of 2019 Notes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(250,000,000)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(16,500,000)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BNP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(16,000,000)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(188,000,000)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(352,884,000)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148,208,144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148,901,493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(7,896,162)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2,163,582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(55,030)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59,516,236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51,565,044</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21,744,836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22,072,342</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23,058,930</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805,976</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1,111,409</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91,204,799</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14,823,909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JUNE 30, 2020 (Unaudited)</w:t>
      </w:r>
    </w:p>
    <w:tbl>
      <w:tblPr>
        <w:tblLayout w:type="fixed"/>
        <w:tblInd w:w="0" w:type="dxa"/>
        <w:tblCellMar>
          <w:top w:w="0" w:type="dxa"/>
          <w:left w:w="0" w:type="dxa"/>
          <w:bottom w:w="0" w:type="dxa"/>
          <w:right w:w="0" w:type="dxa"/>
        </w:tblCellMar>
      </w:tblPr>
      <w:tr>
        <w:trPr>
          <w:trHeight w:val="116"/>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280"/>
              <w:spacing w:after="0" w:line="116" w:lineRule="exact"/>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18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0" w:type="dxa"/>
            <w:vAlign w:val="bottom"/>
          </w:tcPr>
          <w:p>
            <w:pPr>
              <w:spacing w:after="0"/>
              <w:rPr>
                <w:sz w:val="1"/>
                <w:szCs w:val="1"/>
                <w:color w:val="auto"/>
              </w:rPr>
            </w:pPr>
          </w:p>
        </w:tc>
      </w:tr>
      <w:tr>
        <w:trPr>
          <w:trHeight w:val="128"/>
        </w:trPr>
        <w:tc>
          <w:tcPr>
            <w:tcW w:w="39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3"/>
              </w:rPr>
              <w:t xml:space="preserve">Investments in Non-Controlled, Non-Affiliated Portfolio Companies—207.3 </w:t>
            </w:r>
            <w:r>
              <w:rPr>
                <w:rFonts w:ascii="Arial" w:cs="Arial" w:eastAsia="Arial" w:hAnsi="Arial"/>
                <w:sz w:val="9"/>
                <w:szCs w:val="9"/>
                <w:b w:val="1"/>
                <w:bCs w:val="1"/>
                <w:color w:val="auto"/>
                <w:w w:val="93"/>
              </w:rPr>
              <w:t>(1), (2)</w:t>
            </w:r>
          </w:p>
        </w:tc>
        <w:tc>
          <w:tcPr>
            <w:tcW w:w="2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Debt—144.1%</w:t>
            </w:r>
          </w:p>
        </w:tc>
        <w:tc>
          <w:tcPr>
            <w:tcW w:w="11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08/11/2025</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8,302,303</w:t>
            </w:r>
          </w:p>
        </w:tc>
        <w:tc>
          <w:tcPr>
            <w:tcW w:w="3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7,516,285</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7,804,165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Advantage Sales &amp; Marketing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07/23/2021</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1"/>
              </w:rPr>
              <w:t>Grocery</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8,650,037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8,377,645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7,875,859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07/24/2025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977,481</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106"/>
              <w:spacing w:after="0"/>
              <w:rPr>
                <w:sz w:val="20"/>
                <w:szCs w:val="20"/>
                <w:color w:val="auto"/>
              </w:rPr>
            </w:pPr>
            <w:r>
              <w:rPr>
                <w:rFonts w:ascii="Arial" w:cs="Arial" w:eastAsia="Arial" w:hAnsi="Arial"/>
                <w:sz w:val="11"/>
                <w:szCs w:val="11"/>
                <w:color w:val="auto"/>
              </w:rPr>
              <w:t>964,530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933,494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07/24/2025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center"/>
              <w:ind w:left="46"/>
              <w:spacing w:after="0"/>
              <w:rPr>
                <w:sz w:val="20"/>
                <w:szCs w:val="20"/>
                <w:color w:val="auto"/>
              </w:rPr>
            </w:pPr>
            <w:r>
              <w:rPr>
                <w:rFonts w:ascii="Arial" w:cs="Arial" w:eastAsia="Arial" w:hAnsi="Arial"/>
                <w:sz w:val="11"/>
                <w:szCs w:val="11"/>
                <w:color w:val="auto"/>
                <w:w w:val="90"/>
              </w:rPr>
              <w:t>125,000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119,375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07/24/2025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3"/>
              </w:rPr>
              <w:t>62,500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12/21/2023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6.87%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30,810,145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30,355,939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29,577,739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07/31/2025</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6,623,051</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6,561,925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6,440,918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07/31/2021</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1,344,715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(36,980)</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02/01/2024</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6.82%</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14,665,025</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14,539,287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14,298,399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02/13/2023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6.57%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21,553,613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21,086,055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Broder Bros., Co.</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12/02/2022</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9.77%</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26,051,088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26,051,088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23,602,286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12/23/2021</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20,868,858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20,732,898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20,868,858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02/09/2026</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7.34%</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3,614,954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3,546,227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3,448,666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02/08/2021</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1,549,743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(55,791)</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02/07/2025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6.82%</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655,660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655,660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625,500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Datalot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01/24/2025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6.27%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7,134,777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7,003,421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7,029,895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Datalot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01/24/2025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1,761,879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DermaRite Industries LLC</w:t>
            </w:r>
          </w:p>
        </w:tc>
        <w:tc>
          <w:tcPr>
            <w:tcW w:w="1180" w:type="dxa"/>
            <w:vAlign w:val="bottom"/>
          </w:tcPr>
          <w:p>
            <w:pPr>
              <w:ind w:left="480"/>
              <w:spacing w:after="0"/>
              <w:rPr>
                <w:sz w:val="20"/>
                <w:szCs w:val="20"/>
                <w:color w:val="auto"/>
              </w:rPr>
            </w:pPr>
            <w:r>
              <w:rPr>
                <w:rFonts w:ascii="Arial" w:cs="Arial" w:eastAsia="Arial" w:hAnsi="Arial"/>
                <w:sz w:val="11"/>
                <w:szCs w:val="11"/>
                <w:color w:val="auto"/>
              </w:rPr>
              <w:t>03/03/2022</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Manufacturing / Basic Industries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8,975,884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8,916,184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8,953,445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11/03/2025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13,598,894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13,476,105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13,292,918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DRS Holdings III,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11/03/2025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611,241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611,241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597,488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11/03/2025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916,861</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(20,629)</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ECM Industries,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12/23/2025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5.50%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2,880,406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2,852,125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2,837,200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12/23/2025</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517,594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505,585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12/19/2025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7.50%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12,224,286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12,052,930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11,796,436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12/10/2024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17,348,710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17,204,994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16,828,249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12/10/2024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(101,613)</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06/27/2023</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8.59%</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L+737</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19,941,835</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19,858,253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19,742,417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Integrity Marketing Acquisition, LLC</w:t>
            </w:r>
          </w:p>
        </w:tc>
        <w:tc>
          <w:tcPr>
            <w:tcW w:w="1180" w:type="dxa"/>
            <w:vAlign w:val="bottom"/>
          </w:tcPr>
          <w:p>
            <w:pPr>
              <w:ind w:left="480"/>
              <w:spacing w:after="0"/>
              <w:rPr>
                <w:sz w:val="20"/>
                <w:szCs w:val="20"/>
                <w:color w:val="auto"/>
              </w:rPr>
            </w:pPr>
            <w:r>
              <w:rPr>
                <w:rFonts w:ascii="Arial" w:cs="Arial" w:eastAsia="Arial" w:hAnsi="Arial"/>
                <w:sz w:val="11"/>
                <w:szCs w:val="11"/>
                <w:color w:val="auto"/>
              </w:rPr>
              <w:t>08/27/2025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7.01%</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6,404,198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6,358,526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6,212,072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08/27/2025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18,270,943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(411,097)</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180" w:type="dxa"/>
            <w:vAlign w:val="bottom"/>
          </w:tcPr>
          <w:p>
            <w:pPr>
              <w:ind w:left="480"/>
              <w:spacing w:after="0"/>
              <w:rPr>
                <w:sz w:val="20"/>
                <w:szCs w:val="20"/>
                <w:color w:val="auto"/>
              </w:rPr>
            </w:pPr>
            <w:r>
              <w:rPr>
                <w:rFonts w:ascii="Arial" w:cs="Arial" w:eastAsia="Arial" w:hAnsi="Arial"/>
                <w:sz w:val="11"/>
                <w:szCs w:val="11"/>
                <w:color w:val="auto"/>
              </w:rPr>
              <w:t>12/22/2021</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9.50%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13,886,584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13,780,414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13,886,584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12/20/2023</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26,726,333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26,429,617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26,124,990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12/20/2023</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1,453,571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1,453,571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1,420,866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12/20/2023</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484,524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(10,902)</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03/07/2025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10.00%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10,127,188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9,946,794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9,924,644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320"/>
              <w:spacing w:after="0"/>
              <w:rPr>
                <w:sz w:val="20"/>
                <w:szCs w:val="20"/>
                <w:color w:val="auto"/>
              </w:rPr>
            </w:pPr>
            <w:r>
              <w:rPr>
                <w:rFonts w:ascii="Arial" w:cs="Arial" w:eastAsia="Arial" w:hAnsi="Arial"/>
                <w:sz w:val="11"/>
                <w:szCs w:val="11"/>
                <w:color w:val="auto"/>
              </w:rPr>
              <w:t>(PIK 3.00%)</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03/07/2025</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(16,552)</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Lash Opco, LLC - Term Loan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12/12/2024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L+725</w:t>
            </w:r>
          </w:p>
        </w:tc>
        <w:tc>
          <w:tcPr>
            <w:tcW w:w="660" w:type="dxa"/>
            <w:vAlign w:val="bottom"/>
          </w:tcPr>
          <w:p>
            <w:pPr>
              <w:jc w:val="right"/>
              <w:spacing w:after="0"/>
              <w:rPr>
                <w:sz w:val="20"/>
                <w:szCs w:val="20"/>
                <w:color w:val="auto"/>
              </w:rPr>
            </w:pPr>
            <w:r>
              <w:rPr>
                <w:rFonts w:ascii="Arial" w:cs="Arial" w:eastAsia="Arial" w:hAnsi="Arial"/>
                <w:sz w:val="11"/>
                <w:szCs w:val="11"/>
                <w:color w:val="auto"/>
              </w:rPr>
              <w:t>9,663,879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9,398,797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9,306,315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Lash Opco, LLC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12/12/2024</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8.38%</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1,043,312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1,043,312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1,004,710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12/12/2024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LAV Gear Holdings, Inc.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10/31/2024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0"/>
              </w:rPr>
              <w:t>Leisure, Amusement, Motion Pictures, Entertainment</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2,731,999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2,707,619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2,605,507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02/03/2026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12,629,862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12,388,739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12,301,486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08/03/2021</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2,450,209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(39,203)</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Lightspeed Buyer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02/03/2026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1,165,780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1,135,470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04/13/2023</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16,959,257</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16,801,612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15,738,190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04/13/2023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1,642,478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05/23/2024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17,198,881</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16,988,834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16,424,931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05/23/2024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(113,326)</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02/27/2023</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21,460,472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21,198,683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20,945,421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02/27/2023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2,488,000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2,428,288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02/27/2023</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(288)</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180" w:type="dxa"/>
            <w:vAlign w:val="bottom"/>
          </w:tcPr>
          <w:p>
            <w:pPr>
              <w:ind w:left="480"/>
              <w:spacing w:after="0"/>
              <w:rPr>
                <w:sz w:val="20"/>
                <w:szCs w:val="20"/>
                <w:color w:val="auto"/>
              </w:rPr>
            </w:pPr>
            <w:r>
              <w:rPr>
                <w:rFonts w:ascii="Arial" w:cs="Arial" w:eastAsia="Arial" w:hAnsi="Arial"/>
                <w:sz w:val="11"/>
                <w:szCs w:val="11"/>
                <w:color w:val="auto"/>
              </w:rPr>
              <w:t>11/13/2024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8.32%</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L+725</w:t>
            </w:r>
          </w:p>
        </w:tc>
        <w:tc>
          <w:tcPr>
            <w:tcW w:w="660" w:type="dxa"/>
            <w:vAlign w:val="bottom"/>
          </w:tcPr>
          <w:p>
            <w:pPr>
              <w:jc w:val="right"/>
              <w:spacing w:after="0"/>
              <w:rPr>
                <w:sz w:val="20"/>
                <w:szCs w:val="20"/>
                <w:color w:val="auto"/>
              </w:rPr>
            </w:pPr>
            <w:r>
              <w:rPr>
                <w:rFonts w:ascii="Arial" w:cs="Arial" w:eastAsia="Arial" w:hAnsi="Arial"/>
                <w:sz w:val="11"/>
                <w:szCs w:val="11"/>
                <w:color w:val="auto"/>
              </w:rPr>
              <w:t>11,466,452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11,238,988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10,434,471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05/08/2026</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5.81%</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4,097,010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4,060,079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3,892,160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PRA Events, Inc.</w:t>
            </w:r>
          </w:p>
        </w:tc>
        <w:tc>
          <w:tcPr>
            <w:tcW w:w="1180" w:type="dxa"/>
            <w:vAlign w:val="bottom"/>
          </w:tcPr>
          <w:p>
            <w:pPr>
              <w:ind w:left="480"/>
              <w:spacing w:after="0"/>
              <w:rPr>
                <w:sz w:val="20"/>
                <w:szCs w:val="20"/>
                <w:color w:val="auto"/>
              </w:rPr>
            </w:pPr>
            <w:r>
              <w:rPr>
                <w:rFonts w:ascii="Arial" w:cs="Arial" w:eastAsia="Arial" w:hAnsi="Arial"/>
                <w:sz w:val="11"/>
                <w:szCs w:val="11"/>
                <w:color w:val="auto"/>
              </w:rPr>
              <w:t>08/08/2022</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11.25%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P+800</w:t>
            </w:r>
          </w:p>
        </w:tc>
        <w:tc>
          <w:tcPr>
            <w:tcW w:w="660" w:type="dxa"/>
            <w:vAlign w:val="bottom"/>
          </w:tcPr>
          <w:p>
            <w:pPr>
              <w:jc w:val="right"/>
              <w:spacing w:after="0"/>
              <w:rPr>
                <w:sz w:val="20"/>
                <w:szCs w:val="20"/>
                <w:color w:val="auto"/>
              </w:rPr>
            </w:pPr>
            <w:r>
              <w:rPr>
                <w:rFonts w:ascii="Arial" w:cs="Arial" w:eastAsia="Arial" w:hAnsi="Arial"/>
                <w:sz w:val="11"/>
                <w:szCs w:val="11"/>
                <w:color w:val="auto"/>
              </w:rPr>
              <w:t>19,180,820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18,996,357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18,049,152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08/08/2022</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11.25%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1,882,000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Provation Medical, Inc.</w:t>
            </w:r>
          </w:p>
        </w:tc>
        <w:tc>
          <w:tcPr>
            <w:tcW w:w="1180" w:type="dxa"/>
            <w:vAlign w:val="bottom"/>
          </w:tcPr>
          <w:p>
            <w:pPr>
              <w:ind w:left="480"/>
              <w:spacing w:after="0"/>
              <w:rPr>
                <w:sz w:val="20"/>
                <w:szCs w:val="20"/>
                <w:color w:val="auto"/>
              </w:rPr>
            </w:pPr>
            <w:r>
              <w:rPr>
                <w:rFonts w:ascii="Arial" w:cs="Arial" w:eastAsia="Arial" w:hAnsi="Arial"/>
                <w:sz w:val="11"/>
                <w:szCs w:val="11"/>
                <w:color w:val="auto"/>
              </w:rPr>
              <w:t>03/11/2024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7.18%</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26,595,000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26,136,286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25,275,888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09/09/2024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6.00%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22,106,250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21,771,936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21,000,938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09/09/2024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1,795,213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1,705,452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09/09/2024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(89,761)</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03/31/2025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13,814,334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13,635,176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13,546,336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Radius Aerospace,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03/31/2025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2,227,142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2,227,142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2,183,936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180" w:type="dxa"/>
            <w:vAlign w:val="bottom"/>
          </w:tcPr>
          <w:p>
            <w:pPr>
              <w:ind w:left="480"/>
              <w:spacing w:after="0"/>
              <w:rPr>
                <w:sz w:val="20"/>
                <w:szCs w:val="20"/>
                <w:color w:val="auto"/>
              </w:rPr>
            </w:pPr>
            <w:r>
              <w:rPr>
                <w:rFonts w:ascii="Arial" w:cs="Arial" w:eastAsia="Arial" w:hAnsi="Arial"/>
                <w:sz w:val="11"/>
                <w:szCs w:val="11"/>
                <w:color w:val="auto"/>
              </w:rPr>
              <w:t>06/28/2022</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29,941,723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29,698,601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28,444,637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40" w:type="dxa"/>
            <w:vAlign w:val="bottom"/>
            <w:shd w:val="clear" w:color="auto" w:fill="CCECFF"/>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180" w:type="dxa"/>
            <w:vAlign w:val="bottom"/>
            <w:vMerge w:val="restart"/>
            <w:shd w:val="clear" w:color="auto" w:fill="CCECFF"/>
          </w:tcPr>
          <w:p>
            <w:pPr>
              <w:ind w:left="480"/>
              <w:spacing w:after="0"/>
              <w:rPr>
                <w:sz w:val="20"/>
                <w:szCs w:val="20"/>
                <w:color w:val="auto"/>
              </w:rPr>
            </w:pPr>
            <w:r>
              <w:rPr>
                <w:rFonts w:ascii="Arial" w:cs="Arial" w:eastAsia="Arial" w:hAnsi="Arial"/>
                <w:sz w:val="11"/>
                <w:szCs w:val="11"/>
                <w:color w:val="auto"/>
              </w:rPr>
              <w:t>12/20/2024</w:t>
            </w:r>
          </w:p>
        </w:tc>
        <w:tc>
          <w:tcPr>
            <w:tcW w:w="2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40" w:type="dxa"/>
            <w:vAlign w:val="bottom"/>
            <w:vMerge w:val="restart"/>
            <w:shd w:val="clear" w:color="auto" w:fill="CCECFF"/>
          </w:tcPr>
          <w:p>
            <w:pPr>
              <w:ind w:left="80"/>
              <w:spacing w:after="0"/>
              <w:rPr>
                <w:sz w:val="20"/>
                <w:szCs w:val="20"/>
                <w:color w:val="auto"/>
              </w:rPr>
            </w:pPr>
            <w:r>
              <w:rPr>
                <w:rFonts w:ascii="Arial" w:cs="Arial" w:eastAsia="Arial" w:hAnsi="Arial"/>
                <w:sz w:val="11"/>
                <w:szCs w:val="11"/>
                <w:color w:val="auto"/>
              </w:rPr>
              <w:t xml:space="preserve">Sampling International LLC </w:t>
            </w:r>
            <w:r>
              <w:rPr>
                <w:rFonts w:ascii="Arial" w:cs="Arial" w:eastAsia="Arial" w:hAnsi="Arial"/>
                <w:sz w:val="9"/>
                <w:szCs w:val="9"/>
                <w:color w:val="auto"/>
              </w:rPr>
              <w:t>(5)</w:t>
            </w:r>
          </w:p>
        </w:tc>
        <w:tc>
          <w:tcPr>
            <w:tcW w:w="1180" w:type="dxa"/>
            <w:vAlign w:val="bottom"/>
            <w:vMerge w:val="continue"/>
            <w:shd w:val="clear" w:color="auto" w:fill="CCECFF"/>
          </w:tcPr>
          <w:p>
            <w:pPr>
              <w:spacing w:after="0"/>
              <w:rPr>
                <w:sz w:val="5"/>
                <w:szCs w:val="5"/>
                <w:color w:val="auto"/>
              </w:rPr>
            </w:pPr>
          </w:p>
        </w:tc>
        <w:tc>
          <w:tcPr>
            <w:tcW w:w="2760" w:type="dxa"/>
            <w:vAlign w:val="bottom"/>
            <w:gridSpan w:val="2"/>
            <w:vMerge w:val="restart"/>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vMerge w:val="restart"/>
            <w:shd w:val="clear" w:color="auto" w:fill="CCECFF"/>
          </w:tcPr>
          <w:p>
            <w:pPr>
              <w:jc w:val="right"/>
              <w:ind w:right="140"/>
              <w:spacing w:after="0"/>
              <w:rPr>
                <w:sz w:val="20"/>
                <w:szCs w:val="20"/>
                <w:color w:val="auto"/>
              </w:rPr>
            </w:pPr>
            <w:r>
              <w:rPr>
                <w:rFonts w:ascii="Arial" w:cs="Arial" w:eastAsia="Arial" w:hAnsi="Arial"/>
                <w:sz w:val="11"/>
                <w:szCs w:val="11"/>
                <w:color w:val="auto"/>
              </w:rPr>
              <w:t>6.50%</w:t>
            </w:r>
          </w:p>
        </w:tc>
        <w:tc>
          <w:tcPr>
            <w:tcW w:w="1020" w:type="dxa"/>
            <w:vAlign w:val="bottom"/>
            <w:gridSpan w:val="2"/>
            <w:vMerge w:val="restart"/>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17,806,717</w:t>
            </w:r>
          </w:p>
        </w:tc>
        <w:tc>
          <w:tcPr>
            <w:tcW w:w="24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17,680,552</w:t>
            </w:r>
          </w:p>
        </w:tc>
        <w:tc>
          <w:tcPr>
            <w:tcW w:w="22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w w:val="98"/>
              </w:rPr>
              <w:t>16,315,405</w:t>
            </w: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740" w:type="dxa"/>
            <w:vAlign w:val="bottom"/>
            <w:vMerge w:val="continue"/>
            <w:shd w:val="clear" w:color="auto" w:fill="CCECFF"/>
          </w:tcPr>
          <w:p>
            <w:pPr>
              <w:spacing w:after="0"/>
              <w:rPr>
                <w:sz w:val="5"/>
                <w:szCs w:val="5"/>
                <w:color w:val="auto"/>
              </w:rPr>
            </w:pPr>
          </w:p>
        </w:tc>
        <w:tc>
          <w:tcPr>
            <w:tcW w:w="1180" w:type="dxa"/>
            <w:vAlign w:val="bottom"/>
            <w:shd w:val="clear" w:color="auto" w:fill="CCECFF"/>
          </w:tcPr>
          <w:p>
            <w:pPr>
              <w:spacing w:after="0"/>
              <w:rPr>
                <w:sz w:val="5"/>
                <w:szCs w:val="5"/>
                <w:color w:val="auto"/>
              </w:rPr>
            </w:pPr>
          </w:p>
        </w:tc>
        <w:tc>
          <w:tcPr>
            <w:tcW w:w="2760" w:type="dxa"/>
            <w:vAlign w:val="bottom"/>
            <w:gridSpan w:val="2"/>
            <w:vMerge w:val="continue"/>
            <w:shd w:val="clear" w:color="auto" w:fill="CCECFF"/>
          </w:tcPr>
          <w:p>
            <w:pPr>
              <w:spacing w:after="0"/>
              <w:rPr>
                <w:sz w:val="5"/>
                <w:szCs w:val="5"/>
                <w:color w:val="auto"/>
              </w:rPr>
            </w:pPr>
          </w:p>
        </w:tc>
        <w:tc>
          <w:tcPr>
            <w:tcW w:w="880" w:type="dxa"/>
            <w:vAlign w:val="bottom"/>
            <w:gridSpan w:val="2"/>
            <w:vMerge w:val="continue"/>
            <w:shd w:val="clear" w:color="auto" w:fill="CCECFF"/>
          </w:tcPr>
          <w:p>
            <w:pPr>
              <w:spacing w:after="0"/>
              <w:rPr>
                <w:sz w:val="5"/>
                <w:szCs w:val="5"/>
                <w:color w:val="auto"/>
              </w:rPr>
            </w:pPr>
          </w:p>
        </w:tc>
        <w:tc>
          <w:tcPr>
            <w:tcW w:w="1020" w:type="dxa"/>
            <w:vAlign w:val="bottom"/>
            <w:gridSpan w:val="2"/>
            <w:vMerge w:val="continue"/>
            <w:shd w:val="clear" w:color="auto" w:fill="CCECFF"/>
          </w:tcPr>
          <w:p>
            <w:pPr>
              <w:spacing w:after="0"/>
              <w:rPr>
                <w:sz w:val="5"/>
                <w:szCs w:val="5"/>
                <w:color w:val="auto"/>
              </w:rPr>
            </w:pPr>
          </w:p>
        </w:tc>
        <w:tc>
          <w:tcPr>
            <w:tcW w:w="66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600" w:type="dxa"/>
            <w:vAlign w:val="bottom"/>
            <w:vMerge w:val="continue"/>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580" w:type="dxa"/>
            <w:vAlign w:val="bottom"/>
            <w:vMerge w:val="continue"/>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06/20/2025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5.75%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1,962,651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1,898,028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06/20/2025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(15,055)</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1180" w:type="dxa"/>
            <w:vAlign w:val="bottom"/>
          </w:tcPr>
          <w:p>
            <w:pPr>
              <w:ind w:left="480"/>
              <w:spacing w:after="0"/>
              <w:rPr>
                <w:sz w:val="20"/>
                <w:szCs w:val="20"/>
                <w:color w:val="auto"/>
              </w:rPr>
            </w:pPr>
            <w:r>
              <w:rPr>
                <w:rFonts w:ascii="Arial" w:cs="Arial" w:eastAsia="Arial" w:hAnsi="Arial"/>
                <w:sz w:val="11"/>
                <w:szCs w:val="11"/>
                <w:color w:val="auto"/>
              </w:rPr>
              <w:t>03/10/2025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15,710,625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15,413,973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14,846,541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12/20/2024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5,476,140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5,402,119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5,361,141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Sargent &amp; Greenleaf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12/20/2024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298,972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292,693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12/20/2024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(6,278)</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1180" w:type="dxa"/>
            <w:vAlign w:val="bottom"/>
          </w:tcPr>
          <w:p>
            <w:pPr>
              <w:ind w:left="480"/>
              <w:spacing w:after="0"/>
              <w:rPr>
                <w:sz w:val="20"/>
                <w:szCs w:val="20"/>
                <w:color w:val="auto"/>
              </w:rPr>
            </w:pPr>
            <w:r>
              <w:rPr>
                <w:rFonts w:ascii="Arial" w:cs="Arial" w:eastAsia="Arial" w:hAnsi="Arial"/>
                <w:sz w:val="11"/>
                <w:szCs w:val="11"/>
                <w:color w:val="auto"/>
              </w:rPr>
              <w:t>01/03/2025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7,907,012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7,761,317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7,693,523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07/07/2021</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(49,390)</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Sales Benchmark Index LLC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487,805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487,805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01/03/2025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243,902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(6,585)</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180" w:type="dxa"/>
            <w:vAlign w:val="bottom"/>
          </w:tcPr>
          <w:p>
            <w:pPr>
              <w:ind w:left="480"/>
              <w:spacing w:after="0"/>
              <w:rPr>
                <w:sz w:val="20"/>
                <w:szCs w:val="20"/>
                <w:color w:val="auto"/>
              </w:rPr>
            </w:pPr>
            <w:r>
              <w:rPr>
                <w:rFonts w:ascii="Arial" w:cs="Arial" w:eastAsia="Arial" w:hAnsi="Arial"/>
                <w:sz w:val="11"/>
                <w:szCs w:val="11"/>
                <w:color w:val="auto"/>
              </w:rPr>
              <w:t>07/14/2025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516,643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510,543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486,161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07/14/2025</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07/14/2025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22,281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(1,315)</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05/03/2024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7.50%</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14,437,500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14,270,055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13,744,500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Signature Systems Holding Company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05/03/2024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7.87%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645,161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645,161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614,194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05/03/2024</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1,370,968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(65,806)</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01/17/2024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12,597,723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12,405,192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12,265,144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01/17/2024</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1,215,783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01/17/2024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(10,989)</w:t>
            </w:r>
          </w:p>
        </w:tc>
        <w:tc>
          <w:tcPr>
            <w:tcW w:w="0" w:type="dxa"/>
            <w:vAlign w:val="bottom"/>
          </w:tcPr>
          <w:p>
            <w:pPr>
              <w:spacing w:after="0"/>
              <w:rPr>
                <w:sz w:val="1"/>
                <w:szCs w:val="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1180" w:type="dxa"/>
            <w:vAlign w:val="bottom"/>
            <w:shd w:val="clear" w:color="auto" w:fill="CCECFF"/>
          </w:tcPr>
          <w:p>
            <w:pPr>
              <w:ind w:left="480"/>
              <w:spacing w:after="0"/>
              <w:rPr>
                <w:sz w:val="20"/>
                <w:szCs w:val="20"/>
                <w:color w:val="auto"/>
              </w:rPr>
            </w:pPr>
            <w:r>
              <w:rPr>
                <w:rFonts w:ascii="Arial" w:cs="Arial" w:eastAsia="Arial" w:hAnsi="Arial"/>
                <w:sz w:val="11"/>
                <w:szCs w:val="11"/>
                <w:color w:val="auto"/>
              </w:rPr>
              <w:t>02/26/2025</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15,087,188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14,938,449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14,785,444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02/26/2022</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(137,500)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JUNE 30, 2020 (Unaudited)</w:t>
      </w:r>
    </w:p>
    <w:tbl>
      <w:tblPr>
        <w:tblLayout w:type="fixed"/>
        <w:tblInd w:w="0" w:type="dxa"/>
        <w:tblCellMar>
          <w:top w:w="0" w:type="dxa"/>
          <w:left w:w="0" w:type="dxa"/>
          <w:bottom w:w="0" w:type="dxa"/>
          <w:right w:w="0" w:type="dxa"/>
        </w:tblCellMar>
      </w:tblPr>
      <w:tr>
        <w:trPr>
          <w:trHeight w:val="11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Borders>
              <w:bottom w:val="single" w:sz="8" w:color="CCECFF"/>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12/23/2025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20,478,378</w:t>
            </w:r>
          </w:p>
        </w:tc>
        <w:tc>
          <w:tcPr>
            <w:tcW w:w="3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19,781,941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19,659,243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12/23/2025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(44,865)</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STV Group Incorporated </w:t>
            </w:r>
            <w:r>
              <w:rPr>
                <w:rFonts w:ascii="Arial" w:cs="Arial" w:eastAsia="Arial" w:hAnsi="Arial"/>
                <w:sz w:val="9"/>
                <w:szCs w:val="9"/>
                <w:color w:val="auto"/>
              </w:rPr>
              <w:t>(5)</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12/11/2026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5.43%</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12,666,703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12,546,826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12,413,368</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TeleGuam Holdings,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11/20/2025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5,093,719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5,045,931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4,889,970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Teneo Holdings LLC </w:t>
            </w:r>
            <w:r>
              <w:rPr>
                <w:rFonts w:ascii="Arial" w:cs="Arial" w:eastAsia="Arial" w:hAnsi="Arial"/>
                <w:sz w:val="9"/>
                <w:szCs w:val="9"/>
                <w:color w:val="auto"/>
              </w:rPr>
              <w:t>(5)</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1,985,000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1,875,185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1,875,825</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(5),(8),(11)</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6.68%</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7,457,982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7,401,339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7,234,242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Triad Manufacturing,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12/28/2020</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11,598,956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11,569,745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11,598,956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32,711,302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32,219,385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31,926,230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 (Revolver)</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2,637,300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8,460,181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8,384,860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 (Revolver)</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1,137,857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1,103,721</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(15,171)</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08/27/2024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6,043,337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6,019,701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5,872,310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6.16%</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4,698,082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4,595,959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US Med Acquisition,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08/13/2021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8,323,438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8,323,438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8,198,586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06/10/2025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7.33%</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14,394,527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14,134,937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13,818,746</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21,656,250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21,325,527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21,656,250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10/18/2022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14,383,614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14,196,004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14,239,777</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9,168,199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8,988,437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9,076,517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02/27/2022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3,217</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 (Revolver)</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176,471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173,259</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(6,825)</w:t>
            </w:r>
          </w:p>
        </w:tc>
      </w:tr>
      <w:tr>
        <w:trPr>
          <w:trHeight w:val="128"/>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bottom w:val="single" w:sz="8" w:color="auto"/>
            </w:tcBorders>
            <w:shd w:val="clear" w:color="auto" w:fill="CCECFF"/>
          </w:tcPr>
          <w:p>
            <w:pPr>
              <w:spacing w:after="0"/>
              <w:rPr>
                <w:sz w:val="11"/>
                <w:szCs w:val="11"/>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774,385,534</w:t>
            </w: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755,651,370</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Second Lien Secured Debt—35.6%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Condor Borrower,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04/25/2025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10,344,828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10,193,074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10,055,172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Confie Seguros Holding Co.</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10/31/2025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10.08%</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14,273,525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13,775,000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DecoPac,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03/31/2025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19,371,075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Halo Buyer,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07/06/2026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8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32,050,715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29,055,000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Infogroup,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20,142,117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19,380,000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10/23/2024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(6)</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36,224,201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31,304,629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19,339,510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19,133,058</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VT Topco,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08/24/2026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7.18%</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9,956,038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9,700,000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04/06/2026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9.57%</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34,791,393</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34,417,500</w:t>
            </w:r>
          </w:p>
        </w:tc>
        <w:tc>
          <w:tcPr>
            <w:tcW w:w="100" w:type="dxa"/>
            <w:vAlign w:val="bottom"/>
            <w:shd w:val="clear" w:color="auto" w:fill="CCECFF"/>
          </w:tcPr>
          <w:p>
            <w:pPr>
              <w:spacing w:after="0"/>
              <w:rPr>
                <w:sz w:val="11"/>
                <w:szCs w:val="11"/>
                <w:color w:val="auto"/>
              </w:rPr>
            </w:pPr>
          </w:p>
        </w:tc>
      </w:tr>
      <w:tr>
        <w:trPr>
          <w:trHeight w:val="12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196,341,648</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186,447,502</w:t>
            </w: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Notes—12.5%</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03/17/2025</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13,981,361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13,762,540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13,450,069</w:t>
            </w:r>
          </w:p>
        </w:tc>
        <w:tc>
          <w:tcPr>
            <w:tcW w:w="10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08/20/2021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54,031,384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53,777,970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52,302,380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67,540,510</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65,752,449</w:t>
            </w: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Interests—0.6%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196,732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64,277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64,277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491,723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582,145</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472,124</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106,823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119,003</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1,346,530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1,544,351</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219</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231,375</w:t>
            </w:r>
          </w:p>
        </w:tc>
        <w:tc>
          <w:tcPr>
            <w:tcW w:w="100" w:type="dxa"/>
            <w:vAlign w:val="bottom"/>
            <w:tcBorders>
              <w:bottom w:val="single" w:sz="8" w:color="CCECFF"/>
            </w:tcBorders>
          </w:tcPr>
          <w:p>
            <w:pPr>
              <w:spacing w:after="0"/>
              <w:rPr>
                <w:sz w:val="11"/>
                <w:szCs w:val="11"/>
                <w:color w:val="auto"/>
              </w:rPr>
            </w:pPr>
          </w:p>
        </w:tc>
      </w:tr>
      <w:tr>
        <w:trPr>
          <w:trHeight w:val="129"/>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3,268,365</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3,210,007</w:t>
            </w:r>
          </w:p>
        </w:tc>
        <w:tc>
          <w:tcPr>
            <w:tcW w:w="100" w:type="dxa"/>
            <w:vAlign w:val="bottom"/>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Interests/Warrants—14.5% </w:t>
            </w:r>
            <w:r>
              <w:rPr>
                <w:rFonts w:ascii="Arial" w:cs="Arial" w:eastAsia="Arial" w:hAnsi="Arial"/>
                <w:sz w:val="9"/>
                <w:szCs w:val="9"/>
                <w:b w:val="1"/>
                <w:bCs w:val="1"/>
                <w:color w:val="auto"/>
                <w:w w:val="99"/>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04/10/2024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732,365</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(17,616)</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 (Warrants)</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03/23/2021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87,882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ASP LCG Holdings, Inc. (Warrants)</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05/05/2026</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586,975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2,169,900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2,852,080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806,270</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122,870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1,270,646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1,536,542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2,250,000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1,273,553</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3,448,658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5,874,063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167,537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173,454</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1,004,625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1,411,883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4,277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217,635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1,219,118</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673,029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673,029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673,029</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8,896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15,670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800,107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675,325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594,286</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2,326,782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2,040,000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1,850,368</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4,317,307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11,033,081</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1,906,433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8,769,594</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1,290,312</w:t>
            </w:r>
          </w:p>
        </w:tc>
        <w:tc>
          <w:tcPr>
            <w:tcW w:w="10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JUNE 30, 2020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00" w:type="dxa"/>
            <w:vAlign w:val="bottom"/>
          </w:tcPr>
          <w:p>
            <w:pPr>
              <w:spacing w:after="0"/>
              <w:rPr>
                <w:sz w:val="10"/>
                <w:szCs w:val="10"/>
                <w:color w:val="auto"/>
              </w:rPr>
            </w:pPr>
          </w:p>
        </w:tc>
        <w:tc>
          <w:tcPr>
            <w:tcW w:w="7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Pr>
          <w:p>
            <w:pPr>
              <w:spacing w:after="0"/>
              <w:rPr>
                <w:sz w:val="11"/>
                <w:szCs w:val="11"/>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Pr>
          <w:p>
            <w:pPr>
              <w:spacing w:after="0"/>
              <w:rPr>
                <w:sz w:val="11"/>
                <w:szCs w:val="1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161,252</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309,652</w:t>
            </w: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687,310</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259,486</w:t>
            </w: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982,857</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1,226,216</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83,333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36,585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365,854</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317,902</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70,870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4,746</w:t>
            </w:r>
          </w:p>
        </w:tc>
        <w:tc>
          <w:tcPr>
            <w:tcW w:w="100" w:type="dxa"/>
            <w:vAlign w:val="bottom"/>
            <w:shd w:val="clear" w:color="auto" w:fill="CCECFF"/>
          </w:tcPr>
          <w:p>
            <w:pPr>
              <w:spacing w:after="0"/>
              <w:rPr>
                <w:sz w:val="11"/>
                <w:szCs w:val="1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1,620,000</w:t>
            </w:r>
          </w:p>
        </w:tc>
        <w:tc>
          <w:tcPr>
            <w:tcW w:w="100" w:type="dxa"/>
            <w:vAlign w:val="bottom"/>
          </w:tcPr>
          <w:p>
            <w:pPr>
              <w:spacing w:after="0"/>
              <w:rPr>
                <w:sz w:val="12"/>
                <w:szCs w:val="12"/>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3,400,941</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75,847</w:t>
            </w: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614,835</w:t>
            </w:r>
          </w:p>
        </w:tc>
        <w:tc>
          <w:tcPr>
            <w:tcW w:w="100" w:type="dxa"/>
            <w:vAlign w:val="bottom"/>
            <w:shd w:val="clear" w:color="auto" w:fill="CCECFF"/>
          </w:tcPr>
          <w:p>
            <w:pPr>
              <w:spacing w:after="0"/>
              <w:rPr>
                <w:sz w:val="11"/>
                <w:szCs w:val="1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WBB Equity,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2,596,000</w:t>
            </w:r>
          </w:p>
        </w:tc>
        <w:tc>
          <w:tcPr>
            <w:tcW w:w="100" w:type="dxa"/>
            <w:vAlign w:val="bottom"/>
          </w:tcPr>
          <w:p>
            <w:pPr>
              <w:spacing w:after="0"/>
              <w:rPr>
                <w:sz w:val="12"/>
                <w:szCs w:val="12"/>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3,778,704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4,450,000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19,229,647</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2,314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231,400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208,969</w:t>
            </w: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2,574,592</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43,336,731</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75,830,119</w:t>
            </w:r>
          </w:p>
        </w:tc>
        <w:tc>
          <w:tcPr>
            <w:tcW w:w="100" w:type="dxa"/>
            <w:vAlign w:val="bottom"/>
            <w:tcBorders>
              <w:bottom w:val="single" w:sz="8" w:color="CCECFF"/>
            </w:tcBorders>
          </w:tcPr>
          <w:p>
            <w:pPr>
              <w:spacing w:after="0"/>
              <w:rPr>
                <w:sz w:val="11"/>
                <w:szCs w:val="11"/>
                <w:color w:val="auto"/>
              </w:rPr>
            </w:pPr>
          </w:p>
        </w:tc>
      </w:tr>
      <w:tr>
        <w:trPr>
          <w:trHeight w:val="129"/>
        </w:trPr>
        <w:tc>
          <w:tcPr>
            <w:tcW w:w="386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1,084,872,788</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1,086,891,447</w:t>
            </w:r>
          </w:p>
        </w:tc>
        <w:tc>
          <w:tcPr>
            <w:tcW w:w="100" w:type="dxa"/>
            <w:vAlign w:val="bottom"/>
            <w:shd w:val="clear" w:color="auto" w:fill="CCECFF"/>
          </w:tcPr>
          <w:p>
            <w:pPr>
              <w:spacing w:after="0"/>
              <w:rPr>
                <w:sz w:val="11"/>
                <w:szCs w:val="11"/>
                <w:color w:val="auto"/>
              </w:rPr>
            </w:pPr>
          </w:p>
        </w:tc>
      </w:tr>
      <w:tr>
        <w:trPr>
          <w:trHeight w:val="128"/>
        </w:trPr>
        <w:tc>
          <w:tcPr>
            <w:tcW w:w="3860" w:type="dxa"/>
            <w:vAlign w:val="bottom"/>
            <w:gridSpan w:val="4"/>
          </w:tcPr>
          <w:p>
            <w:pPr>
              <w:spacing w:after="0"/>
              <w:rPr>
                <w:sz w:val="20"/>
                <w:szCs w:val="20"/>
                <w:color w:val="auto"/>
              </w:rPr>
            </w:pPr>
            <w:r>
              <w:rPr>
                <w:rFonts w:ascii="Arial" w:cs="Arial" w:eastAsia="Arial" w:hAnsi="Arial"/>
                <w:sz w:val="11"/>
                <w:szCs w:val="11"/>
                <w:b w:val="1"/>
                <w:bCs w:val="1"/>
                <w:color w:val="auto"/>
                <w:w w:val="98"/>
              </w:rPr>
              <w:t xml:space="preserve">Investments in Non-Controlled, Affiliated Portfolio Companies—6.3% </w:t>
            </w:r>
            <w:r>
              <w:rPr>
                <w:rFonts w:ascii="Arial" w:cs="Arial" w:eastAsia="Arial" w:hAnsi="Arial"/>
                <w:sz w:val="9"/>
                <w:szCs w:val="9"/>
                <w:b w:val="1"/>
                <w:bCs w:val="1"/>
                <w:color w:val="auto"/>
                <w:w w:val="98"/>
              </w:rPr>
              <w:t>(1), (2)</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ETX Energy,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61,732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11,259,917</w:t>
            </w: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21,217,095</w:t>
            </w:r>
          </w:p>
        </w:tc>
        <w:tc>
          <w:tcPr>
            <w:tcW w:w="100" w:type="dxa"/>
            <w:vAlign w:val="bottom"/>
            <w:shd w:val="clear" w:color="auto" w:fill="CCECFF"/>
          </w:tcPr>
          <w:p>
            <w:pPr>
              <w:spacing w:after="0"/>
              <w:rPr>
                <w:sz w:val="11"/>
                <w:szCs w:val="1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32,477,012</w:t>
            </w: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Interests/Warrants—0.1% </w:t>
            </w:r>
            <w:r>
              <w:rPr>
                <w:rFonts w:ascii="Arial" w:cs="Arial" w:eastAsia="Arial" w:hAnsi="Arial"/>
                <w:sz w:val="9"/>
                <w:szCs w:val="9"/>
                <w:b w:val="1"/>
                <w:bCs w:val="1"/>
                <w:color w:val="auto"/>
                <w:w w:val="99"/>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1,658,389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tcBorders>
              <w:bottom w:val="single" w:sz="8" w:color="CCECFF"/>
            </w:tcBorders>
            <w:gridSpan w:val="2"/>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65,933</w:t>
            </w: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655,146</w:t>
            </w: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56,063,531</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655,146</w:t>
            </w:r>
          </w:p>
        </w:tc>
        <w:tc>
          <w:tcPr>
            <w:tcW w:w="100" w:type="dxa"/>
            <w:vAlign w:val="bottom"/>
            <w:shd w:val="clear" w:color="auto" w:fill="CCECFF"/>
          </w:tcPr>
          <w:p>
            <w:pPr>
              <w:spacing w:after="0"/>
              <w:rPr>
                <w:sz w:val="11"/>
                <w:szCs w:val="11"/>
                <w:color w:val="auto"/>
              </w:rPr>
            </w:pPr>
          </w:p>
        </w:tc>
      </w:tr>
      <w:tr>
        <w:trPr>
          <w:trHeight w:val="129"/>
        </w:trPr>
        <w:tc>
          <w:tcPr>
            <w:tcW w:w="386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77,628,920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33,132,158</w:t>
            </w:r>
          </w:p>
        </w:tc>
        <w:tc>
          <w:tcPr>
            <w:tcW w:w="100" w:type="dxa"/>
            <w:vAlign w:val="bottom"/>
            <w:tcBorders>
              <w:bottom w:val="single" w:sz="8" w:color="CCECFF"/>
            </w:tcBorders>
          </w:tcPr>
          <w:p>
            <w:pPr>
              <w:spacing w:after="0"/>
              <w:rPr>
                <w:sz w:val="11"/>
                <w:szCs w:val="11"/>
                <w:color w:val="auto"/>
              </w:rPr>
            </w:pPr>
          </w:p>
        </w:tc>
      </w:tr>
      <w:tr>
        <w:trPr>
          <w:trHeight w:val="128"/>
        </w:trPr>
        <w:tc>
          <w:tcPr>
            <w:tcW w:w="386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Companies—40.7% </w:t>
            </w:r>
            <w:r>
              <w:rPr>
                <w:rFonts w:ascii="Arial" w:cs="Arial" w:eastAsia="Arial" w:hAnsi="Arial"/>
                <w:sz w:val="9"/>
                <w:szCs w:val="9"/>
                <w:b w:val="1"/>
                <w:bCs w:val="1"/>
                <w:color w:val="auto"/>
              </w:rPr>
              <w:t>(1), (2)</w:t>
            </w: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First Lien Secured Debt—6.4%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4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w w:val="87"/>
              </w:rPr>
              <w:t>03/13/2024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100" w:type="dxa"/>
            <w:vAlign w:val="bottom"/>
            <w:shd w:val="clear" w:color="auto" w:fill="CCECFF"/>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28,000,000</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39,051,600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33,731,880</w:t>
            </w:r>
          </w:p>
        </w:tc>
        <w:tc>
          <w:tcPr>
            <w:tcW w:w="100" w:type="dxa"/>
            <w:vAlign w:val="bottom"/>
            <w:shd w:val="clear" w:color="auto" w:fill="CCECFF"/>
          </w:tcPr>
          <w:p>
            <w:pPr>
              <w:spacing w:after="0"/>
              <w:rPr>
                <w:sz w:val="11"/>
                <w:szCs w:val="1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39,051,600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33,731,880</w:t>
            </w:r>
          </w:p>
        </w:tc>
        <w:tc>
          <w:tcPr>
            <w:tcW w:w="100" w:type="dxa"/>
            <w:vAlign w:val="bottom"/>
            <w:tcBorders>
              <w:bottom w:val="single" w:sz="8" w:color="CCECFF"/>
            </w:tcBorders>
          </w:tcPr>
          <w:p>
            <w:pPr>
              <w:spacing w:after="0"/>
              <w:rPr>
                <w:sz w:val="11"/>
                <w:szCs w:val="11"/>
                <w:color w:val="auto"/>
              </w:rPr>
            </w:pPr>
          </w:p>
        </w:tc>
      </w:tr>
      <w:tr>
        <w:trPr>
          <w:trHeight w:val="129"/>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Debt—9.7%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PT Network Intermediate Holdings, LLC</w:t>
            </w:r>
          </w:p>
        </w:tc>
        <w:tc>
          <w:tcPr>
            <w:tcW w:w="640" w:type="dxa"/>
            <w:vAlign w:val="bottom"/>
            <w:gridSpan w:val="2"/>
          </w:tcPr>
          <w:p>
            <w:pPr>
              <w:ind w:left="140"/>
              <w:spacing w:after="0"/>
              <w:rPr>
                <w:sz w:val="20"/>
                <w:szCs w:val="20"/>
                <w:color w:val="auto"/>
              </w:rPr>
            </w:pPr>
            <w:r>
              <w:rPr>
                <w:rFonts w:ascii="Arial" w:cs="Arial" w:eastAsia="Arial" w:hAnsi="Arial"/>
                <w:sz w:val="11"/>
                <w:szCs w:val="11"/>
                <w:color w:val="auto"/>
                <w:w w:val="87"/>
              </w:rPr>
              <w:t>11/30/2024</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11.22%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51,032,056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50,632,571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51,032,056</w:t>
            </w:r>
          </w:p>
        </w:tc>
        <w:tc>
          <w:tcPr>
            <w:tcW w:w="100" w:type="dxa"/>
            <w:vAlign w:val="bottom"/>
          </w:tcPr>
          <w:p>
            <w:pPr>
              <w:spacing w:after="0"/>
              <w:rPr>
                <w:sz w:val="12"/>
                <w:szCs w:val="12"/>
                <w:color w:val="auto"/>
              </w:rPr>
            </w:pPr>
          </w:p>
        </w:tc>
      </w:tr>
      <w:tr>
        <w:trPr>
          <w:trHeight w:val="131"/>
        </w:trPr>
        <w:tc>
          <w:tcPr>
            <w:tcW w:w="30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11.22%)</w:t>
            </w: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50,632,571</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51,032,056</w:t>
            </w:r>
          </w:p>
        </w:tc>
        <w:tc>
          <w:tcPr>
            <w:tcW w:w="100" w:type="dxa"/>
            <w:vAlign w:val="bottom"/>
            <w:shd w:val="clear" w:color="auto" w:fill="CCECFF"/>
          </w:tcPr>
          <w:p>
            <w:pPr>
              <w:spacing w:after="0"/>
              <w:rPr>
                <w:sz w:val="11"/>
                <w:szCs w:val="11"/>
                <w:color w:val="auto"/>
              </w:rPr>
            </w:pPr>
          </w:p>
        </w:tc>
      </w:tr>
      <w:tr>
        <w:trPr>
          <w:trHeight w:val="129"/>
        </w:trPr>
        <w:tc>
          <w:tcPr>
            <w:tcW w:w="300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Equity—2.3%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36,450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546,750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74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11.39%</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833</w:t>
            </w: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10,725,000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11,914,264</w:t>
            </w:r>
          </w:p>
        </w:tc>
        <w:tc>
          <w:tcPr>
            <w:tcW w:w="100" w:type="dxa"/>
            <w:vAlign w:val="bottom"/>
            <w:tcBorders>
              <w:bottom w:val="single" w:sz="8" w:color="CCECFF"/>
            </w:tcBorders>
          </w:tcPr>
          <w:p>
            <w:pPr>
              <w:spacing w:after="0"/>
              <w:rPr>
                <w:sz w:val="11"/>
                <w:szCs w:val="11"/>
                <w:color w:val="auto"/>
              </w:rPr>
            </w:pPr>
          </w:p>
        </w:tc>
      </w:tr>
      <w:tr>
        <w:trPr>
          <w:trHeight w:val="129"/>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11,271,750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11,914,264</w:t>
            </w:r>
          </w:p>
        </w:tc>
        <w:tc>
          <w:tcPr>
            <w:tcW w:w="100" w:type="dxa"/>
            <w:vAlign w:val="bottom"/>
            <w:shd w:val="clear" w:color="auto" w:fill="CCECFF"/>
          </w:tcPr>
          <w:p>
            <w:pPr>
              <w:spacing w:after="0"/>
              <w:rPr>
                <w:sz w:val="11"/>
                <w:szCs w:val="1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 xml:space="preserve">Common Equity—22.3%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132,497</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333,333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7,150,000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18,440,148</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180,805</w:t>
            </w: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98,206,908</w:t>
            </w: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174,990,570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116,647,056</w:t>
            </w:r>
          </w:p>
        </w:tc>
        <w:tc>
          <w:tcPr>
            <w:tcW w:w="100" w:type="dxa"/>
            <w:vAlign w:val="bottom"/>
            <w:shd w:val="clear" w:color="auto" w:fill="CCECFF"/>
          </w:tcPr>
          <w:p>
            <w:pPr>
              <w:spacing w:after="0"/>
              <w:rPr>
                <w:sz w:val="11"/>
                <w:szCs w:val="11"/>
                <w:color w:val="auto"/>
              </w:rPr>
            </w:pPr>
          </w:p>
        </w:tc>
      </w:tr>
      <w:tr>
        <w:trPr>
          <w:trHeight w:val="129"/>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275,946,491</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213,325,256</w:t>
            </w: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Investments—254.3%</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1,438,448,199</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1,333,348,861</w:t>
            </w:r>
          </w:p>
        </w:tc>
        <w:tc>
          <w:tcPr>
            <w:tcW w:w="100" w:type="dxa"/>
            <w:vAlign w:val="bottom"/>
            <w:shd w:val="clear" w:color="auto" w:fill="CCECFF"/>
          </w:tcPr>
          <w:p>
            <w:pPr>
              <w:spacing w:after="0"/>
              <w:rPr>
                <w:sz w:val="11"/>
                <w:szCs w:val="11"/>
                <w:color w:val="auto"/>
              </w:rPr>
            </w:pPr>
          </w:p>
        </w:tc>
      </w:tr>
      <w:tr>
        <w:trPr>
          <w:trHeight w:val="129"/>
        </w:trPr>
        <w:tc>
          <w:tcPr>
            <w:tcW w:w="3000" w:type="dxa"/>
            <w:vAlign w:val="bottom"/>
          </w:tcPr>
          <w:p>
            <w:pPr>
              <w:spacing w:after="0"/>
              <w:rPr>
                <w:sz w:val="20"/>
                <w:szCs w:val="20"/>
                <w:color w:val="auto"/>
              </w:rPr>
            </w:pPr>
            <w:r>
              <w:rPr>
                <w:rFonts w:ascii="Arial" w:cs="Arial" w:eastAsia="Arial" w:hAnsi="Arial"/>
                <w:sz w:val="11"/>
                <w:szCs w:val="11"/>
                <w:b w:val="1"/>
                <w:bCs w:val="1"/>
                <w:color w:val="auto"/>
              </w:rPr>
              <w:t>Cash and Cash Equivalents—9.8%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26,797,215</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26,797,215</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24,822,997</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24,767,829</w:t>
            </w:r>
          </w:p>
        </w:tc>
        <w:tc>
          <w:tcPr>
            <w:tcW w:w="100" w:type="dxa"/>
            <w:vAlign w:val="bottom"/>
            <w:tcBorders>
              <w:bottom w:val="single" w:sz="8" w:color="CCECFF"/>
            </w:tcBorders>
          </w:tcPr>
          <w:p>
            <w:pPr>
              <w:spacing w:after="0"/>
              <w:rPr>
                <w:sz w:val="11"/>
                <w:szCs w:val="1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51,620,212</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51,565,044</w:t>
            </w:r>
          </w:p>
        </w:tc>
        <w:tc>
          <w:tcPr>
            <w:tcW w:w="100" w:type="dxa"/>
            <w:vAlign w:val="bottom"/>
            <w:shd w:val="clear" w:color="auto" w:fill="CCECFF"/>
          </w:tcPr>
          <w:p>
            <w:pPr>
              <w:spacing w:after="0"/>
              <w:rPr>
                <w:sz w:val="11"/>
                <w:szCs w:val="11"/>
                <w:color w:val="auto"/>
              </w:rPr>
            </w:pPr>
          </w:p>
        </w:tc>
      </w:tr>
      <w:tr>
        <w:trPr>
          <w:trHeight w:val="16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 and Cash Equivalents—264.2%</w:t>
            </w:r>
          </w:p>
        </w:tc>
        <w:tc>
          <w:tcPr>
            <w:tcW w:w="120" w:type="dxa"/>
            <w:vAlign w:val="bottom"/>
            <w:tcBorders>
              <w:bottom w:val="single" w:sz="8" w:color="CCECFF"/>
            </w:tcBorders>
          </w:tcPr>
          <w:p>
            <w:pPr>
              <w:spacing w:after="0"/>
              <w:rPr>
                <w:sz w:val="14"/>
                <w:szCs w:val="14"/>
                <w:color w:val="auto"/>
              </w:rPr>
            </w:pPr>
          </w:p>
        </w:tc>
        <w:tc>
          <w:tcPr>
            <w:tcW w:w="52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60" w:type="dxa"/>
            <w:vAlign w:val="bottom"/>
            <w:tcBorders>
              <w:bottom w:val="single" w:sz="8" w:color="CCECFF"/>
            </w:tcBorders>
          </w:tcPr>
          <w:p>
            <w:pPr>
              <w:spacing w:after="0"/>
              <w:rPr>
                <w:sz w:val="14"/>
                <w:szCs w:val="14"/>
                <w:color w:val="auto"/>
              </w:rPr>
            </w:pPr>
          </w:p>
        </w:tc>
        <w:tc>
          <w:tcPr>
            <w:tcW w:w="7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1,490,068,411</w:t>
            </w:r>
          </w:p>
        </w:tc>
        <w:tc>
          <w:tcPr>
            <w:tcW w:w="24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1,384,913,905</w:t>
            </w:r>
          </w:p>
        </w:tc>
        <w:tc>
          <w:tcPr>
            <w:tcW w:w="100" w:type="dxa"/>
            <w:vAlign w:val="bottom"/>
            <w:tcBorders>
              <w:bottom w:val="single" w:sz="8" w:color="CCECFF"/>
            </w:tcBorders>
          </w:tcPr>
          <w:p>
            <w:pPr>
              <w:spacing w:after="0"/>
              <w:rPr>
                <w:sz w:val="14"/>
                <w:szCs w:val="14"/>
                <w:color w:val="auto"/>
              </w:rPr>
            </w:pPr>
          </w:p>
        </w:tc>
      </w:tr>
      <w:tr>
        <w:trPr>
          <w:trHeight w:val="115"/>
        </w:trPr>
        <w:tc>
          <w:tcPr>
            <w:tcW w:w="3000" w:type="dxa"/>
            <w:vAlign w:val="bottom"/>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Assets—(164.2%)</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(860,666,151)</w:t>
            </w: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524,247,754</w:t>
            </w:r>
          </w:p>
        </w:tc>
        <w:tc>
          <w:tcPr>
            <w:tcW w:w="100" w:type="dxa"/>
            <w:vAlign w:val="bottom"/>
          </w:tcPr>
          <w:p>
            <w:pPr>
              <w:spacing w:after="0"/>
              <w:rPr>
                <w:sz w:val="11"/>
                <w:szCs w:val="1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8"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jc w:val="both"/>
        <w:ind w:left="380" w:right="140" w:hanging="372"/>
        <w:spacing w:after="0" w:line="313"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72" w:hanging="372"/>
        <w:spacing w:after="0" w:line="265" w:lineRule="auto"/>
        <w:tabs>
          <w:tab w:leader="none" w:pos="372"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2020, qualifying assets represent 97% of the Company’s total assets and non-qualifying assets represent 3% of the Company’s total assets.</w:t>
      </w:r>
    </w:p>
    <w:p>
      <w:pPr>
        <w:ind w:left="372" w:hanging="372"/>
        <w:spacing w:after="0"/>
        <w:tabs>
          <w:tab w:leader="none" w:pos="372"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190"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4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ind w:left="500"/>
              <w:spacing w:after="0" w:line="122" w:lineRule="exact"/>
              <w:rPr>
                <w:sz w:val="20"/>
                <w:szCs w:val="20"/>
                <w:color w:val="auto"/>
              </w:rPr>
            </w:pPr>
            <w:r>
              <w:rPr>
                <w:rFonts w:ascii="Arial" w:cs="Arial" w:eastAsia="Arial" w:hAnsi="Arial"/>
                <w:sz w:val="11"/>
                <w:szCs w:val="11"/>
                <w:b w:val="1"/>
                <w:bCs w:val="1"/>
                <w:color w:val="auto"/>
              </w:rPr>
              <w:t>Maturity /</w:t>
            </w: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30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Companies—161.0 </w:t>
            </w:r>
            <w:r>
              <w:rPr>
                <w:rFonts w:ascii="Arial" w:cs="Arial" w:eastAsia="Arial" w:hAnsi="Arial"/>
                <w:sz w:val="9"/>
                <w:szCs w:val="9"/>
                <w:b w:val="1"/>
                <w:bCs w:val="1"/>
                <w:color w:val="auto"/>
                <w:w w:val="96"/>
              </w:rPr>
              <w:t>(1), (2)</w:t>
            </w:r>
          </w:p>
        </w:tc>
        <w:tc>
          <w:tcPr>
            <w:tcW w:w="25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Debt—100.7%</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985,250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8.10%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31,044,000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30,504,462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30,578,340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(20,260)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02/01/2024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14,775,844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14,652,557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14,628,085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8.04%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21,510,208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21,718,181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Broder Bros., Co.</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12/02/2022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27,218,672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27,219,280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27,218,672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29,073,557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28,790,688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29,073,557</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03/03/2022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9.04%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9,663,494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9,255,675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10/31/2023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4,486,071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4,421,743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4,486,071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17,480,806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17,317,655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17,480,806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HW Holdco, LLC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2,899,355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06/27/2023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8.72%</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20,101,907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20,001,084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19,900,888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12/22/2021</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14,627,202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14,463,765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14,627,202</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7.33%</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26,929,833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26,577,555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26,603,982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670,125</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1,259,762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(15,243)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10,024,046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9,831,274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10,024,046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2,482,759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17,093,818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16,900,562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16,922,880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621,551</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1,145,237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(5,726)</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8.06%</w:t>
            </w:r>
          </w:p>
        </w:tc>
        <w:tc>
          <w:tcPr>
            <w:tcW w:w="9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3ML+550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19,539,663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19,263,565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19,246,568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(37,775)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21,785,448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21,461,501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21,785,448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12.25%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P+725</w:t>
            </w:r>
          </w:p>
        </w:tc>
        <w:tc>
          <w:tcPr>
            <w:tcW w:w="6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2,288,000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11/13/2024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80" w:type="dxa"/>
            <w:vAlign w:val="bottom"/>
          </w:tcPr>
          <w:p>
            <w:pPr>
              <w:jc w:val="right"/>
              <w:spacing w:after="0"/>
              <w:rPr>
                <w:sz w:val="20"/>
                <w:szCs w:val="20"/>
                <w:color w:val="auto"/>
              </w:rPr>
            </w:pPr>
            <w:r>
              <w:rPr>
                <w:rFonts w:ascii="Arial" w:cs="Arial" w:eastAsia="Arial" w:hAnsi="Arial"/>
                <w:sz w:val="11"/>
                <w:szCs w:val="11"/>
                <w:color w:val="auto"/>
              </w:rPr>
              <w:t>8,495,190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8,480,683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8,495,190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(8), (11)</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06/01/2023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7.57%</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5,458,750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5,411,313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5,404,163</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05/08/2026</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4,148,451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9.11%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19,137,807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19,380,021</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Provation Medical, Inc.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03/11/2024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Electronics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9.34%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26,797,500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26,265,386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26,422,335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Quantum Spatial, Inc. </w:t>
            </w:r>
            <w:r>
              <w:rPr>
                <w:rFonts w:ascii="Arial" w:cs="Arial" w:eastAsia="Arial" w:hAnsi="Arial"/>
                <w:sz w:val="9"/>
                <w:szCs w:val="9"/>
                <w:color w:val="auto"/>
              </w:rPr>
              <w:t>(5)</w:t>
            </w:r>
          </w:p>
        </w:tc>
        <w:tc>
          <w:tcPr>
            <w:tcW w:w="1300" w:type="dxa"/>
            <w:vAlign w:val="bottom"/>
          </w:tcPr>
          <w:p>
            <w:pPr>
              <w:jc w:val="center"/>
              <w:ind w:left="106"/>
              <w:spacing w:after="0"/>
              <w:rPr>
                <w:sz w:val="20"/>
                <w:szCs w:val="20"/>
                <w:color w:val="auto"/>
              </w:rPr>
            </w:pPr>
            <w:r>
              <w:rPr>
                <w:rFonts w:ascii="Arial" w:cs="Arial" w:eastAsia="Arial" w:hAnsi="Arial"/>
                <w:sz w:val="11"/>
                <w:szCs w:val="11"/>
                <w:color w:val="auto"/>
                <w:w w:val="88"/>
              </w:rPr>
              <w:t>09/04/24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14,777,156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14,775,000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21,892,186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22,052,250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3,590,426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(35,904)</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7.85%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8,528,572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8,408,418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8,464,608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425,358</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(7,498)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06/28/2022</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31,036,318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30,707,239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30,415,591</w:t>
            </w:r>
          </w:p>
        </w:tc>
        <w:tc>
          <w:tcPr>
            <w:tcW w:w="120" w:type="dxa"/>
            <w:vAlign w:val="bottom"/>
          </w:tcPr>
          <w:p>
            <w:pPr>
              <w:spacing w:after="0"/>
              <w:rPr>
                <w:sz w:val="11"/>
                <w:szCs w:val="11"/>
                <w:color w:val="auto"/>
              </w:rPr>
            </w:pPr>
          </w:p>
        </w:tc>
      </w:tr>
      <w:tr>
        <w:trPr>
          <w:trHeight w:val="125"/>
        </w:trPr>
        <w:tc>
          <w:tcPr>
            <w:tcW w:w="2740" w:type="dxa"/>
            <w:vAlign w:val="bottom"/>
            <w:shd w:val="clear" w:color="auto" w:fill="CCECFF"/>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30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1"/>
        </w:trPr>
        <w:tc>
          <w:tcPr>
            <w:tcW w:w="2740" w:type="dxa"/>
            <w:vAlign w:val="bottom"/>
            <w:shd w:val="clear" w:color="auto" w:fill="CCECFF"/>
          </w:tcPr>
          <w:p>
            <w:pPr>
              <w:ind w:left="80"/>
              <w:spacing w:after="0"/>
              <w:rPr>
                <w:sz w:val="20"/>
                <w:szCs w:val="20"/>
                <w:color w:val="auto"/>
              </w:rPr>
            </w:pPr>
            <w:r>
              <w:rPr>
                <w:rFonts w:ascii="Arial" w:cs="Arial" w:eastAsia="Arial" w:hAnsi="Arial"/>
                <w:sz w:val="11"/>
                <w:szCs w:val="11"/>
                <w:color w:val="auto"/>
              </w:rPr>
              <w:t>Sampling International LLC (5)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9,924,242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9,782,674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9,939,724</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1,975,739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1,984,626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(1,891)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371,318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365,869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371,318</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81,514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13,586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24,454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P+650</w:t>
            </w:r>
          </w:p>
        </w:tc>
        <w:tc>
          <w:tcPr>
            <w:tcW w:w="680" w:type="dxa"/>
            <w:vAlign w:val="bottom"/>
          </w:tcPr>
          <w:p>
            <w:pPr>
              <w:jc w:val="right"/>
              <w:spacing w:after="0"/>
              <w:rPr>
                <w:sz w:val="20"/>
                <w:szCs w:val="20"/>
                <w:color w:val="auto"/>
              </w:rPr>
            </w:pPr>
            <w:r>
              <w:rPr>
                <w:rFonts w:ascii="Arial" w:cs="Arial" w:eastAsia="Arial" w:hAnsi="Arial"/>
                <w:sz w:val="11"/>
                <w:szCs w:val="11"/>
                <w:color w:val="auto"/>
              </w:rPr>
              <w:t>14,906,271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14,699,927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14,906,271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13,253,400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13,015,745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12/28/2020</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tcPr>
          <w:p>
            <w:pPr>
              <w:jc w:val="right"/>
              <w:spacing w:after="0"/>
              <w:rPr>
                <w:sz w:val="20"/>
                <w:szCs w:val="20"/>
                <w:color w:val="auto"/>
              </w:rPr>
            </w:pPr>
            <w:r>
              <w:rPr>
                <w:rFonts w:ascii="Arial" w:cs="Arial" w:eastAsia="Arial" w:hAnsi="Arial"/>
                <w:sz w:val="11"/>
                <w:szCs w:val="11"/>
                <w:color w:val="auto"/>
              </w:rPr>
              <w:t>21,589,610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21,447,963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21,373,714</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32,960,373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32,378,623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32,960,373</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1,734,249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8,640,294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8,673,000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495,600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(22,757)</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Tyto Athene,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08/27/2024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6,203,031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6,175,004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6,018,180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04/03/2024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2,300,400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2,279,160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2,277,396</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US Med Acquisition,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08/13/2021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8,389,063</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06/10/2025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3,440,998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3,374,373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09/26/2024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Home and Office Furnishings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8.83%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22,078,125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21,695,009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22,243,711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10/18/2022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9.55%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10,204,866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10,061,266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10,204,866</w:t>
            </w:r>
          </w:p>
        </w:tc>
        <w:tc>
          <w:tcPr>
            <w:tcW w:w="120" w:type="dxa"/>
            <w:vAlign w:val="bottom"/>
            <w:shd w:val="clear" w:color="auto" w:fill="CCECFF"/>
          </w:tcPr>
          <w:p>
            <w:pPr>
              <w:spacing w:after="0"/>
              <w:rPr>
                <w:sz w:val="11"/>
                <w:szCs w:val="11"/>
                <w:color w:val="auto"/>
              </w:rPr>
            </w:pPr>
          </w:p>
        </w:tc>
      </w:tr>
      <w:tr>
        <w:trPr>
          <w:trHeight w:val="129"/>
        </w:trPr>
        <w:tc>
          <w:tcPr>
            <w:tcW w:w="274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583,068,514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585,776,415</w:t>
            </w:r>
          </w:p>
        </w:tc>
        <w:tc>
          <w:tcPr>
            <w:tcW w:w="12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(3)</w:t>
            </w:r>
          </w:p>
        </w:tc>
      </w:tr>
      <w:tr>
        <w:trPr>
          <w:trHeight w:val="128"/>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Debt—38.4%</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Condor Borrower,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04/25/2025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10,344,828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10,176,236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10,241,379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11.02%</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14,244,005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13,593,750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19,627,143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19,345,304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19,627,143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32,034,317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32,012,500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20,103,563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20,094,000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36,828,975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36,207,203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35,724,106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19,623,649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19,288,817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19,623,649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Shift4 Payments,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11/28/2025</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10.76%</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26,945,207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27,000,000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9,953,252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10.54%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34,742,373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223,040,278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223,166,527</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Notes—10.5%</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13,773,533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13,529,203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13,773,533</w:t>
            </w:r>
          </w:p>
        </w:tc>
        <w:tc>
          <w:tcPr>
            <w:tcW w:w="12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08/20/2021</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48,381,773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47,992,863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47,414,137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61,522,066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61,187,670</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Interests—0.5% </w:t>
            </w:r>
            <w:r>
              <w:rPr>
                <w:rFonts w:ascii="Arial" w:cs="Arial" w:eastAsia="Arial" w:hAnsi="Arial"/>
                <w:sz w:val="9"/>
                <w:szCs w:val="9"/>
                <w:b w:val="1"/>
                <w:bCs w:val="1"/>
                <w:color w:val="auto"/>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322,850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64,277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71,556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491,723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547,406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563,657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106,823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79,190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1,346,530</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1,413,300</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3,049,353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2,997,959</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Interests/Warrants—10.9% </w:t>
            </w:r>
            <w:r>
              <w:rPr>
                <w:rFonts w:ascii="Arial" w:cs="Arial" w:eastAsia="Arial" w:hAnsi="Arial"/>
                <w:sz w:val="9"/>
                <w:szCs w:val="9"/>
                <w:b w:val="1"/>
                <w:bCs w:val="1"/>
                <w:color w:val="auto"/>
                <w:w w:val="99"/>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2,126,399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817,028</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586,975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2,260,044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Autumn Games,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Broadcasting and Entertainment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33,901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2,852,080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469,430</w:t>
            </w: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114,646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1,171,206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1,504,587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2,278,089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3,448,658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6,651,822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1,004,625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1,481,743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217,635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1,243,208</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828,333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688,831</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2,367,746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2,040,000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2,119,257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252,176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2,993,665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7,110,734</w:t>
            </w: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1,906,433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4,961,006</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(Walker Edison Furniture Company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635,075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307,888</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451,341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55,482</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NXOF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70,870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34,484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1,620,000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2,185,803</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72,833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728,330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159,504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USWS Holdings, LLC </w:t>
            </w:r>
            <w:r>
              <w:rPr>
                <w:rFonts w:ascii="Arial" w:cs="Arial" w:eastAsia="Arial" w:hAnsi="Arial"/>
                <w:sz w:val="9"/>
                <w:szCs w:val="9"/>
                <w:color w:val="auto"/>
              </w:rPr>
              <w:t>(9),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1,188,368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11,883,680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2,472,400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2,193,714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3,778,704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14,655,027</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1,842,833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51,623,889</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63,503,528</w:t>
            </w:r>
          </w:p>
        </w:tc>
        <w:tc>
          <w:tcPr>
            <w:tcW w:w="120" w:type="dxa"/>
            <w:vAlign w:val="bottom"/>
            <w:tcBorders>
              <w:bottom w:val="single" w:sz="8" w:color="CCECFF"/>
            </w:tcBorders>
          </w:tcPr>
          <w:p>
            <w:pPr>
              <w:spacing w:after="0"/>
              <w:rPr>
                <w:sz w:val="11"/>
                <w:szCs w:val="11"/>
                <w:color w:val="auto"/>
              </w:rPr>
            </w:pPr>
          </w:p>
        </w:tc>
      </w:tr>
      <w:tr>
        <w:trPr>
          <w:trHeight w:val="129"/>
        </w:trPr>
        <w:tc>
          <w:tcPr>
            <w:tcW w:w="39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922,304,099</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936,632,099</w:t>
            </w:r>
          </w:p>
        </w:tc>
        <w:tc>
          <w:tcPr>
            <w:tcW w:w="12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Maturity /</w:t>
            </w: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0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10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9"/>
        </w:trPr>
        <w:tc>
          <w:tcPr>
            <w:tcW w:w="39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Companies—8.5% </w:t>
            </w:r>
            <w:r>
              <w:rPr>
                <w:rFonts w:ascii="Arial" w:cs="Arial" w:eastAsia="Arial" w:hAnsi="Arial"/>
                <w:sz w:val="9"/>
                <w:szCs w:val="9"/>
                <w:b w:val="1"/>
                <w:bCs w:val="1"/>
                <w:color w:val="auto"/>
              </w:rPr>
              <w:t>(1), (2)</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Interests—8.1% </w:t>
            </w:r>
            <w:r>
              <w:rPr>
                <w:rFonts w:ascii="Arial" w:cs="Arial" w:eastAsia="Arial" w:hAnsi="Arial"/>
                <w:sz w:val="9"/>
                <w:szCs w:val="9"/>
                <w:b w:val="1"/>
                <w:bCs w:val="1"/>
                <w:color w:val="auto"/>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ETX Energy,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6,173,200</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22,717,376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tcBorders>
              <w:bottom w:val="single" w:sz="8" w:color="CCECFF"/>
            </w:tcBorders>
          </w:tcPr>
          <w:p>
            <w:pPr>
              <w:ind w:left="380"/>
              <w:spacing w:after="0"/>
              <w:rPr>
                <w:sz w:val="20"/>
                <w:szCs w:val="20"/>
                <w:color w:val="auto"/>
              </w:rPr>
            </w:pPr>
            <w:r>
              <w:rPr>
                <w:rFonts w:ascii="Arial" w:cs="Arial" w:eastAsia="Arial" w:hAnsi="Arial"/>
                <w:sz w:val="11"/>
                <w:szCs w:val="11"/>
                <w:color w:val="auto"/>
              </w:rPr>
              <w:t>—</w:t>
            </w:r>
          </w:p>
        </w:tc>
        <w:tc>
          <w:tcPr>
            <w:tcW w:w="262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24,549,408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21,565,388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47,266,784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Interests/Warrants—0.4% </w:t>
            </w:r>
            <w:r>
              <w:rPr>
                <w:rFonts w:ascii="Arial" w:cs="Arial" w:eastAsia="Arial" w:hAnsi="Arial"/>
                <w:sz w:val="9"/>
                <w:szCs w:val="9"/>
                <w:b w:val="1"/>
                <w:bCs w:val="1"/>
                <w:color w:val="auto"/>
                <w:w w:val="99"/>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24,761,831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56,035,427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77,600,816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49,349,338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Companies—40.1% </w:t>
            </w:r>
            <w:r>
              <w:rPr>
                <w:rFonts w:ascii="Arial" w:cs="Arial" w:eastAsia="Arial" w:hAnsi="Arial"/>
                <w:sz w:val="9"/>
                <w:szCs w:val="9"/>
                <w:b w:val="1"/>
                <w:bCs w:val="1"/>
                <w:color w:val="auto"/>
              </w:rPr>
              <w:t>(1), (2)</w:t>
            </w: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Debt—18.8%</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140"/>
              <w:spacing w:after="0"/>
              <w:rPr>
                <w:sz w:val="20"/>
                <w:szCs w:val="20"/>
                <w:color w:val="auto"/>
              </w:rPr>
            </w:pPr>
            <w:r>
              <w:rPr>
                <w:rFonts w:ascii="Arial" w:cs="Arial" w:eastAsia="Arial" w:hAnsi="Arial"/>
                <w:sz w:val="11"/>
                <w:szCs w:val="11"/>
                <w:color w:val="auto"/>
              </w:rPr>
              <w:t>03/13/2024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39,051,600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34,504,400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RAM Energy LLC</w:t>
            </w:r>
          </w:p>
        </w:tc>
        <w:tc>
          <w:tcPr>
            <w:tcW w:w="1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LLC (Revolver)</w:t>
            </w:r>
          </w:p>
        </w:tc>
        <w:tc>
          <w:tcPr>
            <w:tcW w:w="1000" w:type="dxa"/>
            <w:vAlign w:val="bottom"/>
            <w:tcBorders>
              <w:bottom w:val="single" w:sz="8" w:color="CCECFF"/>
            </w:tcBorders>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w w:val="98"/>
              </w:rPr>
              <w:t>40,000,000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114,051,600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109,504,400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rPr>
              <w:t>Second Lien Secured Debt—7.9%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PT Network Intermediate Holdings, LLC</w:t>
            </w:r>
          </w:p>
        </w:tc>
        <w:tc>
          <w:tcPr>
            <w:tcW w:w="1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11/30/2024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12.30%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46,610,223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12.30%)</w:t>
            </w: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Equity—1.6% </w:t>
            </w:r>
            <w:r>
              <w:rPr>
                <w:rFonts w:ascii="Arial" w:cs="Arial" w:eastAsia="Arial" w:hAnsi="Arial"/>
                <w:sz w:val="9"/>
                <w:szCs w:val="9"/>
                <w:b w:val="1"/>
                <w:bCs w:val="1"/>
                <w:color w:val="auto"/>
              </w:rPr>
              <w:t>(6)</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shd w:val="clear" w:color="auto" w:fill="CCECFF"/>
          </w:tcPr>
          <w:p>
            <w:pPr>
              <w:spacing w:after="0"/>
              <w:rPr>
                <w:sz w:val="11"/>
                <w:szCs w:val="11"/>
                <w:color w:val="auto"/>
              </w:rPr>
            </w:pP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11.94%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8,975,000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9,264,347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9,521,750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9,275,598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Equity—11.8% </w:t>
            </w:r>
            <w:r>
              <w:rPr>
                <w:rFonts w:ascii="Arial" w:cs="Arial" w:eastAsia="Arial" w:hAnsi="Arial"/>
                <w:sz w:val="9"/>
                <w:szCs w:val="9"/>
                <w:b w:val="1"/>
                <w:bCs w:val="1"/>
                <w:color w:val="auto"/>
              </w:rPr>
              <w:t>(6)</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2,554,804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5,983,333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17,014,720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RAM Energy Holdings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84,747</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76,264,739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48,957,717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87,380,569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68,527,241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257,117,800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233,451,359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Investments—209.6%</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1,257,022,715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1,219,432,796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Equivalents—10.2%</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47,640,291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47,640,292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BNY Mellon Cash Reserve and Cash</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11,906,147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11,875,944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59,546,438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59,516,236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Equivalents—219.8%</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1,316,569,153</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1,278,949,032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Assets—(119.8%)</w:t>
            </w:r>
          </w:p>
        </w:tc>
        <w:tc>
          <w:tcPr>
            <w:tcW w:w="1000" w:type="dxa"/>
            <w:vAlign w:val="bottom"/>
            <w:tcBorders>
              <w:top w:val="single" w:sz="8" w:color="CCECFF"/>
            </w:tcBorders>
          </w:tcPr>
          <w:p>
            <w:pPr>
              <w:spacing w:after="0" w:line="20" w:lineRule="exact"/>
              <w:rPr>
                <w:sz w:val="1"/>
                <w:szCs w:val="1"/>
                <w:color w:val="auto"/>
              </w:rPr>
            </w:pPr>
          </w:p>
        </w:tc>
        <w:tc>
          <w:tcPr>
            <w:tcW w:w="25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(697,043,364)</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581,905,668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tcBorders>
          </w:tcPr>
          <w:p>
            <w:pPr>
              <w:spacing w:after="0" w:line="20" w:lineRule="exact"/>
              <w:rPr>
                <w:sz w:val="1"/>
                <w:szCs w:val="1"/>
                <w:color w:val="auto"/>
              </w:rPr>
            </w:pPr>
          </w:p>
        </w:tc>
        <w:tc>
          <w:tcPr>
            <w:tcW w:w="25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hanging="372"/>
        <w:spacing w:after="0" w:line="243"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40" w:hanging="372"/>
        <w:spacing w:after="0" w:line="256"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380" w:hanging="372"/>
        <w:spacing w:after="0"/>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4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our SBIC Fund under a separate administration agreement. See Note 3.</w:t>
      </w:r>
    </w:p>
    <w:p>
      <w:pPr>
        <w:spacing w:after="0" w:line="18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9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 See Note 10.</w:t>
      </w:r>
    </w:p>
    <w:p>
      <w:pPr>
        <w:spacing w:after="0" w:line="188"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firstLine="438"/>
        <w:spacing w:after="0" w:line="271"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during the first quarter of 2020, and any other parameters used in determining these estimates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620" w:hanging="369"/>
        <w:spacing w:after="0"/>
        <w:tabs>
          <w:tab w:leader="none" w:pos="6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0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1"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800" w:right="200" w:hanging="360"/>
        <w:spacing w:after="0" w:line="253"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620" w:hanging="369"/>
        <w:spacing w:after="0"/>
        <w:tabs>
          <w:tab w:leader="none" w:pos="6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2020, we had one portfolio company on non-accrual, representing 2.5% and 2.3% of our overall portfolio on a cost and fair value basis, respectively. As of September 30, 2019, we had no portfolio companies on non-accrual.</w:t>
      </w:r>
    </w:p>
    <w:p>
      <w:pPr>
        <w:spacing w:after="0" w:line="197" w:lineRule="exact"/>
        <w:rPr>
          <w:sz w:val="20"/>
          <w:szCs w:val="20"/>
          <w:color w:val="auto"/>
        </w:rPr>
      </w:pPr>
    </w:p>
    <w:p>
      <w:pPr>
        <w:ind w:left="620" w:hanging="369"/>
        <w:spacing w:after="0"/>
        <w:tabs>
          <w:tab w:leader="none" w:pos="6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 U.S. federal excise tax. Additionally, certain of the Company’s consolidated subsidiaries are subject to U.S. federal and state income taxes. For the three and nine months ended June 30, 2020, we recorded a provision for taxes of $0.3 million (approximately one-half of which was for U.S. federal excise tax and the remainder for U.S. federal and state income taxes and franchise taxes related to the Taxable Subsidiaries) and $0.9 million (approximately one-half of which was for U.S. federal excise tax and the remainder for U.S. federal and state income taxes and franchise taxes related to the Taxable Subsidiaries), respectively. For both the three and nine months ended June 30, 2019, we recorded a provision for taxes of $0.3 million (which consisted of $0.2 million for U.S. federal excise tax and the remainder for U.S. federal and state income taxes and franchise taxes related to the Taxable Subsidiaries) and $0.9 million (which consisted of $0.6 million for U.S. federal excise tax and the remainder for U.S. federal and state income taxes and franchise taxes related to the Taxable Subsidiaries), respectively.</w:t>
      </w:r>
    </w:p>
    <w:p>
      <w:pPr>
        <w:spacing w:after="0" w:line="195"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320" w:firstLine="438"/>
        <w:spacing w:after="0" w:line="296" w:lineRule="auto"/>
        <w:rPr>
          <w:sz w:val="20"/>
          <w:szCs w:val="20"/>
          <w:color w:val="auto"/>
        </w:rPr>
      </w:pPr>
      <w:r>
        <w:rPr>
          <w:rFonts w:ascii="Arial" w:cs="Arial" w:eastAsia="Arial" w:hAnsi="Arial"/>
          <w:sz w:val="12"/>
          <w:szCs w:val="12"/>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620" w:hanging="369"/>
        <w:spacing w:after="0"/>
        <w:tabs>
          <w:tab w:leader="none" w:pos="6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87" w:lineRule="exact"/>
        <w:rPr>
          <w:sz w:val="20"/>
          <w:szCs w:val="20"/>
          <w:color w:val="auto"/>
        </w:rPr>
      </w:pPr>
    </w:p>
    <w:p>
      <w:pPr>
        <w:ind w:left="620" w:hanging="369"/>
        <w:spacing w:after="0"/>
        <w:tabs>
          <w:tab w:leader="none" w:pos="6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5560" w:right="2900" w:hanging="5120"/>
        <w:spacing w:after="0" w:line="796" w:lineRule="auto"/>
        <w:tabs>
          <w:tab w:leader="none" w:pos="812"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left="800" w:hanging="360"/>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620" w:hanging="369"/>
        <w:spacing w:after="0"/>
        <w:tabs>
          <w:tab w:leader="none" w:pos="6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21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 and our Taxable Subsidiaries in our Consolidated Financial Statements.</w:t>
      </w:r>
    </w:p>
    <w:p>
      <w:pPr>
        <w:spacing w:after="0" w:line="196" w:lineRule="exact"/>
        <w:rPr>
          <w:sz w:val="20"/>
          <w:szCs w:val="20"/>
          <w:color w:val="auto"/>
        </w:rPr>
      </w:pPr>
    </w:p>
    <w:p>
      <w:pPr>
        <w:ind w:left="620" w:hanging="369"/>
        <w:spacing w:after="0"/>
        <w:tabs>
          <w:tab w:leader="none" w:pos="620"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Our SBIC Fund’s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99"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2020, the Investment Adviser earned a base management fee of $4.6 million and $14.3 million, respectively, from us. For the three and nine months ended June 30, 2019, the Investment Adviser earned a base management fee of $4.7 million and $13.6 million, respectively, from us.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Beginning April 1, 2020 and through September 30, 2020, the Investment Adviser has voluntarily agreed, in consultation with our board of directors, to irrevocably waive the performance-based incentive fees. For the three and nine months ended June 30, 2020, the Investment Adviser earned zero (after waiver of $1.9 million) and $2.7 million (after waiver of $1.9 million), respectively, in incentive fees on net investment income from us. For the three and nine months ended June 30, 2019, the Investment Adviser earned $2.5 million and $5.1 million, respectively, in incentive fees on net investment income from us.</w:t>
      </w:r>
    </w:p>
    <w:p>
      <w:pPr>
        <w:spacing w:after="0" w:line="117"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2020 and 2019,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nine months ended June 30, 2020 and 2019, the Investment Adviser did not accrue an incentive fee on capital gains as calculated under GAAP.</w:t>
      </w:r>
    </w:p>
    <w:p>
      <w:pPr>
        <w:spacing w:after="0" w:line="176"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2020. Under the Administration Agreement, the Administrator provides administrative services and office facilities to us. The Administrator provides similar services to our SBIC Fund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2020, we reimbursed the Investment Adviser approximately $0.3 million and $1.2 million, respectively, including expenses the Investment Adviser incurred on behalf of the Administrator, for services described above. For the three and nine months ended June 30, 2019, we reimbursed the Investment Adviser approximately $0.4 million and $1.5 million, respectively, including expenses the Investment Adviser incurred on behalf of the Administrator, for services described above.</w:t>
      </w:r>
    </w:p>
    <w:p>
      <w:pPr>
        <w:spacing w:after="0" w:line="19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For the three and nine months ended June 30, 2020, the Company purchased zero and $15.0 million in total investments from an affiliated fund managed by our Investment Adviser in accordance with, and pursuant to, procedures adopted under Rule 17a-7 of the 1940 Act, respectively. There were no transactions subject to Rule 17a-7 under the 1940 Act during both the three and nine months ended June 30, 2019.</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jc w:val="both"/>
        <w:ind w:right="180" w:firstLine="438"/>
        <w:spacing w:after="0" w:line="296" w:lineRule="auto"/>
        <w:rPr>
          <w:sz w:val="20"/>
          <w:szCs w:val="20"/>
          <w:color w:val="auto"/>
        </w:rPr>
      </w:pPr>
      <w:r>
        <w:rPr>
          <w:rFonts w:ascii="Arial" w:cs="Arial" w:eastAsia="Arial" w:hAnsi="Arial"/>
          <w:sz w:val="12"/>
          <w:szCs w:val="12"/>
          <w:color w:val="auto"/>
        </w:rPr>
        <w:t>Purchases of investments, including PIK interest, for the three and nine months ended June 30, 2020 totaled $15.3 million and $304.0 million, respectively. For the same periods in the prior year, purchases of investments, including PIK interest, totaled $120.5 million and $503.6 million, respectively. Sales and repayments of investments for the three and nine months ended June 30, 2020 totaled $66.5 million and $114.1 million, respectively. For the same periods in the prior year, sales and repayments of investments totaled $84.7 million and $325.6 million, respectively.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813,437,134</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789,383,250</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697,120,114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695,280,815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246,974,219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237,479,558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269,204,159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269,310,647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67,540,510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65,752,449</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61,522,066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310,496,336</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240,733,604</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229,176,376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193,653,664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1,438,448,199</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1,333,348,861</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1,257,022,715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51,620,212</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51,565,044</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59,546,438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1,490,068,411</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1,384,913,905</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1,316,569,153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20" w:type="dxa"/>
            <w:vAlign w:val="bottom"/>
            <w:tcBorders>
              <w:bottom w:val="single" w:sz="8" w:color="CCECFF"/>
            </w:tcBorders>
          </w:tcPr>
          <w:p>
            <w:pPr>
              <w:spacing w:after="0"/>
              <w:rPr>
                <w:sz w:val="14"/>
                <w:szCs w:val="14"/>
                <w:color w:val="auto"/>
              </w:rPr>
            </w:pPr>
          </w:p>
        </w:tc>
        <w:tc>
          <w:tcPr>
            <w:tcW w:w="1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520" w:type="dxa"/>
            <w:vAlign w:val="bottom"/>
            <w:tcBorders>
              <w:bottom w:val="single" w:sz="8" w:color="CCECFF"/>
            </w:tcBorders>
          </w:tcPr>
          <w:p>
            <w:pPr>
              <w:spacing w:after="0"/>
              <w:rPr>
                <w:sz w:val="14"/>
                <w:szCs w:val="14"/>
                <w:color w:val="auto"/>
              </w:rPr>
            </w:pPr>
          </w:p>
        </w:tc>
        <w:tc>
          <w:tcPr>
            <w:tcW w:w="28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2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w:t>
            </w:r>
          </w:p>
        </w:tc>
        <w:tc>
          <w:tcPr>
            <w:tcW w:w="52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w:t>
            </w:r>
          </w:p>
        </w:tc>
        <w:tc>
          <w:tcPr>
            <w:tcW w:w="32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Energy and Utilities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Media</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Consumer Products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Aerospace and Defense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Auto Sector</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Building Materials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Electronics</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Environmental Services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Hotels, Motels, Inns and Gaming</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Printing and Publishing</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Transportation</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Distribution</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Education</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Insurance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Other Media</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Telecommunications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4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w:t>
            </w:r>
          </w:p>
        </w:tc>
        <w:tc>
          <w:tcPr>
            <w:tcW w:w="520" w:type="dxa"/>
            <w:vAlign w:val="bottom"/>
            <w:tcBorders>
              <w:top w:val="single" w:sz="8" w:color="CCECFF"/>
              <w:bottom w:val="single" w:sz="8" w:color="CCECFF"/>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w:t>
            </w:r>
          </w:p>
        </w:tc>
        <w:tc>
          <w:tcPr>
            <w:tcW w:w="320" w:type="dxa"/>
            <w:vAlign w:val="bottom"/>
            <w:tcBorders>
              <w:top w:val="single" w:sz="8" w:color="CCECFF"/>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9"/>
        </w:trPr>
        <w:tc>
          <w:tcPr>
            <w:tcW w:w="5440" w:type="dxa"/>
            <w:vAlign w:val="bottom"/>
          </w:tcPr>
          <w:p>
            <w:pPr>
              <w:spacing w:after="0"/>
              <w:rPr>
                <w:sz w:val="24"/>
                <w:szCs w:val="24"/>
                <w:color w:val="auto"/>
              </w:rPr>
            </w:pPr>
          </w:p>
        </w:tc>
        <w:tc>
          <w:tcPr>
            <w:tcW w:w="2080" w:type="dxa"/>
            <w:vAlign w:val="bottom"/>
            <w:gridSpan w:val="2"/>
          </w:tcPr>
          <w:p>
            <w:pPr>
              <w:jc w:val="right"/>
              <w:ind w:right="1748"/>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5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60" w:firstLine="438"/>
        <w:spacing w:after="0" w:line="277" w:lineRule="auto"/>
        <w:rPr>
          <w:sz w:val="20"/>
          <w:szCs w:val="20"/>
          <w:color w:val="auto"/>
        </w:rPr>
      </w:pPr>
      <w:r>
        <w:rPr>
          <w:rFonts w:ascii="Arial" w:cs="Arial" w:eastAsia="Arial" w:hAnsi="Arial"/>
          <w:sz w:val="12"/>
          <w:szCs w:val="12"/>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8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ind w:left="520"/>
              <w:spacing w:after="0"/>
              <w:rPr>
                <w:sz w:val="20"/>
                <w:szCs w:val="20"/>
                <w:color w:val="auto"/>
              </w:rPr>
            </w:pPr>
            <w:r>
              <w:rPr>
                <w:rFonts w:ascii="Arial" w:cs="Arial" w:eastAsia="Arial" w:hAnsi="Arial"/>
                <w:sz w:val="14"/>
                <w:szCs w:val="14"/>
                <w:b w:val="1"/>
                <w:bCs w:val="1"/>
                <w:color w:val="auto"/>
              </w:rPr>
              <w:t>(Unaudited)</w:t>
            </w: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160" w:type="dxa"/>
            <w:vAlign w:val="bottom"/>
            <w:gridSpan w:val="9"/>
          </w:tcPr>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24"/>
                <w:szCs w:val="2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Fair Value at June 30,</w:t>
            </w:r>
          </w:p>
        </w:tc>
        <w:tc>
          <w:tcPr>
            <w:tcW w:w="280" w:type="dxa"/>
            <w:vAlign w:val="bottom"/>
          </w:tcPr>
          <w:p>
            <w:pPr>
              <w:spacing w:after="0"/>
              <w:rPr>
                <w:sz w:val="24"/>
                <w:szCs w:val="2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68,686,617</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ind w:right="6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720,696,633</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1360" w:type="dxa"/>
            <w:vAlign w:val="bottom"/>
          </w:tcPr>
          <w:p>
            <w:pPr>
              <w:ind w:left="20"/>
              <w:spacing w:after="0"/>
              <w:rPr>
                <w:sz w:val="20"/>
                <w:szCs w:val="20"/>
                <w:color w:val="auto"/>
              </w:rPr>
            </w:pPr>
            <w:r>
              <w:rPr>
                <w:rFonts w:ascii="Arial" w:cs="Arial" w:eastAsia="Arial" w:hAnsi="Arial"/>
                <w:sz w:val="14"/>
                <w:szCs w:val="14"/>
                <w:color w:val="auto"/>
              </w:rPr>
              <w:t>– 14.5% (9.0%)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0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237,479,558</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8.8% – 16.9% (11.5%)</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65,752,449</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1360" w:type="dxa"/>
            <w:vAlign w:val="bottom"/>
          </w:tcPr>
          <w:p>
            <w:pPr>
              <w:ind w:left="20"/>
              <w:spacing w:after="0"/>
              <w:rPr>
                <w:sz w:val="20"/>
                <w:szCs w:val="20"/>
                <w:color w:val="auto"/>
              </w:rPr>
            </w:pPr>
            <w:r>
              <w:rPr>
                <w:rFonts w:ascii="Arial" w:cs="Arial" w:eastAsia="Arial" w:hAnsi="Arial"/>
                <w:sz w:val="14"/>
                <w:szCs w:val="14"/>
                <w:color w:val="auto"/>
              </w:rPr>
              <w:t>– 18.0% (17.0%)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238,828,457</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5"/>
              </w:rPr>
              <w:t>4.2x – 14.6x (12.3x)</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1,331,443,714</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720" w:type="dxa"/>
            <w:vAlign w:val="bottom"/>
            <w:tcBorders>
              <w:bottom w:val="single" w:sz="8" w:color="CCECFF"/>
            </w:tcBorders>
          </w:tcPr>
          <w:p>
            <w:pPr>
              <w:spacing w:after="0"/>
              <w:rPr>
                <w:sz w:val="17"/>
                <w:szCs w:val="17"/>
                <w:color w:val="auto"/>
              </w:rPr>
            </w:pPr>
          </w:p>
        </w:tc>
        <w:tc>
          <w:tcPr>
            <w:tcW w:w="136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Facilities</w:t>
            </w:r>
          </w:p>
        </w:tc>
        <w:tc>
          <w:tcPr>
            <w:tcW w:w="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634,089,103</w:t>
            </w:r>
          </w:p>
        </w:tc>
        <w:tc>
          <w:tcPr>
            <w:tcW w:w="28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080" w:type="dxa"/>
            <w:vAlign w:val="bottom"/>
            <w:tcBorders>
              <w:bottom w:val="single" w:sz="8" w:color="CCECFF"/>
            </w:tcBorders>
            <w:gridSpan w:val="2"/>
            <w:shd w:val="clear" w:color="auto" w:fill="CCECFF"/>
          </w:tcPr>
          <w:p>
            <w:pPr>
              <w:jc w:val="center"/>
              <w:spacing w:after="0" w:line="143" w:lineRule="exact"/>
              <w:rPr>
                <w:sz w:val="20"/>
                <w:szCs w:val="20"/>
                <w:color w:val="auto"/>
              </w:rPr>
            </w:pPr>
            <w:r>
              <w:rPr>
                <w:rFonts w:ascii="Arial" w:cs="Arial" w:eastAsia="Arial" w:hAnsi="Arial"/>
                <w:sz w:val="14"/>
                <w:szCs w:val="14"/>
                <w:color w:val="auto"/>
                <w:w w:val="94"/>
              </w:rPr>
              <w:t>3.6% – 3.9 % (3.8%)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24"/>
                <w:szCs w:val="2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280" w:type="dxa"/>
            <w:vAlign w:val="bottom"/>
          </w:tcPr>
          <w:p>
            <w:pPr>
              <w:spacing w:after="0"/>
              <w:rPr>
                <w:sz w:val="24"/>
                <w:szCs w:val="2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30,300,736</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ind w:right="6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55,556,250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Broker/Dealer bids or quotes</w:t>
            </w:r>
          </w:p>
        </w:tc>
        <w:tc>
          <w:tcPr>
            <w:tcW w:w="720" w:type="dxa"/>
            <w:vAlign w:val="bottom"/>
          </w:tcPr>
          <w:p>
            <w:pPr>
              <w:spacing w:after="0"/>
              <w:rPr>
                <w:sz w:val="14"/>
                <w:szCs w:val="14"/>
                <w:color w:val="auto"/>
              </w:rPr>
            </w:pPr>
          </w:p>
        </w:tc>
        <w:tc>
          <w:tcPr>
            <w:tcW w:w="1360" w:type="dxa"/>
            <w:vAlign w:val="bottom"/>
          </w:tcPr>
          <w:p>
            <w:pPr>
              <w:jc w:val="center"/>
              <w:ind w:right="6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10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664,980,079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15.8% (8.7%)</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213,754,397</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360" w:type="dxa"/>
            <w:vAlign w:val="bottom"/>
          </w:tcPr>
          <w:p>
            <w:pPr>
              <w:ind w:left="20"/>
              <w:spacing w:after="0"/>
              <w:rPr>
                <w:sz w:val="20"/>
                <w:szCs w:val="20"/>
                <w:color w:val="auto"/>
              </w:rPr>
            </w:pPr>
            <w:r>
              <w:rPr>
                <w:rFonts w:ascii="Arial" w:cs="Arial" w:eastAsia="Arial" w:hAnsi="Arial"/>
                <w:sz w:val="14"/>
                <w:szCs w:val="14"/>
                <w:color w:val="auto"/>
              </w:rPr>
              <w:t>– 12.7% (11.4%)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0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16.1% (15.2%)</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192,859,084</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5"/>
              </w:rPr>
              <w:t>0.6x – 17.3x (12.1x)</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Facilities</w:t>
            </w: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3.9% – 4.2% (4.1%)</w:t>
            </w:r>
          </w:p>
        </w:tc>
        <w:tc>
          <w:tcPr>
            <w:tcW w:w="0" w:type="dxa"/>
            <w:vAlign w:val="bottom"/>
          </w:tcPr>
          <w:p>
            <w:pPr>
              <w:spacing w:after="0" w:line="20" w:lineRule="exact"/>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465,390,214</w:t>
            </w:r>
          </w:p>
        </w:tc>
        <w:tc>
          <w:tcPr>
            <w:tcW w:w="2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Facilities, SBA debentures and 2024 Notes were categorized as follows in the fair value hierarchy for ASC 820 purposes: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 at June 30, 2020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1,092,615,257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1,092,615,257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240,733,604</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1,905,147</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238,828,457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1,333,348,861</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1,905,147</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1,331,443,714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51,565,044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51,565,044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1,384,913,905</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51,565,044</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1,905,147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1,331,443,714</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236,670,000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236,670,000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397,419,103</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397,419,103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130,383,825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130,383,825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77,625,000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77,625,000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842,097,928</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77,625,000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764,472,928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at September 30, 2019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193,653,664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794,580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192,859,084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794,580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60,310,816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683,757,876</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72,256,607</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611,501,269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ind w:left="380" w:right="40" w:hanging="372"/>
        <w:spacing w:after="0" w:line="238"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We elected not to apply the fair-value option allowed by ASC 825-10 to the SBA debentures or the 2024 Notes and thus the balance reported in the Consolidated Statement of Assets and Liabilities represents the carrying value. As of June 30, 2020 and September 30, 2019, the carrying value of the SBA debentures approximates the fair value. As of September 30, 2019, the carrying value of the 2024 Notes approximates the fair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480" w:type="dxa"/>
            <w:vAlign w:val="bottom"/>
            <w:gridSpan w:val="3"/>
          </w:tcPr>
          <w:p>
            <w:pPr>
              <w:jc w:val="right"/>
              <w:ind w:right="569"/>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0020" w:type="dxa"/>
            <w:vAlign w:val="bottom"/>
            <w:gridSpan w:val="14"/>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fair valued investments measured using significant unobservable inputs (Level 3):</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9"/>
          </w:tcPr>
          <w:p>
            <w:pPr>
              <w:jc w:val="center"/>
              <w:ind w:right="8"/>
              <w:spacing w:after="0"/>
              <w:rPr>
                <w:sz w:val="20"/>
                <w:szCs w:val="20"/>
                <w:color w:val="auto"/>
              </w:rPr>
            </w:pPr>
            <w:r>
              <w:rPr>
                <w:rFonts w:ascii="Arial" w:cs="Arial" w:eastAsia="Arial" w:hAnsi="Arial"/>
                <w:sz w:val="14"/>
                <w:szCs w:val="14"/>
                <w:b w:val="1"/>
                <w:bCs w:val="1"/>
                <w:color w:val="auto"/>
                <w:w w:val="93"/>
              </w:rPr>
              <w:t>Nine Months Ended June 30, 2020</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1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12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1,410,495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(12,127,225)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(10,716,730)</w:t>
            </w: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(33,269,398)</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(33,057,028)</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(66,326,426)</w:t>
            </w: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212,317,320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91,616,533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303,933,853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(113,622,294)</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(462,905)</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(114,085,199)</w:t>
            </w: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1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12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1,092,615,257</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238,828,457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1,331,443,714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depreciation on investments in our Consolidated Statements of Operations</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(33,179,844)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(34,796,749)</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(67,976,593)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9"/>
          </w:tcPr>
          <w:p>
            <w:pPr>
              <w:jc w:val="center"/>
              <w:ind w:right="8"/>
              <w:spacing w:after="0"/>
              <w:rPr>
                <w:sz w:val="20"/>
                <w:szCs w:val="20"/>
                <w:color w:val="auto"/>
              </w:rPr>
            </w:pPr>
            <w:r>
              <w:rPr>
                <w:rFonts w:ascii="Arial" w:cs="Arial" w:eastAsia="Arial" w:hAnsi="Arial"/>
                <w:sz w:val="14"/>
                <w:szCs w:val="14"/>
                <w:b w:val="1"/>
                <w:bCs w:val="1"/>
                <w:color w:val="auto"/>
                <w:w w:val="93"/>
              </w:rPr>
              <w:t>Nine Months Ended June 30, 2019</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12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160,656,044</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(1,960,965)</w:t>
            </w:r>
          </w:p>
        </w:tc>
        <w:tc>
          <w:tcPr>
            <w:tcW w:w="18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(88,205,089)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(90,166,054)</w:t>
            </w: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(11,140,066)</w:t>
            </w:r>
          </w:p>
        </w:tc>
        <w:tc>
          <w:tcPr>
            <w:tcW w:w="1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64,713,351</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53,573,285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455,226,215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49,614,789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504,841,004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(316,284,666)</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(9,241,606)</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(325,526,272)</w:t>
            </w: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1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28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1,096,428,221</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177,537,489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1,273,965,710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(depreciation) appreciation reported within the net change in</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depreciation on investments in our Consolidated Statements of Operations</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(10,742,125)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79,625,708</w:t>
            </w:r>
          </w:p>
        </w:tc>
        <w:tc>
          <w:tcPr>
            <w:tcW w:w="10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68,883,583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0" w:type="dxa"/>
            <w:vAlign w:val="bottom"/>
            <w:gridSpan w:val="3"/>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020" w:type="dxa"/>
            <w:vAlign w:val="bottom"/>
            <w:gridSpan w:val="14"/>
          </w:tcPr>
          <w:p>
            <w:pPr>
              <w:ind w:left="44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$472,636,000 and $80,520,000, respectively)</w:t>
            </w:r>
          </w:p>
        </w:tc>
        <w:tc>
          <w:tcPr>
            <w:tcW w:w="1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(21,301,111)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(8,591,639)</w:t>
            </w: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279,000,000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821,000,000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(89,000,000)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(352,884,000)</w:t>
            </w: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120" w:type="dxa"/>
            <w:vAlign w:val="bottom"/>
          </w:tcPr>
          <w:p>
            <w:pPr>
              <w:spacing w:after="0" w:line="155" w:lineRule="exact"/>
              <w:rPr>
                <w:sz w:val="20"/>
                <w:szCs w:val="20"/>
                <w:color w:val="auto"/>
              </w:rPr>
            </w:pPr>
            <w:r>
              <w:rPr>
                <w:rFonts w:ascii="Arial" w:cs="Arial" w:eastAsia="Arial" w:hAnsi="Arial"/>
                <w:sz w:val="14"/>
                <w:szCs w:val="14"/>
                <w:color w:val="auto"/>
              </w:rPr>
              <w:t>Ending Balance (cost – $662,636,000 and $548,636,000, respectively)</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634,089,103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537,170,191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tcPr>
          <w:p>
            <w:pPr>
              <w:spacing w:after="0" w:line="155" w:lineRule="exact"/>
              <w:rPr>
                <w:sz w:val="20"/>
                <w:szCs w:val="20"/>
                <w:color w:val="auto"/>
              </w:rPr>
            </w:pPr>
            <w:r>
              <w:rPr>
                <w:rFonts w:ascii="Arial" w:cs="Arial" w:eastAsia="Arial" w:hAnsi="Arial"/>
                <w:sz w:val="14"/>
                <w:szCs w:val="14"/>
                <w:color w:val="auto"/>
              </w:rPr>
              <w:t>Ending Balance (cost – $662,636,000 and $560,636,000, respectively)</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634,089,103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549,170,191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2020, we had outstanding non-U.S. dollar borrowings on our Credit Facilities. Net change in fair value on foreign currency translation on outstanding borrowings is listed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35,832,400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September 17,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(4,303,600)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our Credit Facilities.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35,736,700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(4,399,300)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no expenses for both the three and nine months ended June 30, 2020. During the three and nine months ended June 30, 2019, we incurred expenses of zero and $4.9 million, respectively, relating to debt issuance costs on the BNP Credit Facility and the prepayment of the 2019 Notes.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2024 Notes and the SBA debentures.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80" w:firstLine="438"/>
        <w:spacing w:after="0" w:line="255" w:lineRule="auto"/>
        <w:rPr>
          <w:sz w:val="20"/>
          <w:szCs w:val="20"/>
          <w:color w:val="auto"/>
        </w:rPr>
      </w:pPr>
      <w:r>
        <w:rPr>
          <w:rFonts w:ascii="Arial" w:cs="Arial" w:eastAsia="Arial" w:hAnsi="Arial"/>
          <w:sz w:val="13"/>
          <w:szCs w:val="13"/>
          <w:color w:val="auto"/>
        </w:rPr>
        <w:t>For the three and nine months ended June 30, 2020, our Credit Facilities had a net change in unrealized (appreciation) depreciation of $(25.1) million and $21.3 million, respectively. For the three and nine months ended June 30, 2019, our Credit Facilities and the 2019 Notes had a net change in unrealized depreciation of $0.2 million and $9.9 million, respectively. As of June 30, 2020 and September 30, 2019, the net unrealized depreciation on our Credit Facilities totaled $28.5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2"/>
                <w:szCs w:val="12"/>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PIK</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Additions</w:t>
            </w:r>
            <w:r>
              <w:rPr>
                <w:rFonts w:ascii="Arial" w:cs="Arial" w:eastAsia="Arial" w:hAnsi="Arial"/>
                <w:sz w:val="12"/>
                <w:szCs w:val="12"/>
                <w:b w:val="1"/>
                <w:bCs w:val="1"/>
                <w:color w:val="auto"/>
                <w:w w:val="95"/>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Reductions</w:t>
            </w:r>
          </w:p>
        </w:tc>
        <w:tc>
          <w:tcPr>
            <w:tcW w:w="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Income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20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AKW Holdings Limited</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37,059,204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(3,327,324)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33,731,880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1,746,586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72,434,438</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7,385,357</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1,566,673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81,386,468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46,856</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4,403,889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123,957,717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11,443,334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(37,194,143)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98,206,908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1,426,666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60" w:type="dxa"/>
            <w:vAlign w:val="bottom"/>
            <w:tcBorders>
              <w:top w:val="single" w:sz="8" w:color="CCECFF"/>
            </w:tcBorders>
            <w:shd w:val="clear" w:color="auto" w:fill="CCECFF"/>
          </w:tcPr>
          <w:p>
            <w:pPr>
              <w:ind w:left="140"/>
              <w:spacing w:after="0" w:line="155" w:lineRule="exact"/>
              <w:rPr>
                <w:sz w:val="20"/>
                <w:szCs w:val="20"/>
                <w:color w:val="auto"/>
              </w:rPr>
            </w:pPr>
            <w:r>
              <w:rPr>
                <w:rFonts w:ascii="Arial" w:cs="Arial" w:eastAsia="Arial" w:hAnsi="Arial"/>
                <w:sz w:val="14"/>
                <w:szCs w:val="14"/>
                <w:color w:val="auto"/>
              </w:rPr>
              <w:t>Total 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233,451,359</w:t>
            </w: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18,828,691</w:t>
            </w: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ind w:left="7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(38,954,794)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213,325,256</w:t>
            </w: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1,793,442</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5,830,555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CFF"/>
          </w:tcPr>
          <w:p>
            <w:pPr>
              <w:ind w:left="4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22,717,376</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(11,457,459)</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11,259,917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60" w:type="dxa"/>
            <w:vAlign w:val="bottom"/>
          </w:tcPr>
          <w:p>
            <w:pPr>
              <w:spacing w:after="0" w:line="143" w:lineRule="exact"/>
              <w:rPr>
                <w:sz w:val="20"/>
                <w:szCs w:val="20"/>
                <w:color w:val="auto"/>
              </w:rPr>
            </w:pPr>
            <w:r>
              <w:rPr>
                <w:rFonts w:ascii="Arial" w:cs="Arial" w:eastAsia="Arial" w:hAnsi="Arial"/>
                <w:sz w:val="14"/>
                <w:szCs w:val="14"/>
                <w:color w:val="auto"/>
              </w:rPr>
              <w:t>MidOcean JF Holdings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tcPr>
          <w:p>
            <w:pPr>
              <w:ind w:left="120"/>
              <w:spacing w:after="0"/>
              <w:rPr>
                <w:sz w:val="20"/>
                <w:szCs w:val="20"/>
                <w:color w:val="auto"/>
              </w:rPr>
            </w:pPr>
            <w:r>
              <w:rPr>
                <w:rFonts w:ascii="Arial" w:cs="Arial" w:eastAsia="Arial" w:hAnsi="Arial"/>
                <w:sz w:val="14"/>
                <w:szCs w:val="14"/>
                <w:color w:val="auto"/>
              </w:rPr>
              <w:t>Corp.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26,631,962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(4,787,825)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21,872,241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6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49,349,338</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28,104</w:t>
            </w:r>
          </w:p>
        </w:tc>
        <w:tc>
          <w:tcPr>
            <w:tcW w:w="3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(16,245,284)</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33,132,158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6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282,800,697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18,856,795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(55,200,078)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246,457,414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1,793,442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5,830,555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4"/>
          <w:szCs w:val="14"/>
          <w:color w:val="auto"/>
        </w:rPr>
        <w:t>Includes PIK.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June 30,</w:t>
            </w:r>
          </w:p>
        </w:tc>
      </w:tr>
      <w:tr>
        <w:trPr>
          <w:trHeight w:val="25"/>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15,613,930</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5,628,851</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(25,476,264)</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7,660,543</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67,045,105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67,932,307</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w w:val="99"/>
              </w:rPr>
              <w:t>Basic and diluted net increase (decrease)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(0.38)</w:t>
            </w:r>
          </w:p>
        </w:tc>
        <w:tc>
          <w:tcPr>
            <w:tcW w:w="3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CFF"/>
          </w:tcPr>
          <w:p>
            <w:pPr>
              <w:spacing w:after="0"/>
              <w:rPr>
                <w:sz w:val="14"/>
                <w:szCs w:val="1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2020 and September 30, 2019, cash and cash equivalents consisted of money market funds in the amounts of $51.6 million and $59.5 million at fair value,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28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96"/>
              </w:rPr>
              <w:t>Nine Months Ended June 30,</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CECFF"/>
            </w:tcBorders>
          </w:tcPr>
          <w:p>
            <w:pPr>
              <w:spacing w:after="0"/>
              <w:rPr>
                <w:sz w:val="13"/>
                <w:szCs w:val="13"/>
                <w:color w:val="auto"/>
              </w:rPr>
            </w:pPr>
          </w:p>
        </w:tc>
        <w:tc>
          <w:tcPr>
            <w:tcW w:w="154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CECFF"/>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76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6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8.68</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0.47</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0.51</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Net realized and change in unrealized loss </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(0.85)</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55"/>
        </w:trPr>
        <w:tc>
          <w:tcPr>
            <w:tcW w:w="52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5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(0.38)</w:t>
            </w:r>
          </w:p>
        </w:tc>
        <w:tc>
          <w:tcPr>
            <w:tcW w:w="4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0.11</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(0.48)</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540" w:type="dxa"/>
            <w:vAlign w:val="bottom"/>
            <w:tcBorders>
              <w:bottom w:val="single" w:sz="8" w:color="CCEC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7.82</w:t>
            </w:r>
          </w:p>
        </w:tc>
        <w:tc>
          <w:tcPr>
            <w:tcW w:w="420" w:type="dxa"/>
            <w:vAlign w:val="bottom"/>
            <w:tcBorders>
              <w:bottom w:val="single" w:sz="8" w:color="CCEC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54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3.51</w:t>
            </w:r>
          </w:p>
        </w:tc>
        <w:tc>
          <w:tcPr>
            <w:tcW w:w="4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6.32</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(35.86)%</w:t>
            </w:r>
          </w:p>
        </w:tc>
        <w:tc>
          <w:tcPr>
            <w:tcW w:w="740" w:type="dxa"/>
            <w:vAlign w:val="bottom"/>
          </w:tcPr>
          <w:p>
            <w:pPr>
              <w:spacing w:after="0"/>
              <w:rPr>
                <w:sz w:val="12"/>
                <w:szCs w:val="12"/>
                <w:color w:val="auto"/>
              </w:rPr>
            </w:pPr>
          </w:p>
        </w:tc>
        <w:tc>
          <w:tcPr>
            <w:tcW w:w="13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54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420" w:type="dxa"/>
            <w:vAlign w:val="bottom"/>
            <w:tcBorders>
              <w:bottom w:val="single" w:sz="8" w:color="CCECFF"/>
            </w:tcBorders>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 xml:space="preserve">5.06% </w:t>
            </w:r>
            <w:r>
              <w:rPr>
                <w:rFonts w:ascii="Arial" w:cs="Arial" w:eastAsia="Arial" w:hAnsi="Arial"/>
                <w:sz w:val="12"/>
                <w:szCs w:val="12"/>
                <w:b w:val="1"/>
                <w:bCs w:val="1"/>
                <w:color w:val="auto"/>
              </w:rPr>
              <w:t>(8)</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6.21%</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54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vMerge w:val="continue"/>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rPr>
              <w:t xml:space="preserve">11.27% </w:t>
            </w:r>
            <w:r>
              <w:rPr>
                <w:rFonts w:ascii="Arial" w:cs="Arial" w:eastAsia="Arial" w:hAnsi="Arial"/>
                <w:sz w:val="12"/>
                <w:szCs w:val="12"/>
                <w:b w:val="1"/>
                <w:bCs w:val="1"/>
                <w:color w:val="auto"/>
              </w:rPr>
              <w:t>(8)</w:t>
            </w:r>
          </w:p>
        </w:tc>
        <w:tc>
          <w:tcPr>
            <w:tcW w:w="74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7.47%</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680" w:type="dxa"/>
            <w:vAlign w:val="bottom"/>
            <w:gridSpan w:val="2"/>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5"/>
              </w:rPr>
              <w:t>524,247,754</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585,709,524</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54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824,718,011</w:t>
            </w:r>
          </w:p>
        </w:tc>
        <w:tc>
          <w:tcPr>
            <w:tcW w:w="420" w:type="dxa"/>
            <w:vAlign w:val="bottom"/>
            <w:tcBorders>
              <w:bottom w:val="single" w:sz="8" w:color="CCEC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617,279,897</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12.30</w:t>
            </w: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9.09</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26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1,672</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2,036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11.39%</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4" w:lineRule="exact"/>
        <w:rPr>
          <w:sz w:val="20"/>
          <w:szCs w:val="20"/>
          <w:color w:val="auto"/>
        </w:rPr>
      </w:pPr>
    </w:p>
    <w:p>
      <w:pPr>
        <w:ind w:right="8240" w:firstLine="8"/>
        <w:spacing w:after="0" w:line="274" w:lineRule="auto"/>
        <w:tabs>
          <w:tab w:leader="none" w:pos="364"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line="186" w:lineRule="auto"/>
        <w:tabs>
          <w:tab w:leader="none" w:pos="38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Based on the weighted average shares outstanding for the respective periods.</w:t>
      </w:r>
    </w:p>
    <w:p>
      <w:pPr>
        <w:spacing w:after="0" w:line="5" w:lineRule="exact"/>
        <w:rPr>
          <w:rFonts w:ascii="Arial" w:cs="Arial" w:eastAsia="Arial" w:hAnsi="Arial"/>
          <w:sz w:val="20"/>
          <w:szCs w:val="20"/>
          <w:color w:val="auto"/>
          <w:vertAlign w:val="superscript"/>
        </w:rPr>
      </w:pPr>
    </w:p>
    <w:p>
      <w:pPr>
        <w:ind w:left="380" w:right="20" w:hanging="372"/>
        <w:spacing w:after="0" w:line="189" w:lineRule="auto"/>
        <w:tabs>
          <w:tab w:leader="none" w:pos="3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Based on the change in market price per share during the periods and assumes distributions, if any, reinvested.</w:t>
      </w:r>
    </w:p>
    <w:p>
      <w:pPr>
        <w:spacing w:after="0" w:line="5" w:lineRule="exact"/>
        <w:rPr>
          <w:rFonts w:ascii="Arial" w:cs="Arial" w:eastAsia="Arial" w:hAnsi="Arial"/>
          <w:sz w:val="20"/>
          <w:szCs w:val="20"/>
          <w:color w:val="auto"/>
          <w:vertAlign w:val="superscript"/>
        </w:rPr>
      </w:pPr>
    </w:p>
    <w:p>
      <w:pPr>
        <w:ind w:left="380" w:hanging="372"/>
        <w:spacing w:after="0" w:line="186"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Excludes debt related costs.</w:t>
      </w:r>
    </w:p>
    <w:p>
      <w:pPr>
        <w:spacing w:after="0" w:line="6" w:lineRule="exact"/>
        <w:rPr>
          <w:rFonts w:ascii="Arial" w:cs="Arial" w:eastAsia="Arial" w:hAnsi="Arial"/>
          <w:sz w:val="19"/>
          <w:szCs w:val="19"/>
          <w:color w:val="auto"/>
          <w:vertAlign w:val="superscript"/>
        </w:rPr>
      </w:pPr>
    </w:p>
    <w:p>
      <w:pPr>
        <w:ind w:left="380" w:hanging="372"/>
        <w:spacing w:after="0" w:line="186"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Includes interest and expenses on debt (annualized) as well as Credit Facility amendment and debt issuance costs, if any (not annualized).</w:t>
      </w:r>
    </w:p>
    <w:p>
      <w:pPr>
        <w:spacing w:after="0" w:line="6" w:lineRule="exact"/>
        <w:rPr>
          <w:rFonts w:ascii="Arial" w:cs="Arial" w:eastAsia="Arial" w:hAnsi="Arial"/>
          <w:sz w:val="19"/>
          <w:szCs w:val="19"/>
          <w:color w:val="auto"/>
          <w:vertAlign w:val="superscript"/>
        </w:rPr>
      </w:pPr>
    </w:p>
    <w:p>
      <w:pPr>
        <w:ind w:left="380" w:hanging="372"/>
        <w:spacing w:after="0" w:line="186"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Includes SBA debentures outstanding.</w:t>
      </w:r>
    </w:p>
    <w:p>
      <w:pPr>
        <w:spacing w:after="0" w:line="6" w:lineRule="exact"/>
        <w:rPr>
          <w:rFonts w:ascii="Arial" w:cs="Arial" w:eastAsia="Arial" w:hAnsi="Arial"/>
          <w:sz w:val="19"/>
          <w:szCs w:val="19"/>
          <w:color w:val="auto"/>
          <w:vertAlign w:val="superscript"/>
        </w:rPr>
      </w:pPr>
    </w:p>
    <w:p>
      <w:pPr>
        <w:jc w:val="both"/>
        <w:ind w:left="380" w:right="100" w:hanging="372"/>
        <w:spacing w:after="0" w:line="226"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rFonts w:ascii="Arial" w:cs="Arial" w:eastAsia="Arial" w:hAnsi="Arial"/>
          <w:sz w:val="22"/>
          <w:szCs w:val="22"/>
          <w:color w:val="auto"/>
          <w:vertAlign w:val="superscript"/>
        </w:rPr>
      </w:pPr>
    </w:p>
    <w:p>
      <w:pPr>
        <w:ind w:left="380" w:right="500" w:hanging="372"/>
        <w:spacing w:after="0" w:line="192" w:lineRule="auto"/>
        <w:tabs>
          <w:tab w:leader="none" w:pos="3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For the nine months ended June 30, 2020, the ratio of operating and total expenses before the performance-based incentive fee waiver to average net assets was 5.52%, and 11.73%,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annualized weighted average cost of debt for the nine months ended June 30, 2020 and 2019, inclusive of the fee on the undrawn commitment under the Credit Facilities, debt issuance costs on the BNP Credit Facility, prepayment penalties on the 2019 Notes and amortized upfront fees on the 2024 Notes and SBA debentures, was 4.2% and 5.4%, respectively. As of June 30,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8"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2020 and September 30, 2019, our asset coverage ratio, as computed in accordance with the 1940 Act, was 167% and 207%,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June 30, 2020 and September 30, 2019, Funding I had $245.0 million and $171.0 million in outstanding borrowings under the BNP Credit Facility, respectively. The BNP Credit Facility had a weighted average interest rate of 2.8% and 4.6%, respectively, exclusive of the fee on undrawn commitments, as of June 30, 2020 and September 30, 2019. The BNP Credit Facility is a five-year revolving facility with a stated maturity date of February 22, 2024 and pricing set at 260 basis points over LIBOR (or an alternative risk-free floating interest rate index). As of June 30, 2020 and September 30, 2019, Funding I had $5.0 million and $79.0 million of unused borrowing capacity under the BNP Credit Facility, respectively, subject to leverage and borrowing base restrictions. The BNP Credit Facility is secured by all of our assets held by Funding I. As of June 30, 2020, we were in compliance with the terms of the BNP Credit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17"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As of June 30, 2020, we had the multi-currency Truist Credit Facility for up to $475.0 million in borrowings with certain lenders and Truist Bank (formerly SunTrust Bank), acting as administrative agent, and JPMorgan Chase Bank, N.A., acting as syndication agent for the lenders. As of June 30, 2020 and September 30, 2019, we had $417.6 million and $301.6 million (including a $15.0 million temporary draw), respectively, in outstanding borrowings under the Truist Credit Facility. The Truist Credit Facility had a weighted average interest rate of 2.5% and 4.2%, respectively, exclusive of the fee on undrawn commitments, as of June 30, 2020 and September 30, 2019. The Truist Credit Facility is a revolving facility with a stated maturity date of September 4, 2024 ($55.0 million of the $475 million commitment will mature May 25, 2022), with a one-year term-out period and pricing set at 225 basis points over LIBOR (or an alternative risk-free floating interest rate index). As of June 30, 2020 and September 30, 2019, we had $57.4 million and $173.4 million of unused borrowing capacity under the Truist Credit Facility, respectively, subject to leverage and borrowing base restrictions. The Truist Credit Facility is secured by substantially all of our assets, excluding assets held by Funding I and SBIC II. As of June 30, 2020, we were in compliance with the terms of the Truist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June 30,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9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As of both June 30, 2020 and September 30, 2019, SBIC II had an initial $150.0 million in debt commitments, all of which were drawn. During the three and nine months ended June 30, 2020, zero and $16.5 million in SBA debentures were repaid, respectively. As of June 30, 2020 and September 30, 2019, the unamortized fees on the SBA debentures were $3.1 million and $3.9 million, respectively. The SBA debentures’ upfront fees of 3.4% consist of a commitment fee of 1.0% and an issuance discount of 2.4%, which are being amortized.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June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9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2020, SBIC II was in compliance with its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21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As of June 30, 2020 and September 30, 2019, we had $86.3 million and $75.0 million in aggregate principal amount of 2024 Notes outstanding, respectively. Interest on the 2024 Notes is paid quarterly on January 15, April 15, July 15 and October 15, at a rate of 5.5%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Facilities. The 2024 Notes may be repurchased from time to time in open market purchases and privately-negotiated transactions.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4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June 30, 2020 and September 30, 2019, we had $49.7 million and $30.4 million, respectively, in commitments to fund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determine which, if any, of our unconsolidated controlled portfolio companies is a "significant subsidiary" within the meaning of Regulation S-X. We have determined that, as of September 30, 2019, PT Networks, LLC and RAM Energy Holdings LLC triggered at least one of the significance tests. As a result and in accordance with Rule 10-01(b) of Regulation S-X under the Securities Act, presented below is summarized unaudited financial information for the three and nine months ended June 30, 2020 and 2019.</w:t>
      </w:r>
    </w:p>
    <w:p>
      <w:pPr>
        <w:spacing w:after="0" w:line="196" w:lineRule="exact"/>
        <w:rPr>
          <w:sz w:val="20"/>
          <w:szCs w:val="20"/>
          <w:color w:val="auto"/>
        </w:rPr>
      </w:pPr>
    </w:p>
    <w:p>
      <w:pPr>
        <w:ind w:left="800" w:hanging="360"/>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92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Nine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gridSpan w:val="2"/>
            <w:vMerge w:val="continue"/>
          </w:tcPr>
          <w:p>
            <w:pPr>
              <w:spacing w:after="0"/>
              <w:rPr>
                <w:sz w:val="13"/>
                <w:szCs w:val="13"/>
                <w:color w:val="auto"/>
              </w:rPr>
            </w:pPr>
          </w:p>
        </w:tc>
        <w:tc>
          <w:tcPr>
            <w:tcW w:w="10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48,150</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52,868</w:t>
            </w:r>
          </w:p>
        </w:tc>
        <w:tc>
          <w:tcPr>
            <w:tcW w:w="280" w:type="dxa"/>
            <w:vAlign w:val="bottom"/>
            <w:tcBorders>
              <w:top w:val="single" w:sz="8" w:color="CCECFF"/>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156,797</w:t>
            </w:r>
          </w:p>
        </w:tc>
        <w:tc>
          <w:tcPr>
            <w:tcW w:w="30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8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144,008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(55,685)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(68,683)</w:t>
            </w:r>
          </w:p>
        </w:tc>
        <w:tc>
          <w:tcPr>
            <w:tcW w:w="10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(165,707)</w:t>
            </w:r>
          </w:p>
        </w:tc>
        <w:tc>
          <w:tcPr>
            <w:tcW w:w="10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(181,901)</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CEC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(7,535)</w:t>
            </w:r>
          </w:p>
        </w:tc>
        <w:tc>
          <w:tcPr>
            <w:tcW w:w="1160" w:type="dxa"/>
            <w:vAlign w:val="bottom"/>
            <w:gridSpan w:val="2"/>
            <w:shd w:val="clear" w:color="auto" w:fill="CCECFF"/>
          </w:tcPr>
          <w:p>
            <w:pPr>
              <w:jc w:val="right"/>
              <w:ind w:right="88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(15,815)</w:t>
            </w:r>
          </w:p>
        </w:tc>
        <w:tc>
          <w:tcPr>
            <w:tcW w:w="1020" w:type="dxa"/>
            <w:vAlign w:val="bottom"/>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(8,910)</w:t>
            </w:r>
          </w:p>
        </w:tc>
        <w:tc>
          <w:tcPr>
            <w:tcW w:w="1000" w:type="dxa"/>
            <w:vAlign w:val="bottom"/>
            <w:shd w:val="clear" w:color="auto" w:fill="CCECFF"/>
          </w:tcPr>
          <w:p>
            <w:pPr>
              <w:jc w:val="right"/>
              <w:ind w:right="88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(37,893)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hanging="360"/>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96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10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3,392</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ind w:right="9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7,274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28,595</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21,111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(46,450)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(8,627)</w:t>
            </w:r>
          </w:p>
        </w:tc>
        <w:tc>
          <w:tcPr>
            <w:tcW w:w="36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(69,520)</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(24,904)</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CEC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(43,058)</w:t>
            </w:r>
          </w:p>
        </w:tc>
        <w:tc>
          <w:tcPr>
            <w:tcW w:w="1200" w:type="dxa"/>
            <w:vAlign w:val="bottom"/>
            <w:gridSpan w:val="2"/>
            <w:shd w:val="clear" w:color="auto" w:fill="CCECFF"/>
          </w:tcPr>
          <w:p>
            <w:pPr>
              <w:jc w:val="right"/>
              <w:ind w:right="9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(1,353)</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(40,925)</w:t>
            </w: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All amounts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22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and nine months ended June 30, 2019, we repurchased zero and 2.0 million shares of common stock, respectively, in open market transactions for an aggregate cost (including transaction costs) of zero and $14.5 million, respectively. We repurchased 4.0 million shares of our common stock in open market transactions while the program was in effect for an aggregate cost (including transaction costs) of $29.5 million.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221"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an amended and restated limited liability company agreement to co-manage a newly-formed joint venture, PennantPark Senior Loan Fund, LLC, or “PSLF”, whereby Pantheon has invested $35.0 million to acquire a 28% stake in PSLF. PSLF will acquire Funding I from us. Funding I holds $356 million of senior loans as of July 31, 2020. Further, as a result of this transaction, Funding I will become a wholly-owned subsidiary of PSLF and deconsolidate from our financial statements. PSLF is expected to invest primarily in middle market senior loans consistent with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2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right="100" w:firstLine="365"/>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June 30, 2020, the related consolidated statements of operations and the related consolidated statements of changes in net assets for the three and nine months ended June 30, 2020 and 2019, and cash flows for the nine months ended June 30, 2020 and 2019,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8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21, 2019, we expressed an unqualified opinion on those consolidated financial statements. In our opinion, the information set forth in the accompanying consolidated statement of assets and liabilities as of September 30, 2019,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w:t>
      </w:r>
    </w:p>
    <w:p>
      <w:pPr>
        <w:spacing w:after="0" w:line="217" w:lineRule="exact"/>
        <w:rPr>
          <w:rFonts w:ascii="Arial" w:cs="Arial" w:eastAsia="Arial" w:hAnsi="Arial"/>
          <w:sz w:val="14"/>
          <w:szCs w:val="14"/>
          <w:color w:val="auto"/>
        </w:rPr>
      </w:pPr>
    </w:p>
    <w:p>
      <w:pPr>
        <w:ind w:left="920" w:right="340" w:hanging="372"/>
        <w:spacing w:after="0" w:line="25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217"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87"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65" w:lineRule="exact"/>
        <w:rPr>
          <w:sz w:val="20"/>
          <w:szCs w:val="20"/>
          <w:color w:val="auto"/>
        </w:rPr>
      </w:pPr>
    </w:p>
    <w:p>
      <w:pPr>
        <w:ind w:right="260" w:firstLine="438"/>
        <w:spacing w:after="0" w:line="229" w:lineRule="auto"/>
        <w:rPr>
          <w:sz w:val="20"/>
          <w:szCs w:val="20"/>
          <w:color w:val="auto"/>
        </w:rPr>
      </w:pPr>
      <w:r>
        <w:rPr>
          <w:rFonts w:ascii="Arial" w:cs="Arial" w:eastAsia="Arial" w:hAnsi="Arial"/>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right="120"/>
        <w:spacing w:after="0" w:line="238" w:lineRule="auto"/>
        <w:rPr>
          <w:sz w:val="20"/>
          <w:szCs w:val="20"/>
          <w:color w:val="auto"/>
        </w:rPr>
      </w:pPr>
      <w:r>
        <w:rPr>
          <w:rFonts w:ascii="Arial" w:cs="Arial" w:eastAsia="Arial" w:hAnsi="Arial"/>
          <w:sz w:val="14"/>
          <w:szCs w:val="14"/>
          <w:color w:val="auto"/>
        </w:rPr>
        <w:t>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188"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 under its investment management agreement. Our SBIC Fund’s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 under its administration agreement with us. Our board of directors, a majority of whom are independent of us, provides overall supervision of our activities, and the Investment Adviser supervises our day-to-day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217"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it is possible that a resurgence of COVID-19 will require additional closures in the future.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97"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88"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198" w:lineRule="exact"/>
        <w:rPr>
          <w:sz w:val="20"/>
          <w:szCs w:val="20"/>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17"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the same quarter of the prior year. As of The continuing impact of the COVID-19 pandemic may result in additional portfolio investments being placed on non-accrual status in the future.</w:t>
      </w:r>
    </w:p>
    <w:p>
      <w:pPr>
        <w:spacing w:after="0" w:line="194"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We have had a significant reduction in our net asset value as of June 30, 2020 as compared to our net asset value as of September 30, 2019, which was primarily due to the immediate adverse economic effects of the COVID-19 pandemic, the continuing uncertainty surrounding its long-term impact as well as the re-pricing of credit risk in the broadly syndicated credit market. The decrease in net asset value as of June 30, 2020 as compared to September 30, 2019 primarily resulted from a decrease in the fair value of some of our portfolio company investments, which led to an increase in unrealized depreciation in respect of our portfolio company investments. In addition, our investment valuations are inherently less certain than they would be absent the impact of the COVID-19 pandemic and related market volatility and the values assigned as of this date may materially differ from the values that may ultimately be realized.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180" w:firstLine="438"/>
        <w:spacing w:after="0" w:line="231" w:lineRule="auto"/>
        <w:rPr>
          <w:sz w:val="20"/>
          <w:szCs w:val="20"/>
          <w:color w:val="auto"/>
        </w:rPr>
      </w:pPr>
      <w:r>
        <w:rPr>
          <w:rFonts w:ascii="Arial" w:cs="Arial" w:eastAsia="Arial" w:hAnsi="Arial"/>
          <w:sz w:val="14"/>
          <w:szCs w:val="14"/>
          <w:color w:val="auto"/>
        </w:rPr>
        <w:t>Additionally, as of June 30, 2020 and September 30, 2019, our asset coverage ratio, as computed in accordance with the 1940 Act, was 167% and 207%, respectively. Our Credit Facilities include standard covenants and events of default provisions. If we fail to make payments required under such facilities or breach the covenants therein, it could result in a default under the Credit Facilities. Failure to cure such default or obtain a waiver from the appropriate party would result in an event of default, and the applicable lender may accelerate the repayment of our indebtedness under the respective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97"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We are also subject to financial risks, including changes in market interest rates. As of June 30, 2020, our debt portfolio consisted of 94%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BNP Credit Facility and the Truist Credit Facility also have floating rate interest provisions, with pricing set at 260 basis points over LIBOR (or an alternative risk-free floating interest rate index) and 225 basis points over LIBOR (or an alternative risk-free floating interest rate index), respectively.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99" w:lineRule="exact"/>
        <w:rPr>
          <w:sz w:val="20"/>
          <w:szCs w:val="20"/>
          <w:color w:val="auto"/>
        </w:rPr>
      </w:pPr>
    </w:p>
    <w:p>
      <w:pPr>
        <w:ind w:right="120" w:firstLine="496"/>
        <w:spacing w:after="0" w:line="233" w:lineRule="auto"/>
        <w:rPr>
          <w:sz w:val="20"/>
          <w:szCs w:val="20"/>
          <w:color w:val="auto"/>
        </w:rPr>
      </w:pPr>
      <w:r>
        <w:rPr>
          <w:rFonts w:ascii="Arial" w:cs="Arial" w:eastAsia="Arial" w:hAnsi="Arial"/>
          <w:sz w:val="14"/>
          <w:szCs w:val="14"/>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2"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As of June 30, 2020, our portfolio totaled $1,333.3 million and consisted of $789.4 million of first lien secured debt, $237.5 million of second lien secured debt, $65.8 million of subordinated debt and $240.7 million of preferred and common equity. Our debt portfolio consisted of 94% variable-rate investments. As of June 30, 2020, we had one portfolio company on non-accrual, representing 2.5% and 2.3% of our overall portfolio on a cost and fair value basis, respectively. Overall, the portfolio had net unrealized depreciation of $105.2 million as of June 30, 2020. Our overall portfolio consisted of 86 companies with an average investment size of $15.5 million, had a weighted average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yield on interest bearing debt investments of 8.7% and was invested 59% in first lien secured debt, 18% in second lien secured debt, 5% in subordinated debt and 18% in preferred and common equity.</w:t>
      </w:r>
    </w:p>
    <w:p>
      <w:pPr>
        <w:spacing w:after="0" w:line="2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97" w:lineRule="exact"/>
        <w:rPr>
          <w:sz w:val="20"/>
          <w:szCs w:val="20"/>
          <w:color w:val="auto"/>
        </w:rPr>
      </w:pPr>
    </w:p>
    <w:p>
      <w:pPr>
        <w:ind w:right="220" w:firstLine="438"/>
        <w:spacing w:after="0" w:line="264" w:lineRule="auto"/>
        <w:rPr>
          <w:sz w:val="20"/>
          <w:szCs w:val="20"/>
          <w:color w:val="auto"/>
        </w:rPr>
      </w:pPr>
      <w:r>
        <w:rPr>
          <w:rFonts w:ascii="Arial" w:cs="Arial" w:eastAsia="Arial" w:hAnsi="Arial"/>
          <w:sz w:val="13"/>
          <w:szCs w:val="13"/>
          <w:color w:val="auto"/>
        </w:rPr>
        <w:t>For the three months ended June 30, 2020, we invested $11.7 million in one new and 12 existing portfolio companies with a weighted average yield on debt investments of 6.8%. Sales and repayments of investments for the three months ended June 30, 2020 totaled $66.5 million. For the nine months ended June 30, 2020, we invested $292.2 million in 22 new and 51 existing portfolio companies with a weighted average yield on debt investments of 8.5%. Sales and repayments of investments for the nine months ended June 30, 2020 totaled $114.1 million.</w:t>
      </w:r>
    </w:p>
    <w:p>
      <w:pPr>
        <w:spacing w:after="0" w:line="182" w:lineRule="exact"/>
        <w:rPr>
          <w:sz w:val="20"/>
          <w:szCs w:val="20"/>
          <w:color w:val="auto"/>
        </w:rPr>
      </w:pPr>
    </w:p>
    <w:p>
      <w:pPr>
        <w:jc w:val="both"/>
        <w:ind w:right="200" w:firstLine="438"/>
        <w:spacing w:after="0" w:line="264" w:lineRule="auto"/>
        <w:rPr>
          <w:sz w:val="20"/>
          <w:szCs w:val="20"/>
          <w:color w:val="auto"/>
        </w:rPr>
      </w:pPr>
      <w:r>
        <w:rPr>
          <w:rFonts w:ascii="Arial" w:cs="Arial" w:eastAsia="Arial" w:hAnsi="Arial"/>
          <w:sz w:val="13"/>
          <w:szCs w:val="13"/>
          <w:color w:val="auto"/>
        </w:rPr>
        <w:t>For the three months ended June 30, 2019, we invested $116.4 million in six new and 12 existing portfolio companies with a weighted average yield on debt investments of 10.3%. Sales and repayments of investments for the three months ended June 30, 2019 totaled $84.7 million. For the nine months ended June 30, 2019, we invested $494.8 million in 21 new and 38 existing portfolio companies with a weighted average yield on debt investments of 9.5%. Sales and repayments of investments for the nine months ended June 30, 2019 totaled $325.6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jc w:val="both"/>
        <w:ind w:right="4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hanging="372"/>
        <w:spacing w:after="0" w:line="253"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20" w:right="60" w:hanging="372"/>
        <w:spacing w:after="0" w:line="264" w:lineRule="auto"/>
        <w:tabs>
          <w:tab w:leader="none" w:pos="9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8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no expenses for both the three and nine months ended June 30, 2020. During both the three and nine months ended June 30, 2019, we incurred expenses of zero and $4.9 million, respectively, relating to debt issuance costs on the BNP Credit Facility and the prepayment of the 2019 Notes.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2024 Notes and the SBA debentures.</w:t>
      </w:r>
    </w:p>
    <w:p>
      <w:pPr>
        <w:spacing w:after="0" w:line="198" w:lineRule="exact"/>
        <w:rPr>
          <w:sz w:val="20"/>
          <w:szCs w:val="20"/>
          <w:color w:val="auto"/>
        </w:rPr>
      </w:pPr>
    </w:p>
    <w:p>
      <w:pPr>
        <w:jc w:val="both"/>
        <w:ind w:right="80" w:firstLine="438"/>
        <w:spacing w:after="0" w:line="255" w:lineRule="auto"/>
        <w:rPr>
          <w:sz w:val="20"/>
          <w:szCs w:val="20"/>
          <w:color w:val="auto"/>
        </w:rPr>
      </w:pPr>
      <w:r>
        <w:rPr>
          <w:rFonts w:ascii="Arial" w:cs="Arial" w:eastAsia="Arial" w:hAnsi="Arial"/>
          <w:sz w:val="13"/>
          <w:szCs w:val="13"/>
          <w:color w:val="auto"/>
        </w:rPr>
        <w:t>For the three and nine months ended June 30, 2020, our Credit Facilities had a net change in unrealized (appreciation) depreciation of $(25.1) million and $21.3 million, respectively. For the three and nine months ended June 30, 2019, our Credit Facilities and the 2019 Notes had a net change in unrealized depreciation of $0.2 million and $9.9 million, respectively. As of June 30, 2020 and September 30, 2019, the net unrealized depreciation on our Credit Facilities totaled $28.5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Facilities and the 2019 Notes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17" w:lineRule="exact"/>
        <w:rPr>
          <w:rFonts w:ascii="Arial" w:cs="Arial" w:eastAsia="Arial" w:hAnsi="Arial"/>
          <w:sz w:val="14"/>
          <w:szCs w:val="14"/>
          <w:color w:val="auto"/>
        </w:rPr>
      </w:pPr>
    </w:p>
    <w:p>
      <w:pPr>
        <w:ind w:left="920" w:hanging="372"/>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and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2" w:lineRule="exact"/>
        <w:rPr>
          <w:sz w:val="20"/>
          <w:szCs w:val="20"/>
          <w:color w:val="auto"/>
        </w:rPr>
      </w:pPr>
    </w:p>
    <w:p>
      <w:pPr>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Investment income for the three and nine months ended June 30, 2020 was $25.4 million and $78.9 million, respectively, and was primarily attributable to $17.6 million and $51.1 million from first lien secured debt, $5.1 million and $20.5 million from second lien secured debt and $2.5 million and $7.1 million from subordinated debt, respectively. This compares to investment income for the three and nine months ended June 30, 2019 of $28.1 million and $84.2 million, respectively, and was attributable to $16.7 million and $45.6 million from first lien secured debt, $9.2 million and $32.7 million from second lien secured debt and $2.2 million and $5.9 million from subordinated debt, preferred and common equity, respectively. The decrease in investment income compared to the same periods in the prior year was primarily due to decreases in LIBOR.</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Expenses for the three and nine months ended June 30, 2020 totaled $14.4 million and $47.5 million, respectively. Base management fee for the same periods totaled $4.6 million and $14.3 million, incentive fee totaled zero (after a waiver of $1.9 million) and $2.7 million (after a waiver of $1.9 million), debt related interest and expenses totaled $8.3 million and $26.1 million, general and administrative expenses totaled $1.2 million and $3.5 million and provision for taxes totaled $0.3 million and $0.9 million, respectively. This compares to net expenses for the three and nine months ended June 30, 2019, which totaled $16.5 million and $49.2 million, respectively. Base management fee for the same periods totaled $4.7 million and $13.6 million, incentive fee totaled $2.5 million and $5.1 million, debt related interest and expenses totaled $7.8 million and $26.0 million (including $2.2 million of make-whole premium on the repayment of the 2019 Notes and $2.7 million in debt issuance costs on the BNP Credit Facility), general and administrative expenses totaled $1.2 million and $3.6 million and provision for taxes totaled $0.3 million and $0.9 million, respectively. The decrease in expenses for the three months ended June 30, 2020 compared to the same period in the prior year was primarily due to the performance-based incentive fee waiver. The decrease in expenses for the nine months ended June 30, 2020 compared to the same period in the prior year was primarily due to performance-based incentive fee waiver and financing costs incurred in the prior year in connection with the redemption of the 2019 Notes, partially offset by the higher leverage costs.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Net investment income totaled $11.0 million and $31.5 million, or $0.16 and $0.47 per share, for the three and nine months ended June 30, 2020, respectively. Net investment income totaled $11.6 million and $35.0 million, or $0.17 and $0.51 per share, for the three and nine months ended June 30, 2019, respectively. The decrease in net investment income compared to the same periods in the prior year was primarily due to lower investment income as well as higher leverage costs, partially offset by the performance-based incentive fee waiver.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ind w:firstLine="438"/>
        <w:spacing w:after="0" w:line="296" w:lineRule="auto"/>
        <w:rPr>
          <w:sz w:val="20"/>
          <w:szCs w:val="20"/>
          <w:color w:val="auto"/>
        </w:rPr>
      </w:pPr>
      <w:r>
        <w:rPr>
          <w:rFonts w:ascii="Arial" w:cs="Arial" w:eastAsia="Arial" w:hAnsi="Arial"/>
          <w:sz w:val="12"/>
          <w:szCs w:val="12"/>
          <w:color w:val="auto"/>
        </w:rPr>
        <w:t>Sales and repayments of investments for the three and nine months ended June 30, 2020 totaled $66.5 million and $114.1 million, respectively, and net realized losses totaled $0.1 million and $10.7 million, respectively. Sales and repayments of investments for the three and nine months ended June 30, 2019 totaled $84.7 million and $325.6 million, respectively, and net realized losses totaled $99.6 million and $90.1 million, respectively. The change in realized gains/losses was primarily due to changes in the market conditions of our investments and the values at which they were realized.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Facilities and the 2019 Notes</w:t>
      </w:r>
    </w:p>
    <w:p>
      <w:pPr>
        <w:spacing w:after="0" w:line="217"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For the three and nine months ended June 30, 2020, we reported net change in unrealized appreciation (depreciation) of $29.8 million and $(67.5), respectively. For the three and nine months ended June 30, 2019, we reported net change in unrealized appreciation on investments of $93.4 million and $52.9 million, respectively. As of June 30, 2020 and September 30, 2019, our net unrealized depreciation on investments totaled $105.2 million and $37.6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90"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For the three and nine months ended June 30, 2020, our Credit Facilities had a net change in unrealized (appreciation) depreciation of $(25.1) million and $21.3 million, respectively. For the three and nine months ended June 30, 2019, our Credit Facilities and the 2019 Notes had a net change in unrealized depreciation of $0.2 million and $9.9 million, respectively. As of June 30, 2020 and September 30, 2019, the net unrealized depreciation on the Credit Facilities totaled $28.5 million and $7.2 million, respectively. The net change in unrealized depreciation compared to the same periods in the prior year was primarily due to changes in the capital markets.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ind w:firstLine="438"/>
        <w:spacing w:after="0" w:line="277" w:lineRule="auto"/>
        <w:rPr>
          <w:sz w:val="20"/>
          <w:szCs w:val="20"/>
          <w:color w:val="auto"/>
        </w:rPr>
      </w:pPr>
      <w:r>
        <w:rPr>
          <w:rFonts w:ascii="Arial" w:cs="Arial" w:eastAsia="Arial" w:hAnsi="Arial"/>
          <w:sz w:val="12"/>
          <w:szCs w:val="12"/>
          <w:color w:val="auto"/>
        </w:rPr>
        <w:t>Net change in net assets resulting from operations totaled $15.6 million and $(25.5) million, or $0.23 and $(0.38) per share, for the three and nine months ended June 30, 2020, respectively. Net change in net assets resulting from operations totaled $5.6 million and $7.7 million, or $0.08 and $0.11 per share, for the three and nine months ended June 30, 2019, respectively. The increase in the net change in net assets from operations for the three months ended June 30, 2020 compared to the same period in the prior year was primarily due to changes in the capital markets. The decrease in the net change in net assets from operations for the nine months ended June 30, 2020 compared to the same period in the prior year was primarily due to depreciation of the portfolio primarily driven by the market disruption caused by the COVID-19 pandemic and the uncertainty surrounding its continued adverse economic impact, as discussed above under “COVID-19 Developments”.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240"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99"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2020 and September 30, 2019, our asset coverage ratio, as computed in accordance with the 1940 Act, was 167% and 207%, respectively.</w:t>
      </w:r>
    </w:p>
    <w:p>
      <w:pPr>
        <w:spacing w:after="0" w:line="18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2020 and 2019, inclusive of the fee on the undrawn commitment under the Credit Facilities, debt issuance costs on the BNP Credit Facility, prepayment penalties on the 2019 Notes and amortized upfront fees on the 2024 Notes and SBA debentures, was 4.2% and 5.4%, respectively (excluding debt issuance costs and prepayment penalties, amounts were 4.2% and 4.6%, respectively).</w:t>
      </w:r>
    </w:p>
    <w:p>
      <w:pPr>
        <w:spacing w:after="0" w:line="19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June 30, 2020 and September 30, 2019, Funding I had $245.0 million and $171.0 million in outstanding borrowings under the BNP Credit Facility, respectively. The BNP Credit Facility had a weighted average interest rate of 2.8% and 4.6%, respectively, exclusive of the fee on undrawn commitments, as of June 30, 2020 and September 30, 2019. The BNP Credit Facility is a five-year revolving facility with a stated maturity date of February 22, 2024 and pricing set at 260 basis points over LIBOR (or an alternative risk-free floating interest rate index). As of June 30, 2020 and September 30, 2019, Funding I had $5.0 million and $79.0 million of unused borrowing capacity under the BNP Credit Facility, respectively, subject to leverage and borrowing base restrictions. The BNP Credit Facility is secured by all of our assets held by Funding I. As of June 30, 2020, we were in compliance with the terms of the BNP Credit Facility.</w:t>
      </w:r>
    </w:p>
    <w:p>
      <w:pPr>
        <w:spacing w:after="0" w:line="198"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As of June 30, 2020, we had the multi-currency Truist Credit Facility for up to $475.0 million in borrowings with certain lenders and Truist Bank, acting as administrative agent, and JPMorgan Chase Bank, N.A., acting as syndication agent for the lenders. As of June 30, 2020 and September 30, 2019, we had $417.6 million and $301.6 million, respectively, in outstanding borrowings under the Truist Credit Facility. The Truist Credit Facility had a weighted average interest rate of 2.5% and 4.2%, respectively, exclusive of the fee on undrawn commitments, as of June 30, 2020 and September 30, 2019. The Truist Credit Facility is a five-year revolving facility with a stated maturity date of September 4, 2024 ($55.0 million of the $475 million commitment will mature May 25, 2022), with a one-year term-out period and pricing set at 225 basis points over LIBOR (or an alternative risk-free floating interest rate index). As of June 30, 2020 and September 30, 2019, we had $57.4 million and $173.4 million of unused borrowing capacity under the Truist Credit Facility, respectively, subject to leverage and borrowing base restrictions. The Truist Credit Facility is secured by substantially all of our assets excluding assets held by Funding I and SBIC II. As of June 30, 2020, we were in compliance with the terms of the Truist Credit Facility.</w:t>
      </w:r>
    </w:p>
    <w:p>
      <w:pPr>
        <w:spacing w:after="0" w:line="118"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As of June 30, 2020,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7"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June 30, 2020.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9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and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100"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June 30,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9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As of both June 30, 2020 and September 30, 2019, SBIC II had an initial $150.0 million in debt commitments, all of which were drawn. During the three and nine months ended June 30, 2020, zero and $16.5 million in SBA debentures were repaid, respectively. As of June 30, 2020 and September 30, 2019, the unamortized fees on the SBA debentures were $3.1 million and $3.9 million, respectively. The SBA debentures’ upfront fees of 3.4% consist of a commitment fee of 1.0% and an issuance discount of 2.4%, which are being amortized.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June 30, 2020 and September 30, 2019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June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2020, SBIC II was in compliance with its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June 30, 2020 and September 30, 2019,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As of June 30, 2020 and September 30, 2019, we had cash and cash equivalents of $51.6 million and $59.5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Our operating activities used cash of $156.1 million for the nine months ended June 30, 2020, and our financing activities provided cash of $148.2 million for the same period. Our operating activities used cash primarily for our investment activities and our financing activities provided cash primarily from net borrowings under the Credit Facilities.</w:t>
      </w:r>
    </w:p>
    <w:p>
      <w:pPr>
        <w:spacing w:after="0" w:line="18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operating activities used cash of $146.7 million for the nine months ended June 30, 2019 and our financing activities provided cash of $148.9 million for the same period. Our operating activities provided cash from sales and repayments on our investments and our financing activities used cash primarily to pay distributions to stockholders and for net repayments under the Truist Credit Facility.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 summary of our significant contractual payment obligations at cost as of June 30, 2020, including borrowings under our various debt facilities and other contractual obligations,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6"/>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245.0</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Truist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417.6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369.3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CFF"/>
          </w:tcPr>
          <w:p>
            <w:pPr>
              <w:spacing w:after="0"/>
              <w:rPr>
                <w:sz w:val="14"/>
                <w:szCs w:val="14"/>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2024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spacing w:after="0"/>
              <w:rPr>
                <w:sz w:val="13"/>
                <w:szCs w:val="13"/>
                <w:color w:val="auto"/>
              </w:rPr>
            </w:pP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882.4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700.5</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133.5</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CFF"/>
            </w:tcBorders>
          </w:tcPr>
          <w:p>
            <w:pPr>
              <w:spacing w:after="0"/>
              <w:rPr>
                <w:sz w:val="14"/>
                <w:szCs w:val="14"/>
                <w:color w:val="auto"/>
              </w:rPr>
            </w:pPr>
          </w:p>
        </w:tc>
      </w:tr>
      <w:tr>
        <w:trPr>
          <w:trHeight w:val="155"/>
        </w:trPr>
        <w:tc>
          <w:tcPr>
            <w:tcW w:w="36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932.1</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81.6</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712.7</w:t>
            </w:r>
          </w:p>
        </w:tc>
        <w:tc>
          <w:tcPr>
            <w:tcW w:w="26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136.3</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360" w:hanging="372"/>
        <w:spacing w:after="0" w:line="230"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2020 was 3.0%, exclusive of the fee on the undrawn commitment on the Credit Facilities, debt issuance costs on the 2024 Notes and upfront fees on SBA debentures.</w:t>
      </w:r>
    </w:p>
    <w:p>
      <w:pPr>
        <w:ind w:left="380" w:hanging="372"/>
        <w:spacing w:after="0"/>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85"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2020, PennantPark Investment Advisers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right="400"/>
        <w:spacing w:after="0" w:line="296" w:lineRule="auto"/>
        <w:rPr>
          <w:sz w:val="20"/>
          <w:szCs w:val="20"/>
          <w:color w:val="auto"/>
        </w:rPr>
      </w:pPr>
      <w:r>
        <w:rPr>
          <w:rFonts w:ascii="Arial" w:cs="Arial" w:eastAsia="Arial" w:hAnsi="Arial"/>
          <w:sz w:val="12"/>
          <w:szCs w:val="12"/>
          <w:color w:val="auto"/>
        </w:rPr>
        <w:t>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9"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180" w:firstLine="438"/>
        <w:spacing w:after="0" w:line="251" w:lineRule="auto"/>
        <w:rPr>
          <w:sz w:val="20"/>
          <w:szCs w:val="20"/>
          <w:color w:val="auto"/>
        </w:rPr>
      </w:pPr>
      <w:r>
        <w:rPr>
          <w:rFonts w:ascii="Arial" w:cs="Arial" w:eastAsia="Arial" w:hAnsi="Arial"/>
          <w:sz w:val="13"/>
          <w:szCs w:val="13"/>
          <w:color w:val="auto"/>
        </w:rPr>
        <w:t>Commencing with the quarter ended June 30, 2020, we reduced our quarterly target distribution per share to $0.12 from $0.18. 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0" w:lineRule="exact"/>
        <w:rPr>
          <w:sz w:val="20"/>
          <w:szCs w:val="20"/>
          <w:color w:val="auto"/>
        </w:rPr>
      </w:pPr>
    </w:p>
    <w:p>
      <w:pPr>
        <w:ind w:right="320" w:firstLine="438"/>
        <w:spacing w:after="0" w:line="251" w:lineRule="auto"/>
        <w:rPr>
          <w:sz w:val="20"/>
          <w:szCs w:val="20"/>
          <w:color w:val="auto"/>
        </w:rPr>
      </w:pPr>
      <w:r>
        <w:rPr>
          <w:rFonts w:ascii="Arial" w:cs="Arial" w:eastAsia="Arial" w:hAnsi="Arial"/>
          <w:sz w:val="13"/>
          <w:szCs w:val="13"/>
          <w:color w:val="auto"/>
        </w:rPr>
        <w:t>During the three and nine months ended June 30, 2020, we declared distributions of $0.12 and $0.48 per share, for total distributions of $8.0 million and $32.2 million, respectively. For the same periods in the prior year, we declared distributions of $0.18 and $0.54 per share, for total distributions of $12.1 million and $36.4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0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217" w:lineRule="exact"/>
        <w:rPr>
          <w:sz w:val="20"/>
          <w:szCs w:val="20"/>
          <w:color w:val="auto"/>
        </w:rPr>
      </w:pPr>
    </w:p>
    <w:p>
      <w:pPr>
        <w:ind w:right="280" w:firstLine="438"/>
        <w:spacing w:after="0" w:line="231" w:lineRule="auto"/>
        <w:rPr>
          <w:sz w:val="20"/>
          <w:szCs w:val="20"/>
          <w:color w:val="auto"/>
        </w:rPr>
      </w:pPr>
      <w:r>
        <w:rPr>
          <w:rFonts w:ascii="Arial" w:cs="Arial" w:eastAsia="Arial" w:hAnsi="Arial"/>
          <w:sz w:val="14"/>
          <w:szCs w:val="14"/>
          <w:color w:val="auto"/>
        </w:rPr>
        <w:t>Subsequent to June 30, 2020, the market disruptions caused by the COVID-19 pandemic have continued to adversely affect the business operations of some, if not all, of our portfolio companies and have adversely affected, and may continue to adversely affect, our operations and the operations of our Investment Adviser. While we are closely monitoring this situation, we cannot predict the impact of COVID-19 on our future financial condition, results of operations or cash flows with any level of certainty. The COVID-19 pandemic, however, has had and is expected to continue to have a material adverse impact on our net investment income, the fair value of our portfolio investments, and the results of operations and financial condition of our portfolio companies. For more information, see “COVID-19 Developments” above.</w:t>
      </w:r>
    </w:p>
    <w:p>
      <w:pPr>
        <w:spacing w:after="0" w:line="197"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an amended and restated limited liability company agreement to co-manage a newly-formed joint venture, PennantPark Senior Loan Fund, LLC, or “PSLF”, whereby Pantheon has invested $35.0 million to acquire a 28% stake in PSLF. PSLF will acquire Funding I from us. Funding I holds $356 million of senior loans as of July 31, 2020. Further, as a result of this transaction, Funding I will become a wholly-owned subsidiary of PSLF and deconsolidate from our financial statements. PSLF is expected to invest primarily in middle market senior loans consistent with our strategy.</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2020, our debt portfolio consisted of 94%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Change In Interest Income,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jc w:val="center"/>
              <w:ind w:left="568"/>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40" w:type="dxa"/>
            <w:vAlign w:val="bottom"/>
            <w:tcBorders>
              <w:top w:val="single" w:sz="8" w:color="auto"/>
            </w:tcBorders>
            <w:shd w:val="clear" w:color="auto" w:fill="CCECFF"/>
          </w:tcPr>
          <w:p>
            <w:pPr>
              <w:jc w:val="right"/>
              <w:ind w:right="268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(2,489)</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4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1,253</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60" w:type="dxa"/>
            <w:vAlign w:val="bottom"/>
            <w:gridSpan w:val="2"/>
            <w:shd w:val="clear" w:color="auto" w:fill="CCECFF"/>
          </w:tcPr>
          <w:p>
            <w:pPr>
              <w:jc w:val="right"/>
              <w:ind w:right="26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8,737</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PART II – 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21"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21, 2019 and amended on March 30, 2020,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due to future recessions, political instability, geopolitical turmoil and foreign hostilities, and disease pandemics and other serious health events.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9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98"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While many states have begun to ease such governmental restrictions,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98"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have introduced creative proposals to address the needs of businesses, such actions may not be sufficient to address the problems facing our portfolio companies.</w:t>
      </w:r>
    </w:p>
    <w:p>
      <w:pPr>
        <w:spacing w:after="0" w:line="199"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The outbreak has led to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the possibility of a resurgence and the actions taken by authorities and other entities to lift restrictions on business operations and open the economy, all of which are beyond our control. These future events, while unpredictable, will likely adversely affect our operating results and the operating results of our portfolio companies.</w:t>
      </w:r>
    </w:p>
    <w:p>
      <w:pPr>
        <w:spacing w:after="0" w:line="190" w:lineRule="exact"/>
        <w:rPr>
          <w:sz w:val="20"/>
          <w:szCs w:val="20"/>
          <w:color w:val="auto"/>
        </w:rPr>
      </w:pPr>
    </w:p>
    <w:p>
      <w:pPr>
        <w:ind w:right="40" w:firstLine="438"/>
        <w:spacing w:after="0" w:line="242" w:lineRule="auto"/>
        <w:rPr>
          <w:sz w:val="20"/>
          <w:szCs w:val="20"/>
          <w:color w:val="auto"/>
        </w:rPr>
      </w:pPr>
      <w:r>
        <w:rPr>
          <w:rFonts w:ascii="Arial" w:cs="Arial" w:eastAsia="Arial" w:hAnsi="Arial"/>
          <w:sz w:val="13"/>
          <w:szCs w:val="13"/>
          <w:color w:val="auto"/>
        </w:rPr>
        <w:t>In addition, on January 31, 2020, the United Kingdom technically withdrew from the European Union, triggering a negotiated transition period during which the United Kingdom remains in the European Union single market and customs union and remains subject to European Union laws and regulations. The transition period is scheduled to end on December 31, 2020. While the deadline can be extended by one or two years, the U.K. government has limited the flexibility for it to seek an extension and is on record as saying it will not seek an extension.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 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U.K.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right="40" w:firstLine="438"/>
        <w:spacing w:after="0" w:line="228" w:lineRule="auto"/>
        <w:rPr>
          <w:sz w:val="20"/>
          <w:szCs w:val="20"/>
          <w:color w:val="auto"/>
        </w:rPr>
      </w:pPr>
      <w:r>
        <w:rPr>
          <w:rFonts w:ascii="Arial" w:cs="Arial" w:eastAsia="Arial" w:hAnsi="Arial"/>
          <w:sz w:val="14"/>
          <w:szCs w:val="14"/>
          <w:color w:val="auto"/>
        </w:rPr>
        <w:t>Additional risks associated with the outcome of Brexit include macroeconomic risk to the U.K. and European economies, impetus for further disintegration of the 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or in contemplation of Article 50 of the Treaty on European Union and negotiations undertaken under Article 218 of the Treaty on the Functioning of the European Union, and the unavailability of timely information as to expected legal, tax and other regimes. Any further exits from the European Union, or the possibility of such exits, would likely cause additional market disruption globally and introduce new legal and regulatory uncertainties. We will continue to monitor the potential impact of Brexit on our results of operations and financial condition.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21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U.S. capital markets have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 fair values of our debt and equity investments. We also face an increased risk of investor, creditor or portfolio company disputes, litigation and governmental and regulatory scrutiny as a result of the effects of COVID-19 on economic and market conditions.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are partially dependent on SBIC II for cash distributions to enable us to meet the distribution requirements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Facilities, 2024 Notes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Credit Facilities.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2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did not engage in any sales of unregistered securities during the nine months ended June 30, 2020.</w:t>
      </w:r>
    </w:p>
    <w:p>
      <w:pPr>
        <w:spacing w:after="0" w:line="2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39" w:name="page40"/>
    <w:bookmarkEnd w:id="39"/>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66">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66">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67">
        <w:r>
          <w:rPr>
            <w:rFonts w:ascii="Arial" w:cs="Arial" w:eastAsia="Arial" w:hAnsi="Arial"/>
            <w:sz w:val="13"/>
            <w:szCs w:val="13"/>
            <w:u w:val="single" w:color="auto"/>
            <w:color w:val="0000EE"/>
          </w:rPr>
          <w:t>Second Amended and Restated Bylaws of the Registrant (Incorporated by reference to Exhibit 3.2 to the Registrant’s Quarterly Report on Form 10-Q (File No. 81400736), filed on May</w:t>
        </w:r>
      </w:hyperlink>
    </w:p>
    <w:p>
      <w:pPr>
        <w:ind w:left="500"/>
        <w:spacing w:after="0"/>
        <w:rPr>
          <w:rFonts w:ascii="Arial" w:cs="Arial" w:eastAsia="Arial" w:hAnsi="Arial"/>
          <w:sz w:val="14"/>
          <w:szCs w:val="14"/>
          <w:u w:val="single" w:color="auto"/>
          <w:color w:val="0000EE"/>
        </w:rPr>
      </w:pPr>
      <w:hyperlink r:id="rId67">
        <w:r>
          <w:rPr>
            <w:rFonts w:ascii="Arial" w:cs="Arial" w:eastAsia="Arial" w:hAnsi="Arial"/>
            <w:sz w:val="14"/>
            <w:szCs w:val="14"/>
            <w:u w:val="single" w:color="auto"/>
            <w:color w:val="0000EE"/>
          </w:rPr>
          <w:t>11, 2020).</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68">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00" w:right="220" w:hanging="413"/>
        <w:spacing w:after="0" w:line="238"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10.1</w:t>
      </w:r>
      <w:r>
        <w:rPr>
          <w:sz w:val="20"/>
          <w:szCs w:val="20"/>
          <w:color w:val="auto"/>
        </w:rPr>
        <w:tab/>
      </w:r>
      <w:hyperlink r:id="rId69">
        <w:r>
          <w:rPr>
            <w:rFonts w:ascii="Arial" w:cs="Arial" w:eastAsia="Arial" w:hAnsi="Arial"/>
            <w:sz w:val="14"/>
            <w:szCs w:val="14"/>
            <w:u w:val="single" w:color="auto"/>
            <w:color w:val="0000EE"/>
          </w:rPr>
          <w:t>Limited Liability Company Agreement of PennantPark Senior Loan Fund, LLC, dated as of July 31, 2020, by and among PennantPark Investment Corporation, Pantheon Private Debt</w:t>
        </w:r>
      </w:hyperlink>
      <w:r>
        <w:rPr>
          <w:rFonts w:ascii="Arial" w:cs="Arial" w:eastAsia="Arial" w:hAnsi="Arial"/>
          <w:sz w:val="14"/>
          <w:szCs w:val="14"/>
          <w:u w:val="single" w:color="auto"/>
          <w:color w:val="0000EE"/>
        </w:rPr>
        <w:t xml:space="preserve"> </w:t>
      </w:r>
      <w:hyperlink r:id="rId69">
        <w:r>
          <w:rPr>
            <w:rFonts w:ascii="Arial" w:cs="Arial" w:eastAsia="Arial" w:hAnsi="Arial"/>
            <w:sz w:val="14"/>
            <w:szCs w:val="14"/>
            <w:u w:val="single" w:color="auto"/>
            <w:color w:val="0000EE"/>
          </w:rPr>
          <w:t>Program SCSp SICAV – RAIF In Respect Of Its Compartment Pantheon Senior Debt Secondaries II (USD and Solutio Premium Private Debt I SCSp (Incorporated by reference to</w:t>
        </w:r>
      </w:hyperlink>
      <w:r>
        <w:rPr>
          <w:rFonts w:ascii="Arial" w:cs="Arial" w:eastAsia="Arial" w:hAnsi="Arial"/>
          <w:sz w:val="14"/>
          <w:szCs w:val="14"/>
          <w:u w:val="single" w:color="auto"/>
          <w:color w:val="0000EE"/>
        </w:rPr>
        <w:t xml:space="preserve"> </w:t>
      </w:r>
      <w:hyperlink r:id="rId69">
        <w:r>
          <w:rPr>
            <w:rFonts w:ascii="Arial" w:cs="Arial" w:eastAsia="Arial" w:hAnsi="Arial"/>
            <w:sz w:val="14"/>
            <w:szCs w:val="14"/>
            <w:u w:val="single" w:color="auto"/>
            <w:color w:val="0000EE"/>
          </w:rPr>
          <w:t>Exhibit 10.1 to the Registrant’s Current Report on Form 8-K (File No. 814-00736), filed on August 4, 2020).</w:t>
        </w:r>
      </w:hyperlink>
    </w:p>
    <w:p>
      <w:pPr>
        <w:spacing w:after="0" w:line="115" w:lineRule="exact"/>
        <w:rPr>
          <w:rFonts w:ascii="Arial" w:cs="Arial" w:eastAsia="Arial" w:hAnsi="Arial"/>
          <w:sz w:val="14"/>
          <w:szCs w:val="14"/>
          <w:u w:val="single" w:color="auto"/>
          <w:color w:val="0000EE"/>
        </w:rPr>
      </w:pPr>
    </w:p>
    <w:p>
      <w:pPr>
        <w:ind w:left="500" w:hanging="413"/>
        <w:spacing w:after="0" w:line="233"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10.2</w:t>
      </w:r>
      <w:r>
        <w:rPr>
          <w:sz w:val="20"/>
          <w:szCs w:val="20"/>
          <w:color w:val="auto"/>
        </w:rPr>
        <w:tab/>
      </w:r>
      <w:hyperlink r:id="rId70">
        <w:r>
          <w:rPr>
            <w:rFonts w:ascii="Arial" w:cs="Arial" w:eastAsia="Arial" w:hAnsi="Arial"/>
            <w:sz w:val="14"/>
            <w:szCs w:val="14"/>
            <w:u w:val="single" w:color="auto"/>
            <w:color w:val="0000EE"/>
          </w:rPr>
          <w:t>First Omnibus Amendment, dated as of July 31, 2020, by and among PennantPark Investment Funding I, LLC, as borrower, PennantPark Senior Loan Fund, LLC, as equityholder of the</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borrower, PennantPark Investment Corporation, PennantPark Investment Advisers, LLC, as servicer, and The Bank of New York Mellon Trust Company, National Association, as</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collateral agent, Sterling National Bank, as lender and BNP Paribas, as administrative agent and as lender. (Incorporated by reference to Exhibit 10.2 to the Registrant’s Current Report on</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Form 8-K (File No. 814-00736), filed on August 4, 2020).</w:t>
        </w:r>
      </w:hyperlink>
    </w:p>
    <w:p>
      <w:pPr>
        <w:spacing w:after="0" w:line="117" w:lineRule="exact"/>
        <w:rPr>
          <w:rFonts w:ascii="Arial" w:cs="Arial" w:eastAsia="Arial" w:hAnsi="Arial"/>
          <w:sz w:val="14"/>
          <w:szCs w:val="14"/>
          <w:u w:val="single" w:color="auto"/>
          <w:color w:val="0000EE"/>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2">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3">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4">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45">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1">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244" w:lineRule="exact"/>
        <w:rPr>
          <w:rFonts w:ascii="Arial" w:cs="Arial" w:eastAsia="Arial" w:hAnsi="Arial"/>
          <w:sz w:val="14"/>
          <w:szCs w:val="14"/>
          <w:u w:val="single" w:color="auto"/>
          <w:color w:val="0000EE"/>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rFonts w:ascii="Arial" w:cs="Arial" w:eastAsia="Arial" w:hAnsi="Arial"/>
          <w:sz w:val="14"/>
          <w:szCs w:val="14"/>
          <w:u w:val="single" w:color="auto"/>
          <w:color w:val="0000EE"/>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August 5,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August 5, 2020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PENNANTPARK INVESTMENT CORPORATION</w:t>
      </w:r>
    </w:p>
    <w:p>
      <w:pPr>
        <w:spacing w:after="0" w:line="244"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right="-619"/>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19"/>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2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5300"/>
          </w:cols>
          <w:pgMar w:left="320" w:top="333" w:right="639" w:bottom="1440" w:gutter="0" w:footer="0" w:header="0"/>
          <w:type w:val="continuous"/>
        </w:sect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940"/>
          </w:cols>
          <w:pgMar w:left="320" w:top="333" w:right="6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2020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5, 2020</w:t>
      </w:r>
    </w:p>
    <w:p>
      <w:pPr>
        <w:sectPr>
          <w:pgSz w:w="11900" w:h="16838" w:orient="portrait"/>
          <w:cols w:equalWidth="0" w:num="2">
            <w:col w:w="320" w:space="260"/>
            <w:col w:w="10660"/>
          </w:cols>
          <w:pgMar w:left="320" w:top="118" w:right="3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2020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Aviv Efrat</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5, 2020</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5"/>
    </w:lvl>
  </w:abstractNum>
  <w:abstractNum w:abstractNumId="8">
    <w:nsid w:val="79838CB2"/>
    <w:multiLevelType w:val="hybridMultilevel"/>
    <w:lvl w:ilvl="0">
      <w:lvlJc w:val="left"/>
      <w:lvlText w:val="(%1)"/>
      <w:numFmt w:val="lowerLetter"/>
      <w:start w:val="2"/>
    </w:lvl>
  </w:abstractNum>
  <w:abstractNum w:abstractNumId="9">
    <w:nsid w:val="4353D0CD"/>
    <w:multiLevelType w:val="hybridMultilevel"/>
    <w:lvl w:ilvl="0">
      <w:lvlJc w:val="left"/>
      <w:lvlText w:val="(%1)"/>
      <w:numFmt w:val="lowerLetter"/>
      <w:start w:val="3"/>
    </w:lvl>
  </w:abstractNum>
  <w:abstractNum w:abstractNumId="10">
    <w:nsid w:val="B03E0C6"/>
    <w:multiLevelType w:val="hybridMultilevel"/>
    <w:lvl w:ilvl="0">
      <w:lvlJc w:val="left"/>
      <w:lvlText w:val="(%1)"/>
      <w:numFmt w:val="lowerLetter"/>
      <w:start w:val="4"/>
    </w:lvl>
  </w:abstractNum>
  <w:abstractNum w:abstractNumId="11">
    <w:nsid w:val="189A769B"/>
    <w:multiLevelType w:val="hybridMultilevel"/>
    <w:lvl w:ilvl="0">
      <w:lvlJc w:val="left"/>
      <w:lvlText w:val="(%1)"/>
      <w:numFmt w:val="lowerLetter"/>
      <w:start w:val="5"/>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2"/>
    </w:lvl>
  </w:abstractNum>
  <w:abstractNum w:abstractNumId="14">
    <w:nsid w:val="2CA88611"/>
    <w:multiLevelType w:val="hybridMultilevel"/>
    <w:lvl w:ilvl="0">
      <w:lvlJc w:val="left"/>
      <w:lvlText w:val="(%1)"/>
      <w:numFmt w:val="lowerLetter"/>
      <w:start w:val="6"/>
    </w:lvl>
  </w:abstractNum>
  <w:abstractNum w:abstractNumId="15">
    <w:nsid w:val="836C40E"/>
    <w:multiLevelType w:val="hybridMultilevel"/>
    <w:lvl w:ilvl="0">
      <w:lvlJc w:val="left"/>
      <w:lvlText w:val="(%1)"/>
      <w:numFmt w:val="lowerLetter"/>
      <w:start w:val="7"/>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4">
    <w:nsid w:val="5C482A97"/>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5">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7">
    <w:nsid w:val="51EAD36B"/>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8">
    <w:nsid w:val="2D5177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6" Type="http://schemas.openxmlformats.org/officeDocument/2006/relationships/hyperlink" Target="http://www.sec.gov/Archives/edgar/data/1383414/000119312507075646/dex99a.htm" TargetMode="External"/><Relationship Id="rId67" Type="http://schemas.openxmlformats.org/officeDocument/2006/relationships/hyperlink" Target="http://www.sec.gov/Archives/edgar/data/1383414/000156459020024172/pnnt-ex32_163.htm" TargetMode="External"/><Relationship Id="rId68" Type="http://schemas.openxmlformats.org/officeDocument/2006/relationships/hyperlink" Target="http://www.sec.gov/Archives/edgar/data/1383414/000119312508072557/dex99d1.htm" TargetMode="External"/><Relationship Id="rId69" Type="http://schemas.openxmlformats.org/officeDocument/2006/relationships/hyperlink" Target="http://www.sec.gov/Archives/edgar/data/1383414/000119312520208851/d41849dex101.htm" TargetMode="External"/><Relationship Id="rId70" Type="http://schemas.openxmlformats.org/officeDocument/2006/relationships/hyperlink" Target="http://www.sec.gov/Archives/edgar/data/1383414/000119312520208851/d41849dex102.htm" TargetMode="External"/><Relationship Id="rId71"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2020-08-05T15:17:36Z</dcterms:created>
  <dcterms:modified xsi:type="dcterms:W3CDTF">2020-08-05T15:17:36Z</dcterms:modified>
</cp:coreProperties>
</file>