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Washington, D.C. 20549</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FORM 8-K/A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(Amendment No. 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CURRENT REPORT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Date of Report (Date of earliest event reported): November 25,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PennantPark Investment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(Exact name of registrant as specified in its charter)</w:t>
      </w:r>
    </w:p>
    <w:p>
      <w:pPr>
        <w:spacing w:after="0" w:line="203" w:lineRule="exact"/>
        <w:rPr>
          <w:sz w:val="24"/>
          <w:szCs w:val="24"/>
          <w:color w:val="auto"/>
        </w:rPr>
      </w:pPr>
    </w:p>
    <w:tbl>
      <w:tblPr>
        <w:tblLayout w:type="fixed"/>
        <w:tblInd w:w="240" w:type="dxa"/>
        <w:tblCellMar>
          <w:top w:w="0" w:type="dxa"/>
          <w:left w:w="0" w:type="dxa"/>
          <w:bottom w:w="0" w:type="dxa"/>
          <w:right w:w="0" w:type="dxa"/>
        </w:tblCellMar>
      </w:tblPr>
      <w:tr>
        <w:trPr>
          <w:trHeight w:val="220"/>
        </w:trPr>
        <w:tc>
          <w:tcPr>
            <w:tcW w:w="3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8"/>
              </w:rPr>
              <w:t>Maryland</w:t>
            </w:r>
          </w:p>
        </w:tc>
        <w:tc>
          <w:tcPr>
            <w:tcW w:w="4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9"/>
              </w:rPr>
              <w:t>814-00736</w:t>
            </w:r>
          </w:p>
        </w:tc>
        <w:tc>
          <w:tcPr>
            <w:tcW w:w="30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231F20"/>
              </w:rPr>
              <w:t>20-8250744</w:t>
            </w:r>
          </w:p>
        </w:tc>
      </w:tr>
      <w:tr>
        <w:trPr>
          <w:trHeight w:val="234"/>
        </w:trPr>
        <w:tc>
          <w:tcPr>
            <w:tcW w:w="3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231F20"/>
              </w:rPr>
              <w:t>(State or Other Jurisdiction of Incorporation)</w:t>
            </w:r>
          </w:p>
        </w:tc>
        <w:tc>
          <w:tcPr>
            <w:tcW w:w="4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231F20"/>
                <w:w w:val="99"/>
              </w:rPr>
              <w:t>(Commission File Number)</w:t>
            </w:r>
          </w:p>
        </w:tc>
        <w:tc>
          <w:tcPr>
            <w:tcW w:w="3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231F20"/>
              </w:rPr>
              <w:t>(IRS Employer Identification Number)</w:t>
            </w:r>
          </w:p>
        </w:tc>
      </w:tr>
      <w:tr>
        <w:trPr>
          <w:trHeight w:val="410"/>
        </w:trPr>
        <w:tc>
          <w:tcPr>
            <w:tcW w:w="3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9"/>
              </w:rPr>
              <w:t>1691 Michigan Avenue,</w:t>
            </w:r>
          </w:p>
        </w:tc>
        <w:tc>
          <w:tcPr>
            <w:tcW w:w="4160" w:type="dxa"/>
            <w:vAlign w:val="bottom"/>
          </w:tcPr>
          <w:p>
            <w:pPr>
              <w:spacing w:after="0"/>
              <w:rPr>
                <w:sz w:val="24"/>
                <w:szCs w:val="24"/>
                <w:color w:val="auto"/>
              </w:rPr>
            </w:pPr>
          </w:p>
        </w:tc>
        <w:tc>
          <w:tcPr>
            <w:tcW w:w="304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231F20"/>
              </w:rPr>
              <w:t>33319</w:t>
            </w:r>
          </w:p>
        </w:tc>
      </w:tr>
      <w:tr>
        <w:trPr>
          <w:trHeight w:val="220"/>
        </w:trPr>
        <w:tc>
          <w:tcPr>
            <w:tcW w:w="3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9"/>
              </w:rPr>
              <w:t>Miami Beach, Florida</w:t>
            </w:r>
          </w:p>
        </w:tc>
        <w:tc>
          <w:tcPr>
            <w:tcW w:w="4160" w:type="dxa"/>
            <w:vAlign w:val="bottom"/>
          </w:tcPr>
          <w:p>
            <w:pPr>
              <w:spacing w:after="0"/>
              <w:rPr>
                <w:sz w:val="19"/>
                <w:szCs w:val="19"/>
                <w:color w:val="auto"/>
              </w:rPr>
            </w:pPr>
          </w:p>
        </w:tc>
        <w:tc>
          <w:tcPr>
            <w:tcW w:w="3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231F20"/>
                <w:w w:val="98"/>
              </w:rPr>
              <w:t>(Zip Code)</w:t>
            </w:r>
          </w:p>
        </w:tc>
      </w:tr>
      <w:tr>
        <w:trPr>
          <w:trHeight w:val="234"/>
        </w:trPr>
        <w:tc>
          <w:tcPr>
            <w:tcW w:w="3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231F20"/>
              </w:rPr>
              <w:t>(Address of Principal Executive Offices)</w:t>
            </w:r>
          </w:p>
        </w:tc>
        <w:tc>
          <w:tcPr>
            <w:tcW w:w="416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360" w:type="dxa"/>
            <w:vAlign w:val="bottom"/>
          </w:tcPr>
          <w:p>
            <w:pPr>
              <w:spacing w:after="0"/>
              <w:rPr>
                <w:sz w:val="24"/>
                <w:szCs w:val="24"/>
                <w:color w:val="auto"/>
              </w:rPr>
            </w:pPr>
          </w:p>
        </w:tc>
        <w:tc>
          <w:tcPr>
            <w:tcW w:w="4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9"/>
              </w:rPr>
              <w:t>(786) 297-9500</w:t>
            </w:r>
          </w:p>
        </w:tc>
        <w:tc>
          <w:tcPr>
            <w:tcW w:w="3040" w:type="dxa"/>
            <w:vAlign w:val="bottom"/>
          </w:tcPr>
          <w:p>
            <w:pPr>
              <w:spacing w:after="0"/>
              <w:rPr>
                <w:sz w:val="24"/>
                <w:szCs w:val="24"/>
                <w:color w:val="auto"/>
              </w:rPr>
            </w:pPr>
          </w:p>
        </w:tc>
      </w:tr>
      <w:tr>
        <w:trPr>
          <w:trHeight w:val="234"/>
        </w:trPr>
        <w:tc>
          <w:tcPr>
            <w:tcW w:w="3360" w:type="dxa"/>
            <w:vAlign w:val="bottom"/>
          </w:tcPr>
          <w:p>
            <w:pPr>
              <w:spacing w:after="0"/>
              <w:rPr>
                <w:sz w:val="20"/>
                <w:szCs w:val="20"/>
                <w:color w:val="auto"/>
              </w:rPr>
            </w:pPr>
          </w:p>
        </w:tc>
        <w:tc>
          <w:tcPr>
            <w:tcW w:w="4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231F20"/>
                <w:w w:val="99"/>
              </w:rPr>
              <w:t>(Registrant's telephone number, including area code)</w:t>
            </w:r>
          </w:p>
        </w:tc>
        <w:tc>
          <w:tcPr>
            <w:tcW w:w="304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0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31F20"/>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40" w:hanging="411"/>
        <w:spacing w:after="0"/>
        <w:tabs>
          <w:tab w:leader="none" w:pos="540" w:val="left"/>
        </w:tabs>
        <w:numPr>
          <w:ilvl w:val="0"/>
          <w:numId w:val="1"/>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Written communications pursuant to Rule 425 under the Securities Act (17 CFR 230.425)</w:t>
      </w:r>
    </w:p>
    <w:p>
      <w:pPr>
        <w:spacing w:after="0" w:line="29" w:lineRule="exact"/>
        <w:rPr>
          <w:rFonts w:ascii="MS PGothic" w:cs="MS PGothic" w:eastAsia="MS PGothic" w:hAnsi="MS PGothic"/>
          <w:sz w:val="18"/>
          <w:szCs w:val="18"/>
          <w:color w:val="231F20"/>
        </w:rPr>
      </w:pPr>
    </w:p>
    <w:p>
      <w:pPr>
        <w:ind w:left="540" w:hanging="411"/>
        <w:spacing w:after="0"/>
        <w:tabs>
          <w:tab w:leader="none" w:pos="540" w:val="left"/>
        </w:tabs>
        <w:numPr>
          <w:ilvl w:val="0"/>
          <w:numId w:val="1"/>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231F20"/>
        </w:rPr>
      </w:pPr>
    </w:p>
    <w:p>
      <w:pPr>
        <w:ind w:left="540" w:hanging="411"/>
        <w:spacing w:after="0"/>
        <w:tabs>
          <w:tab w:leader="none" w:pos="540" w:val="left"/>
        </w:tabs>
        <w:numPr>
          <w:ilvl w:val="0"/>
          <w:numId w:val="1"/>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231F20"/>
        </w:rPr>
      </w:pPr>
    </w:p>
    <w:p>
      <w:pPr>
        <w:ind w:left="540" w:hanging="411"/>
        <w:spacing w:after="0" w:line="258" w:lineRule="auto"/>
        <w:tabs>
          <w:tab w:leader="none" w:pos="540" w:val="left"/>
        </w:tabs>
        <w:numPr>
          <w:ilvl w:val="0"/>
          <w:numId w:val="1"/>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Pre-commencement communications pursuant to Rule 13e-4(c) under the Exchange Act (17 CFR 240.13e-4(c)) Securities registered pursuant to Section 12(b) of the Act:</w:t>
      </w:r>
    </w:p>
    <w:p>
      <w:pPr>
        <w:sectPr>
          <w:pgSz w:w="11900" w:h="16838" w:orient="portrait"/>
          <w:cols w:equalWidth="0" w:num="1">
            <w:col w:w="11220"/>
          </w:cols>
          <w:pgMar w:left="320" w:top="225" w:right="359" w:bottom="1440" w:gutter="0" w:footer="0" w:header="0"/>
        </w:sectPr>
      </w:pPr>
    </w:p>
    <w:p>
      <w:pPr>
        <w:spacing w:after="0" w:line="179"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231F20"/>
        </w:rPr>
        <w:t>Title of Each Class</w:t>
      </w:r>
    </w:p>
    <w:p>
      <w:pPr>
        <w:spacing w:after="0" w:line="31"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7"/>
          <w:szCs w:val="17"/>
          <w:color w:val="231F20"/>
        </w:rPr>
        <w:t>Common Stock, par value $0.001 per share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231F20"/>
        </w:rPr>
        <w:t>Trading Symbol(s)</w:t>
      </w:r>
    </w:p>
    <w:p>
      <w:pPr>
        <w:spacing w:after="0" w:line="4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231F20"/>
        </w:rPr>
        <w:t>PNNT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231F20"/>
        </w:rPr>
        <w:t>Name of Each Exchange on Which Registered</w:t>
      </w:r>
    </w:p>
    <w:p>
      <w:pPr>
        <w:spacing w:after="0" w:line="4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231F20"/>
        </w:rPr>
        <w:t>The New York Stock Exchange</w:t>
      </w:r>
    </w:p>
    <w:p>
      <w:pPr>
        <w:spacing w:after="0" w:line="200" w:lineRule="exact"/>
        <w:rPr>
          <w:sz w:val="24"/>
          <w:szCs w:val="24"/>
          <w:color w:val="auto"/>
        </w:rPr>
      </w:pPr>
    </w:p>
    <w:p>
      <w:pPr>
        <w:sectPr>
          <w:pgSz w:w="11900" w:h="16838" w:orient="portrait"/>
          <w:cols w:equalWidth="0" w:num="3">
            <w:col w:w="3960" w:space="720"/>
            <w:col w:w="1820" w:space="720"/>
            <w:col w:w="4000"/>
          </w:cols>
          <w:pgMar w:left="320" w:top="225" w:right="359" w:bottom="1440" w:gutter="0" w:footer="0" w:header="0"/>
          <w:type w:val="continuous"/>
        </w:sectPr>
      </w:pPr>
    </w:p>
    <w:p>
      <w:pPr>
        <w:spacing w:after="0" w:line="7"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Indicate by check mark whether the registrant is an emerging growth company as defined in Rule 405 of the Securities Act of 1933 (17 CFR § 230.405) or Rule 12b-2 of the Securities Exchange Act of 1934 (17 CFR §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shd w:val="clear" w:color="auto" w:fill="231F20"/>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shd w:val="clear" w:color="auto" w:fil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31F20"/>
        </w:rPr>
        <w:t>Explanatory Note</w:t>
      </w:r>
    </w:p>
    <w:p>
      <w:pPr>
        <w:spacing w:after="0" w:line="22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231F20"/>
        </w:rPr>
        <w:t>This Current Report on Form 8-K/A (this “Form 8-K/A”) amends the Current Report on Form 8-K of PennantPark Investment Corporation (the “Company”) originally furnished by the Company to the Securities and Exchange Commission on November 25, 2024 (the “Initial 8-K”). The sole purpose for filing this Form 8-K/A is to correct certain information contained in Exhibit 99.1 to the Initial 8-K related to the Company’s financial statements,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2.02. 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On November 25, 2024, the Company, filed the Initial 8-K with a press release announcing its financial results for the fourth quarter and fiscal year ended September 30, 2024 (the “Original Earnings Release”). A copy of the fully corrected press release is attached hereto as Exhibit 99.1, is incorporated herein by reference and supersedes the Original Earnings Release attached as Exhibit 99.1 to the Initial 8-K in its entirety.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The information in this report on Form 8-K/A,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8-K/A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31F20"/>
        </w:rPr>
        <w:t>This report on Form 8-K/A,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8-K/A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 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231F20"/>
        </w:rPr>
        <w:t>99.1</w:t>
      </w:r>
      <w:r>
        <w:rPr>
          <w:sz w:val="20"/>
          <w:szCs w:val="20"/>
          <w:color w:val="auto"/>
        </w:rPr>
        <w:tab/>
      </w:r>
      <w:r>
        <w:rPr>
          <w:rFonts w:ascii="Times New Roman" w:cs="Times New Roman" w:eastAsia="Times New Roman" w:hAnsi="Times New Roman"/>
          <w:sz w:val="17"/>
          <w:szCs w:val="17"/>
          <w:u w:val="single" w:color="auto"/>
          <w:color w:val="0000EE"/>
        </w:rPr>
        <w:t>Corrected version of Press Release of PennantPark Investment Corporation dated November 25, 2024</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31F20"/>
        </w:rPr>
        <w:t>SIGNATURE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231F20"/>
              </w:rPr>
              <w:t>Dated: November 26, 2024</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231F20"/>
              </w:rPr>
              <w:t>PENNANTPARK INVESTMENT CORPORATION</w:t>
            </w:r>
          </w:p>
        </w:tc>
      </w:tr>
      <w:tr>
        <w:trPr>
          <w:trHeight w:val="648"/>
        </w:trPr>
        <w:tc>
          <w:tcPr>
            <w:tcW w:w="3800" w:type="dxa"/>
            <w:vAlign w:val="bottom"/>
          </w:tcPr>
          <w:p>
            <w:pPr>
              <w:spacing w:after="0"/>
              <w:rPr>
                <w:sz w:val="24"/>
                <w:szCs w:val="24"/>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231F20"/>
              </w:rPr>
              <w:t>By:   /s/ Richard T. Allorto, Jr.</w:t>
            </w:r>
          </w:p>
        </w:tc>
      </w:tr>
      <w:tr>
        <w:trPr>
          <w:trHeight w:val="189"/>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231F20"/>
              </w:rPr>
              <w:t>Richard T. Allorto, Jr.</w:t>
            </w:r>
          </w:p>
        </w:tc>
      </w:tr>
      <w:tr>
        <w:trPr>
          <w:trHeight w:val="236"/>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231F20"/>
              </w:rPr>
              <w:t>Chief Financial Officer &amp; Treasurer</w:t>
            </w:r>
          </w:p>
        </w:tc>
      </w:tr>
    </w:tbl>
    <w:p>
      <w:pPr>
        <w:sectPr>
          <w:pgSz w:w="11900" w:h="16838" w:orient="portrait"/>
          <w:cols w:equalWidth="0" w:num="1">
            <w:col w:w="11240"/>
          </w:cols>
          <w:pgMar w:left="320" w:top="576" w:right="339" w:bottom="1440" w:gutter="0" w:footer="0" w:header="0"/>
        </w:sectPr>
      </w:pPr>
    </w:p>
    <w:bookmarkStart w:id="3" w:name="page4"/>
    <w:bookmarkEnd w:id="3"/>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340" w:right="340"/>
        <w:spacing w:after="0" w:line="262" w:lineRule="auto"/>
        <w:rPr>
          <w:sz w:val="20"/>
          <w:szCs w:val="20"/>
          <w:color w:val="auto"/>
        </w:rPr>
      </w:pPr>
      <w:r>
        <w:rPr>
          <w:rFonts w:ascii="Times New Roman" w:cs="Times New Roman" w:eastAsia="Times New Roman" w:hAnsi="Times New Roman"/>
          <w:sz w:val="22"/>
          <w:szCs w:val="22"/>
          <w:b w:val="1"/>
          <w:bCs w:val="1"/>
          <w:color w:val="auto"/>
        </w:rPr>
        <w:t>PennantPark Investment Corporation Announces Financial Results for the Fourth Quarter and Fiscal Year Ended September 30, 2024 and Upsize of Joint Venture (Amended)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1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PennantPark Investment Corporation (the “Company”) is updating the press release issued by the Company on November 25, 2024 to correct certain information contained therein. The updated release reads:</w:t>
      </w:r>
    </w:p>
    <w:p>
      <w:pPr>
        <w:spacing w:after="0" w:line="158"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MIAMI, Nov. 25, 2024 (GLOBE NEWSWIRE) -- PennantPark Investment Corporation (NYSE: PNNT) (the "Company") announced today financial results for the fourth quarter and fiscal year ended September 30,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 ended September 30, 2024</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5"/>
        </w:trPr>
        <w:tc>
          <w:tcPr>
            <w:tcW w:w="71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1,328.1</w:t>
            </w:r>
          </w:p>
        </w:tc>
        <w:tc>
          <w:tcPr>
            <w:tcW w:w="200" w:type="dxa"/>
            <w:vAlign w:val="bottom"/>
          </w:tcPr>
          <w:p>
            <w:pPr>
              <w:spacing w:after="0"/>
              <w:rPr>
                <w:sz w:val="24"/>
                <w:szCs w:val="24"/>
                <w:color w:val="auto"/>
              </w:rPr>
            </w:pPr>
          </w:p>
        </w:tc>
      </w:tr>
      <w:tr>
        <w:trPr>
          <w:trHeight w:val="279"/>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493.9</w:t>
            </w:r>
          </w:p>
        </w:tc>
        <w:tc>
          <w:tcPr>
            <w:tcW w:w="200" w:type="dxa"/>
            <w:vAlign w:val="bottom"/>
          </w:tcPr>
          <w:p>
            <w:pPr>
              <w:spacing w:after="0"/>
              <w:rPr>
                <w:sz w:val="24"/>
                <w:szCs w:val="24"/>
                <w:color w:val="auto"/>
              </w:rPr>
            </w:pPr>
          </w:p>
        </w:tc>
      </w:tr>
      <w:tr>
        <w:trPr>
          <w:trHeight w:val="324"/>
        </w:trPr>
        <w:tc>
          <w:tcPr>
            <w:tcW w:w="716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200" w:type="dxa"/>
            <w:vAlign w:val="bottom"/>
          </w:tcPr>
          <w:p>
            <w:pPr>
              <w:spacing w:after="0"/>
              <w:rPr>
                <w:sz w:val="24"/>
                <w:szCs w:val="24"/>
                <w:color w:val="auto"/>
              </w:rPr>
            </w:pPr>
          </w:p>
        </w:tc>
      </w:tr>
      <w:tr>
        <w:trPr>
          <w:trHeight w:val="315"/>
        </w:trPr>
        <w:tc>
          <w:tcPr>
            <w:tcW w:w="71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Quarterly increase in adjusted net asset value per share </w:t>
            </w:r>
            <w:r>
              <w:rPr>
                <w:rFonts w:ascii="Times New Roman" w:cs="Times New Roman" w:eastAsia="Times New Roman" w:hAnsi="Times New Roman"/>
                <w:sz w:val="35"/>
                <w:szCs w:val="35"/>
                <w:color w:val="auto"/>
                <w:vertAlign w:val="superscript"/>
              </w:rPr>
              <w:t>(2)</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w:t>
            </w: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200" w:type="dxa"/>
            <w:vAlign w:val="bottom"/>
          </w:tcPr>
          <w:p>
            <w:pPr>
              <w:spacing w:after="0"/>
              <w:rPr>
                <w:sz w:val="23"/>
                <w:szCs w:val="23"/>
                <w:color w:val="auto"/>
              </w:rPr>
            </w:pP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increase in GAAP net asset value per share</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w:t>
            </w:r>
          </w:p>
        </w:tc>
      </w:tr>
      <w:tr>
        <w:trPr>
          <w:trHeight w:val="528"/>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Credit Facility</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460.4</w:t>
            </w:r>
          </w:p>
        </w:tc>
        <w:tc>
          <w:tcPr>
            <w:tcW w:w="200" w:type="dxa"/>
            <w:vAlign w:val="bottom"/>
          </w:tcPr>
          <w:p>
            <w:pPr>
              <w:spacing w:after="0"/>
              <w:rPr>
                <w:sz w:val="24"/>
                <w:szCs w:val="24"/>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2026 Notes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148.6</w:t>
            </w:r>
          </w:p>
        </w:tc>
        <w:tc>
          <w:tcPr>
            <w:tcW w:w="20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2026-2 Notes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163.1</w:t>
            </w:r>
          </w:p>
        </w:tc>
        <w:tc>
          <w:tcPr>
            <w:tcW w:w="20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Regulatory Debt to Equity</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1.58x</w:t>
            </w: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Weighted average yield on debt investments at quarter-end</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528"/>
        </w:trPr>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Quarter Ended</w:t>
            </w:r>
          </w:p>
        </w:tc>
        <w:tc>
          <w:tcPr>
            <w:tcW w:w="260" w:type="dxa"/>
            <w:vAlign w:val="bottom"/>
          </w:tcPr>
          <w:p>
            <w:pPr>
              <w:spacing w:after="0"/>
              <w:rPr>
                <w:sz w:val="24"/>
                <w:szCs w:val="24"/>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22"/>
                <w:szCs w:val="22"/>
                <w:color w:val="auto"/>
              </w:rPr>
              <w:t>Year Ended</w:t>
            </w:r>
          </w:p>
        </w:tc>
      </w:tr>
      <w:tr>
        <w:trPr>
          <w:trHeight w:val="282"/>
        </w:trPr>
        <w:tc>
          <w:tcPr>
            <w:tcW w:w="7160" w:type="dxa"/>
            <w:vAlign w:val="bottom"/>
          </w:tcPr>
          <w:p>
            <w:pPr>
              <w:spacing w:after="0"/>
              <w:rPr>
                <w:sz w:val="24"/>
                <w:szCs w:val="24"/>
                <w:color w:val="auto"/>
              </w:rPr>
            </w:pPr>
          </w:p>
        </w:tc>
        <w:tc>
          <w:tcPr>
            <w:tcW w:w="20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September 30, 2024</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September 30, 2024</w:t>
            </w:r>
          </w:p>
        </w:tc>
      </w:tr>
      <w:tr>
        <w:trPr>
          <w:trHeight w:val="251"/>
        </w:trPr>
        <w:tc>
          <w:tcPr>
            <w:tcW w:w="71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Results:</w:t>
            </w:r>
          </w:p>
        </w:tc>
        <w:tc>
          <w:tcPr>
            <w:tcW w:w="2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w:t>
            </w: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60.1</w:t>
            </w:r>
          </w:p>
        </w:tc>
        <w:tc>
          <w:tcPr>
            <w:tcW w:w="200" w:type="dxa"/>
            <w:vAlign w:val="bottom"/>
          </w:tcPr>
          <w:p>
            <w:pPr>
              <w:spacing w:after="0"/>
              <w:rPr>
                <w:sz w:val="23"/>
                <w:szCs w:val="23"/>
                <w:color w:val="auto"/>
              </w:rPr>
            </w:pPr>
          </w:p>
        </w:tc>
      </w:tr>
      <w:tr>
        <w:trPr>
          <w:trHeight w:val="279"/>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w:t>
            </w:r>
          </w:p>
        </w:tc>
        <w:tc>
          <w:tcPr>
            <w:tcW w:w="200" w:type="dxa"/>
            <w:vAlign w:val="bottom"/>
          </w:tcPr>
          <w:p>
            <w:pPr>
              <w:spacing w:after="0"/>
              <w:rPr>
                <w:sz w:val="24"/>
                <w:szCs w:val="24"/>
                <w:color w:val="auto"/>
              </w:rPr>
            </w:pPr>
          </w:p>
        </w:tc>
      </w:tr>
      <w:tr>
        <w:trPr>
          <w:trHeight w:val="315"/>
        </w:trPr>
        <w:tc>
          <w:tcPr>
            <w:tcW w:w="71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(3)</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0.89</w:t>
            </w:r>
          </w:p>
        </w:tc>
        <w:tc>
          <w:tcPr>
            <w:tcW w:w="200" w:type="dxa"/>
            <w:vAlign w:val="bottom"/>
          </w:tcPr>
          <w:p>
            <w:pPr>
              <w:spacing w:after="0"/>
              <w:rPr>
                <w:sz w:val="24"/>
                <w:szCs w:val="24"/>
                <w:color w:val="auto"/>
              </w:rPr>
            </w:pP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0.88</w:t>
            </w:r>
          </w:p>
        </w:tc>
        <w:tc>
          <w:tcPr>
            <w:tcW w:w="200" w:type="dxa"/>
            <w:vAlign w:val="bottom"/>
          </w:tcPr>
          <w:p>
            <w:pPr>
              <w:spacing w:after="0"/>
              <w:rPr>
                <w:sz w:val="24"/>
                <w:szCs w:val="24"/>
                <w:color w:val="auto"/>
              </w:rPr>
            </w:pPr>
          </w:p>
        </w:tc>
      </w:tr>
      <w:tr>
        <w:trPr>
          <w:trHeight w:val="798"/>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291.6</w:t>
            </w: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1,043.6</w:t>
            </w:r>
          </w:p>
        </w:tc>
        <w:tc>
          <w:tcPr>
            <w:tcW w:w="200" w:type="dxa"/>
            <w:vAlign w:val="bottom"/>
          </w:tcPr>
          <w:p>
            <w:pPr>
              <w:spacing w:after="0"/>
              <w:rPr>
                <w:sz w:val="23"/>
                <w:szCs w:val="23"/>
                <w:color w:val="auto"/>
              </w:rPr>
            </w:pP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235.2</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824.6</w:t>
            </w:r>
          </w:p>
        </w:tc>
        <w:tc>
          <w:tcPr>
            <w:tcW w:w="200" w:type="dxa"/>
            <w:vAlign w:val="bottom"/>
          </w:tcPr>
          <w:p>
            <w:pPr>
              <w:spacing w:after="0"/>
              <w:rPr>
                <w:sz w:val="24"/>
                <w:szCs w:val="24"/>
                <w:color w:val="auto"/>
              </w:rPr>
            </w:pPr>
          </w:p>
        </w:tc>
      </w:tr>
      <w:tr>
        <w:trPr>
          <w:trHeight w:val="528"/>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PSLF Portfolio data:</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PSLF investment portfolio</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1,031.2</w:t>
            </w: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1,031.2</w:t>
            </w:r>
          </w:p>
        </w:tc>
        <w:tc>
          <w:tcPr>
            <w:tcW w:w="20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145.9</w:t>
            </w: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396.1</w:t>
            </w:r>
          </w:p>
        </w:tc>
        <w:tc>
          <w:tcPr>
            <w:tcW w:w="200" w:type="dxa"/>
            <w:vAlign w:val="bottom"/>
          </w:tcPr>
          <w:p>
            <w:pPr>
              <w:spacing w:after="0"/>
              <w:rPr>
                <w:sz w:val="23"/>
                <w:szCs w:val="23"/>
                <w:color w:val="auto"/>
              </w:rPr>
            </w:pP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172.9</w:t>
            </w:r>
          </w:p>
        </w:tc>
        <w:tc>
          <w:tcPr>
            <w:tcW w:w="200" w:type="dxa"/>
            <w:vAlign w:val="bottom"/>
          </w:tcPr>
          <w:p>
            <w:pPr>
              <w:spacing w:after="0"/>
              <w:rPr>
                <w:sz w:val="24"/>
                <w:szCs w:val="24"/>
                <w:color w:val="auto"/>
              </w:rPr>
            </w:pPr>
          </w:p>
        </w:tc>
      </w:tr>
    </w:tbl>
    <w:p>
      <w:pPr>
        <w:spacing w:after="0" w:line="200" w:lineRule="exact"/>
        <w:rPr>
          <w:sz w:val="20"/>
          <w:szCs w:val="20"/>
          <w:color w:val="auto"/>
        </w:rPr>
      </w:pPr>
    </w:p>
    <w:p>
      <w:pPr>
        <w:spacing w:after="0" w:line="260" w:lineRule="exact"/>
        <w:rPr>
          <w:sz w:val="20"/>
          <w:szCs w:val="20"/>
          <w:color w:val="auto"/>
        </w:rPr>
      </w:pPr>
    </w:p>
    <w:p>
      <w:pPr>
        <w:ind w:left="540" w:right="20" w:hanging="208"/>
        <w:spacing w:after="0" w:line="241"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Loan Fund, LLC ("PSLF"), an unconsolidated joint venture, totaling $183.8 million, at fair value.</w:t>
      </w:r>
    </w:p>
    <w:p>
      <w:pPr>
        <w:spacing w:after="0" w:line="1" w:lineRule="exact"/>
        <w:rPr>
          <w:rFonts w:ascii="Times New Roman" w:cs="Times New Roman" w:eastAsia="Times New Roman" w:hAnsi="Times New Roman"/>
          <w:sz w:val="22"/>
          <w:szCs w:val="22"/>
          <w:color w:val="auto"/>
        </w:rPr>
      </w:pPr>
    </w:p>
    <w:p>
      <w:pPr>
        <w:jc w:val="both"/>
        <w:ind w:left="54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excluding the impact of unrealized gain on our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spacing w:after="0" w:line="2" w:lineRule="exact"/>
        <w:rPr>
          <w:rFonts w:ascii="Times New Roman" w:cs="Times New Roman" w:eastAsia="Times New Roman" w:hAnsi="Times New Roman"/>
          <w:sz w:val="22"/>
          <w:szCs w:val="22"/>
          <w:color w:val="auto"/>
        </w:rPr>
      </w:pPr>
    </w:p>
    <w:p>
      <w:pPr>
        <w:jc w:val="both"/>
        <w:ind w:left="540" w:hanging="208"/>
        <w:spacing w:after="0" w:line="247" w:lineRule="auto"/>
        <w:tabs>
          <w:tab w:leader="none" w:pos="5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year ended</w:t>
      </w:r>
    </w:p>
    <w:p>
      <w:pPr>
        <w:sectPr>
          <w:pgSz w:w="11900" w:h="16842" w:orient="portrait"/>
          <w:cols w:equalWidth="0" w:num="1">
            <w:col w:w="11240"/>
          </w:cols>
          <w:pgMar w:left="320" w:top="108" w:right="339" w:bottom="0" w:gutter="0" w:footer="0" w:header="0"/>
        </w:sectPr>
      </w:pPr>
    </w:p>
    <w:bookmarkStart w:id="4" w:name="page5"/>
    <w:bookmarkEnd w:id="4"/>
    <w:p>
      <w:pPr>
        <w:ind w:left="540"/>
        <w:spacing w:after="0" w:line="259" w:lineRule="auto"/>
        <w:rPr>
          <w:sz w:val="20"/>
          <w:szCs w:val="20"/>
          <w:color w:val="auto"/>
        </w:rPr>
      </w:pPr>
      <w:r>
        <w:rPr>
          <w:rFonts w:ascii="Times New Roman" w:cs="Times New Roman" w:eastAsia="Times New Roman" w:hAnsi="Times New Roman"/>
          <w:sz w:val="22"/>
          <w:szCs w:val="22"/>
          <w:color w:val="auto"/>
        </w:rPr>
        <w:t>September 30, 2024, Core NII excluded: i) $2.5 million of PSLF special dividend income, and ii) $0.4 million of incentive fee expense offset.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12:00 P.M. EST ON NOVEMBER 26, 2024</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Corporation (“we,” “our,” “us” or the “Company”) will also host a conference call at 12:00 p.m. (Eastern Time) on Tuesday, November 26, 2024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#3424889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to announce another quarter of solid performance from both an NAV and Net Investment Income perspective,” said Arthur Penn, Chairman and CEO. “Our earnings stream continues to be robust due to strong credit performance and the excellent returns generated by our PSLF joint venture."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2024, our portfolio totaled $1,328.1 million and consisted of $667.9 million or 50% of first lien secured debt, $99.6 million or 7% of U.S. Government Securities, $67.2 million or 5% of second lien secured debt, $181.7 million or 14% of subordinated debt (including $115.9 million or 9% in PSLF) and $311.7 million or 23% of preferred and common equity (including $67.9 million or 5% in PSLF). Our interest bearing debt portfolio consisted of 94% variable-rate investments and 6% fixed-rate investments. As of September 30, 2024, we had two portfolio companies on non-accrual, representing 4.1% and 2.3% percent of our overall portfolio on a cost and fair value basis, respectively. Overall, the portfolio had net unrealized appreciation of $11.2 million as of September 30, 2024. Our overall portfolio consisted of 152 companies with an average investment size of $8.1 million (excluding U.S. Government Securities), had a weighted average yield on interest bearing debt investments of 12.3%.</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(excluding U.S. Government Securities), had a weighted average yield on interest bearing debt investments of 13.0%.</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September 30, 2024, we invested $191.9 million in 12 new and 44 existing portfolio companies at a weighted average yield on debt investments of 11.4% (excluding U.S. Government Securities). For the three months ended September 30, 2024, sales and repayments of investments totaled $175.3 million (excluding U.S. Government Securities), including $117.0 million of sales to PSLF. For the year ended September 30, 2024, we invested $774.6 million of investments in 41 new and 81 existing portfolio companies with a weighted average yield on debt investments of 11.7 % (excluding U.S. Government Securities). Sales and repayments of investments for the same period totaled $555.4 million (excluding U.S. Government Securities), including $308.7 million of sales to PSLF.</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September 30, 2023, we invested $61.1 million in two new and 31 existing portfolio companies at a weighted average yield on debt investments of 12.3% (excluding U.S. Government Securities). For the three months ended September 30, 2023, sales and repayments of investments totaled $138.2 million (excluding U.S. Government Securities), including $47.6 million of sales to PSLF. For the year ended September 30, 2023, we invested $275.4 million in 17 new and 69 existing portfolio companies at a weighted average yield on debt investments of 12.0% (excluding U.S. Government Securities). For the year ended September 30, 2023, sales and repayment totaled $418.6 million (excluding U.S. Government Securities), including $127.8 million of sales to PSLF.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Loan Fund, LLC</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PNNT has agreed to invest an additional $52.5 million and its joint venture partner has agreed to invest an additional $75.0 million of capital in PSLF. In addition, PSLF increased its senior secured credit facility provided by BNP Paribas from $325 million to $400 million, thereby allowing the JV to scale its investment portfolio to over $1.5 billion, representing a nearly $500 million increase in the JV’s investment capacity.</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September 30, 2024, PSLF’s portfolio totaled $1,031.2 million, consisted of 102 companies with an average investment size of $10.1 million and had a weighted average yield interest bearing debt investments of 11.3%.</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September 30, 2023, PSLF’s portfolio totaled $804.2 million, consisted of 90 companies with an average investment size of $8.9 million and had a weighted average yield on debt investments of 12.1%.</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three months ended September 30, 2024, PSLF invested $145.9 million (including $117.0 million purchased from the Company) in three new and seven existing portfolio companies at a weighted average yield on debt investments of 11.5%.</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rPr>
          <w:sz w:val="20"/>
          <w:szCs w:val="20"/>
          <w:color w:val="auto"/>
        </w:rPr>
      </w:pPr>
      <w:r>
        <w:rPr>
          <w:rFonts w:ascii="Times New Roman" w:cs="Times New Roman" w:eastAsia="Times New Roman" w:hAnsi="Times New Roman"/>
          <w:sz w:val="22"/>
          <w:szCs w:val="22"/>
          <w:color w:val="auto"/>
        </w:rPr>
        <w:t>PSLF’s sales and repayments of investments for the same period totaled $39.1 million. For the year ended September 30, 2024, PSLF invested $396.1 million (of which $308.8 million was purchased from the Company) in 20 new and 24 existing portfolio companies with a weighted average yield on debt investments of 11.8%. PSLF's sales and repayments of investments for the same period totaled $172.9 million.</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September 30, 2023, PSLF invested $56.9 million (including $47.6 million purchased from the Company) in five new and 18 existing portfolio companies at a weighted average yield on debt investments of 11.8%. PSLF’s sales and repayments of investments for the same period totaled $52.6 million. For the year ended September 30, 2023, PSLF invested $176.2 million (including $127.8 million purchased from the Company) in 21 new and 23 existing portfolio companies at a weighted average yield on debt investments of 11.8%. PSLF's sales and repayments of investments for the same period totaled $106.6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months ended and years ended September 30,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and year ended September 30, 2024, investment income was $36.5 million and $143.8 million, respectively, which was attributable to $27.2 million and $104.8 million from first lien secured debt, $2.2 million and $9.8 million from second lien secured debt, $1.1 million and $3.0 million from subordinated debt and $6.0 million and $26.2 million from other investments, respectively. For the three months and year ended September 30, 2023, investment income was $34.0 million and $145.4 million, respectively, which was attributable to $24.5 million and $97.2 million from first lien secured debt, $2.9 million and $13.8 million from second lien secured debt, $1.3 million and $4.7 million from subordinated debt and $5.4 million and $29.7 million from preferred and common equity, respectively. The decrease in investment income for the year compared to the same period in the prior year was primarily due to a decrease in dividend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the three months and year ended September 30, 2024, expenses totaled $22.0 million and $83.7 million, respectively, and were comprised of $12.3 million and $45.2 million of debt related interest and expenses, $4.3 million and $16.7 million of base management fees, $3.1 million and $12.7 million of incentive fees, $1.8 million and $6.6 million of general and administrative expenses and $0.7 million and $2.6 million of provision for excise taxes. For the three months and year ended September 30, 2023, expenses totaled $18.4 million and $79.8 million, respectively, and were comprised of $9.0 million and $39.4 million of debt related interest and expenses, $3.9 million and $16.5 million of base management fees, $3.3 million and $13.9 million of incentive fees, $1.6 million and $5.7 million of general and administrative expenses and $0.7 million and $4.3 million of provision for excise taxes. The increase in expenses over the prior year was primarily due to an increase in debt related interest and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and year ended September 30, 2024, net investment income totaled $14.4 million and $60.1 million, or $0.22 per share and $0.92 per share, respectively. For the three months and year ended September 30, 2023, net investment income totaled $15.6 million and $65.5 million, or $0.24 per share and $1.00 per share, respectively. The decrease in net investment income per share compared to the prior year was primarily due to an increase in debt-related interest expenses and decrease in dividend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and year ended September 30, 2024, net realized gains (losses) totaled $2.5 million and $(33.6) million, respectively. For the three months and year ended September 30, 2023, net realized gains (losses) totaled $(5.2) million and $(156.8) million, respectively. The change in realized gains/losses was primarily due to changes in market conditions of our investments and the values at which they were realized and the fluctuations in the market and in the economy.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and year ended September 30, 2024, net change in unrealized appreciation (depreciation) on investments was $4.3 million and $26.8 million, respectively. For the three months ended and year ended September 30, 2023, net change in unrealized appreciation (depreciation) on investments was $2.5 million and $61.2 million, respectively. As of September 30, 2024 and September 30, 2023, our net unrealized appreciation (depreciation) on investments totaled $11.2 million and $(16.3) million, respectively. The net change in unrealized appreciation/depreciation on our investments for the year ended September 30, 2024 compared to the prior year was primarily due to changes in the capital market conditions of our investments and the values at which they were realized and the fluctuation in the market and in the economy.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For the three months and year ended September 30, 2024, our Credit Facility had a net change in unrealized appreciation (depreciation) of $(2.8) million and $(4.4) million, respectively. For the three months and year ended September 30, 2023, our Credit Facility had a net change in unrealized appreciation (depreciation) of $(1.3) million and $(3.8) million, respectively. As of September 30, 2024 and September 30, 2023, the net unrealized appreciation (depreciation) on the Credit Facility totaled $1.1</w:t>
      </w:r>
    </w:p>
    <w:p>
      <w:pPr>
        <w:sectPr>
          <w:pgSz w:w="11900" w:h="16838" w:orient="portrait"/>
          <w:cols w:equalWidth="0" w:num="1">
            <w:col w:w="11240"/>
          </w:cols>
          <w:pgMar w:left="320" w:top="111" w:right="339" w:bottom="0" w:gutter="0" w:footer="0" w:header="0"/>
        </w:sectPr>
      </w:pPr>
    </w:p>
    <w:bookmarkStart w:id="6" w:name="page7"/>
    <w:bookmarkEnd w:id="6"/>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million and $5.5 million, respectively. The net change in unrealized depreciation for the year ended September 30, 2024 compared to the prior year was primarily due to changes in the capital markets.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and year ended September 30, 2024, net increase (decrease) in net assets resulting from operations totaled $18.4 million and $48.9 million, or $0.28 per share and $0.75 per share, respectively. For the three months and year ended September 30, 2023, net increase (decrease) in net assets resulting from operations totaled $12.3 million and $(33.8) million, or $0.19 per share and $(0.52) per share, respectively. The increase in net assets from operations for the year ended September 30, 2024 compared to the prior year was primarily due to larger depreciation of the portfolio in the prior year primarily driven by changes in market conditions.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September 30, 2024 and 2023, we had $461.5 million and $212.4 million, respectively, in outstanding borrowings under the Truist Credit Facility. The Truist Credit Facility had a weighted average interest rate of 7.2% and 7.7%, respectively, exclusive of the fee on undrawn commitments. As of September 30, 2024 and 2023, we had $13.5 million and $262.6 million of unused borrowing capacity under the Truist Credit Facility, respectively, subject to leverage and borrowing base restrictions.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September 30, 2024 and 2023, we had cash and cash equivalents of $49.9 million and $38.8 million, respectively, available for investing and general corporate purposes. We believe our liquidity and capital resources are sufficient to allow us to effectively operate our business.</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 the year ended September 30, 2024, our operating activities used cash of $(172.4) million and our financing activities provided cash of $183.4 million for the same period. Our operating activities used cash primarily for our investment activities and our financing activities provided cash primarily from borrowings under our Truist Credit Facility.</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year ended September 30, 2023, our operating activities provided cash of $222.9 million and our financing activities used cash of $239.2 million for the same period. Our operating activities provided cash primarily from our investment activities and our financing activities used cash primarily from the proceeds of our 2026-2 Notes and net repayments under our Truist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and year ended September 30, 2024, we declared distributions of $0.24 and $0.88 per share, for total distributions of $15.7 million and $57.4 million, respectively. During the three months and year ended September 30, 2023, we declared distributions of $0.21 and $0.76 per share, for total distributions of $13.7 million and $49.6 million, respectively. We monitor available net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annual report on Form 10-K filed with the SEC and stockholders may find the report on our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ASSETS AND LIABILITIES </w:t>
      </w:r>
      <w:r>
        <w:rPr>
          <w:rFonts w:ascii="Times New Roman" w:cs="Times New Roman" w:eastAsia="Times New Roman" w:hAnsi="Times New Roman"/>
          <w:sz w:val="22"/>
          <w:szCs w:val="22"/>
          <w:color w:val="auto"/>
        </w:rPr>
        <w:t>(In thousands, except share data)</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86"/>
        </w:trPr>
        <w:tc>
          <w:tcPr>
            <w:tcW w:w="730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September 30, 2024</w:t>
            </w:r>
          </w:p>
        </w:tc>
        <w:tc>
          <w:tcPr>
            <w:tcW w:w="180" w:type="dxa"/>
            <w:vAlign w:val="bottom"/>
          </w:tcPr>
          <w:p>
            <w:pPr>
              <w:spacing w:after="0"/>
              <w:rPr>
                <w:sz w:val="24"/>
                <w:szCs w:val="24"/>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71"/>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6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(amortized cost—$916,168 and</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$816,754, respectively)</w:t>
            </w:r>
          </w:p>
        </w:tc>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910,323</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830,808</w:t>
            </w: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Non-controlled, affiliated investments (amortized cost—$56,734 and $55,787,</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6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33,423</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54,771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Controlled, affiliated investments (amortized cost—$343,970 and $245,386,</w:t>
            </w:r>
          </w:p>
        </w:tc>
        <w:tc>
          <w:tcPr>
            <w:tcW w:w="54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384,304</w:t>
            </w:r>
          </w:p>
        </w:tc>
        <w:tc>
          <w:tcPr>
            <w:tcW w:w="52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216,068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30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investments (amortized cost—$1,316,872 and $1,117,927, respectively)</w:t>
            </w:r>
          </w:p>
        </w:tc>
        <w:tc>
          <w:tcPr>
            <w:tcW w:w="540" w:type="dxa"/>
            <w:vAlign w:val="bottom"/>
          </w:tcPr>
          <w:p>
            <w:pPr>
              <w:spacing w:after="0"/>
              <w:rPr>
                <w:sz w:val="21"/>
                <w:szCs w:val="21"/>
                <w:color w:val="auto"/>
              </w:rPr>
            </w:pPr>
          </w:p>
        </w:tc>
        <w:tc>
          <w:tcPr>
            <w:tcW w:w="12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1,328,050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1,101,647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(cost—$49,833 and $38,784, 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49,861</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38,775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5,261</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6,820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receivable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5,417</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5,079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affiliates</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228</w:t>
            </w:r>
          </w:p>
        </w:tc>
        <w:tc>
          <w:tcPr>
            <w:tcW w:w="520" w:type="dxa"/>
            <w:vAlign w:val="bottom"/>
          </w:tcPr>
          <w:p>
            <w:pPr>
              <w:spacing w:after="0"/>
              <w:rPr>
                <w:sz w:val="23"/>
                <w:szCs w:val="23"/>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269</w:t>
            </w:r>
          </w:p>
        </w:tc>
        <w:tc>
          <w:tcPr>
            <w:tcW w:w="5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4,656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5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1,389,086</w:t>
            </w:r>
          </w:p>
        </w:tc>
        <w:tc>
          <w:tcPr>
            <w:tcW w:w="2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1,156,977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5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Truist Credit Facility payable, at fair value (cost—$461,456 and $212,420,</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460,361</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206,940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net (par— $150,000)</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148,571</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147,669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2026 Notes-2 payable, net (par— $165,000)</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163,080</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162,226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 purchased</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100,096</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99,949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6,406</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6,231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5,224</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13,697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4,297</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3,915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3,057</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3,310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4,053</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6,754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Due to affiliates</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33</w:t>
            </w:r>
          </w:p>
        </w:tc>
        <w:tc>
          <w:tcPr>
            <w:tcW w:w="5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4,099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5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895,178</w:t>
            </w:r>
          </w:p>
        </w:tc>
        <w:tc>
          <w:tcPr>
            <w:tcW w:w="2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654,790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0"/>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5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65,296,094 and 65,224,500 shares issued and outstanding,</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Par value $0.001 per share and 200,000,000 shares authorized</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65</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743,968</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746,466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54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(250,125)</w:t>
            </w:r>
          </w:p>
        </w:tc>
        <w:tc>
          <w:tcPr>
            <w:tcW w:w="5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(244,344)</w:t>
            </w: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5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493,908</w:t>
            </w:r>
          </w:p>
        </w:tc>
        <w:tc>
          <w:tcPr>
            <w:tcW w:w="20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502,187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1,389,086</w:t>
            </w:r>
          </w:p>
        </w:tc>
        <w:tc>
          <w:tcPr>
            <w:tcW w:w="200" w:type="dxa"/>
            <w:vAlign w:val="bottom"/>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1,156,977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200" w:type="dxa"/>
            <w:vAlign w:val="bottom"/>
            <w:vMerge w:val="continue"/>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7.70</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OPERATIONS </w:t>
      </w:r>
      <w:r>
        <w:rPr>
          <w:rFonts w:ascii="Times New Roman" w:cs="Times New Roman" w:eastAsia="Times New Roman" w:hAnsi="Times New Roman"/>
          <w:sz w:val="22"/>
          <w:szCs w:val="22"/>
          <w:color w:val="auto"/>
        </w:rPr>
        <w:t>(In thousands, except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60" w:type="dxa"/>
            <w:vAlign w:val="bottom"/>
          </w:tcPr>
          <w:p>
            <w:pPr>
              <w:spacing w:after="0"/>
              <w:rPr>
                <w:sz w:val="24"/>
                <w:szCs w:val="24"/>
                <w:color w:val="auto"/>
              </w:rPr>
            </w:pPr>
          </w:p>
        </w:tc>
        <w:tc>
          <w:tcPr>
            <w:tcW w:w="3160" w:type="dxa"/>
            <w:vAlign w:val="bottom"/>
            <w:gridSpan w:val="6"/>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rPr>
              <w:t>Three Months Ended Sept 30,</w:t>
            </w:r>
          </w:p>
        </w:tc>
        <w:tc>
          <w:tcPr>
            <w:tcW w:w="140" w:type="dxa"/>
            <w:vAlign w:val="bottom"/>
          </w:tcPr>
          <w:p>
            <w:pPr>
              <w:spacing w:after="0"/>
              <w:rPr>
                <w:sz w:val="24"/>
                <w:szCs w:val="24"/>
                <w:color w:val="auto"/>
              </w:rPr>
            </w:pPr>
          </w:p>
        </w:tc>
        <w:tc>
          <w:tcPr>
            <w:tcW w:w="2760" w:type="dxa"/>
            <w:vAlign w:val="bottom"/>
            <w:gridSpan w:val="5"/>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8"/>
              </w:rPr>
              <w:t>Year Ended Ended Sept 30,</w:t>
            </w:r>
          </w:p>
        </w:tc>
        <w:tc>
          <w:tcPr>
            <w:tcW w:w="0" w:type="dxa"/>
            <w:vAlign w:val="bottom"/>
          </w:tcPr>
          <w:p>
            <w:pPr>
              <w:spacing w:after="0"/>
              <w:rPr>
                <w:sz w:val="1"/>
                <w:szCs w:val="1"/>
                <w:color w:val="auto"/>
              </w:rPr>
            </w:pPr>
          </w:p>
        </w:tc>
      </w:tr>
      <w:tr>
        <w:trPr>
          <w:trHeight w:val="264"/>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6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50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19,174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21,240</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80,527</w:t>
            </w:r>
          </w:p>
        </w:tc>
        <w:tc>
          <w:tcPr>
            <w:tcW w:w="100" w:type="dxa"/>
            <w:vAlign w:val="bottom"/>
          </w:tcPr>
          <w:p>
            <w:pPr>
              <w:spacing w:after="0"/>
              <w:rPr>
                <w:sz w:val="23"/>
                <w:szCs w:val="23"/>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93,420</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1,221</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1,236</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1,028</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13,945</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888</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2,316</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affiliated investments: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308</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6,349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4,527</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15,425</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446</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2,596</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4,840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4,386</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15,730</w:t>
            </w: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3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36,500</w:t>
            </w:r>
          </w:p>
        </w:tc>
        <w:tc>
          <w:tcPr>
            <w:tcW w:w="26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34,044</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143,818</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145,366</w:t>
            </w: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3,915</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16,549</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Incentive fee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3,310</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13,901</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12,281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8,953</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39,408</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469</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1,843</w:t>
            </w:r>
          </w:p>
        </w:tc>
        <w:tc>
          <w:tcPr>
            <w:tcW w:w="0" w:type="dxa"/>
            <w:vAlign w:val="bottom"/>
          </w:tcPr>
          <w:p>
            <w:pPr>
              <w:spacing w:after="0"/>
              <w:rPr>
                <w:sz w:val="1"/>
                <w:szCs w:val="1"/>
                <w:color w:val="auto"/>
              </w:rPr>
            </w:pPr>
          </w:p>
        </w:tc>
      </w:tr>
    </w:tbl>
    <w:p>
      <w:pPr>
        <w:sectPr>
          <w:pgSz w:w="11900" w:h="16838" w:orient="portrait"/>
          <w:cols w:equalWidth="0" w:num="1">
            <w:col w:w="11180"/>
          </w:cols>
          <w:pgMar w:left="340" w:top="102" w:right="379" w:bottom="0" w:gutter="0" w:footer="0" w:header="0"/>
        </w:sectPr>
      </w:pPr>
    </w:p>
    <w:bookmarkStart w:id="8" w:name="page9"/>
    <w:bookmarkEnd w:id="8"/>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1,129</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4,874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3,837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Expenses before provision for taxes</w:t>
            </w:r>
          </w:p>
        </w:tc>
        <w:tc>
          <w:tcPr>
            <w:tcW w:w="4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21,385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17,776</w:t>
            </w:r>
          </w:p>
        </w:tc>
        <w:tc>
          <w:tcPr>
            <w:tcW w:w="220" w:type="dxa"/>
            <w:vAlign w:val="bottom"/>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81,146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75,538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663</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4,295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expenses</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22,085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18,439</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83,748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79,833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14,415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15,605</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60,070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65,533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06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w:t>
            </w: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and debt:</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 investments and debt:</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(2,676)</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(18,418)</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(34,999)</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(133,098)</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extinguishment</w:t>
            </w:r>
          </w:p>
        </w:tc>
        <w:tc>
          <w:tcPr>
            <w:tcW w:w="4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(289)</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realized gain on investments</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(2,535)</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(4,952)</w:t>
            </w: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realized gain (loss) on investments and debt</w:t>
            </w:r>
          </w:p>
        </w:tc>
        <w:tc>
          <w:tcPr>
            <w:tcW w:w="4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2,448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(5,211)</w:t>
            </w:r>
          </w:p>
        </w:tc>
        <w:tc>
          <w:tcPr>
            <w:tcW w:w="220" w:type="dxa"/>
            <w:vAlign w:val="bottom"/>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(33,647)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(156,757)</w:t>
            </w:r>
          </w:p>
        </w:tc>
        <w:tc>
          <w:tcPr>
            <w:tcW w:w="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(5,483)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(1,928)</w:t>
            </w:r>
          </w:p>
        </w:tc>
        <w:tc>
          <w:tcPr>
            <w:tcW w:w="4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(20,895)</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(35,440)</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9,796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4,400</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48,388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95,034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Provision for taxes on unrealized appreciation</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(depreciation) on investments</w:t>
            </w:r>
          </w:p>
        </w:tc>
        <w:tc>
          <w:tcPr>
            <w:tcW w:w="4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680</w:t>
            </w:r>
          </w:p>
        </w:tc>
        <w:tc>
          <w:tcPr>
            <w:tcW w:w="4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(680)</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1,576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44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(2,807)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(1,279)</w:t>
            </w:r>
          </w:p>
        </w:tc>
        <w:tc>
          <w:tcPr>
            <w:tcW w:w="4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(4,385)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(3,753)</w:t>
            </w:r>
          </w:p>
        </w:tc>
        <w:tc>
          <w:tcPr>
            <w:tcW w:w="0" w:type="dxa"/>
            <w:vAlign w:val="bottom"/>
          </w:tcPr>
          <w:p>
            <w:pPr>
              <w:spacing w:after="0"/>
              <w:rPr>
                <w:sz w:val="1"/>
                <w:szCs w:val="1"/>
                <w:color w:val="auto"/>
              </w:rPr>
            </w:pPr>
          </w:p>
        </w:tc>
      </w:tr>
      <w:tr>
        <w:trPr>
          <w:trHeight w:val="207"/>
        </w:trPr>
        <w:tc>
          <w:tcPr>
            <w:tcW w:w="506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Net change in unrealized appreciation</w:t>
            </w: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(depreciation) on investments and debt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1,873</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22,428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57,417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6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realized and unrealized gain (loss) from</w:t>
            </w: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investments and debt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(3,338)</w:t>
            </w:r>
          </w:p>
        </w:tc>
        <w:tc>
          <w:tcPr>
            <w:tcW w:w="4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(11,219)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(99,340)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line="226"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18,369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2"/>
                <w:szCs w:val="22"/>
                <w:color w:val="auto"/>
              </w:rPr>
              <w:t>12,267</w:t>
            </w:r>
          </w:p>
        </w:tc>
        <w:tc>
          <w:tcPr>
            <w:tcW w:w="4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48,851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auto"/>
              </w:rPr>
              <w:t>(33,807)</w:t>
            </w:r>
          </w:p>
        </w:tc>
        <w:tc>
          <w:tcPr>
            <w:tcW w:w="0" w:type="dxa"/>
            <w:vAlign w:val="bottom"/>
          </w:tcPr>
          <w:p>
            <w:pPr>
              <w:spacing w:after="0"/>
              <w:rPr>
                <w:sz w:val="1"/>
                <w:szCs w:val="1"/>
                <w:color w:val="auto"/>
              </w:rPr>
            </w:pPr>
          </w:p>
        </w:tc>
      </w:tr>
      <w:tr>
        <w:trPr>
          <w:trHeight w:val="261"/>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w:t>
            </w:r>
          </w:p>
        </w:tc>
        <w:tc>
          <w:tcPr>
            <w:tcW w:w="4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44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0.28</w:t>
            </w:r>
          </w:p>
        </w:tc>
        <w:tc>
          <w:tcPr>
            <w:tcW w:w="160" w:type="dxa"/>
            <w:vAlign w:val="bottom"/>
          </w:tcPr>
          <w:p>
            <w:pPr>
              <w:spacing w:after="0"/>
              <w:rPr>
                <w:sz w:val="16"/>
                <w:szCs w:val="16"/>
                <w:color w:val="auto"/>
              </w:rPr>
            </w:pPr>
          </w:p>
        </w:tc>
        <w:tc>
          <w:tcPr>
            <w:tcW w:w="52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2"/>
                <w:szCs w:val="22"/>
                <w:color w:val="auto"/>
              </w:rPr>
              <w:t>0.19</w:t>
            </w:r>
          </w:p>
        </w:tc>
        <w:tc>
          <w:tcPr>
            <w:tcW w:w="4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0.75</w:t>
            </w:r>
          </w:p>
        </w:tc>
        <w:tc>
          <w:tcPr>
            <w:tcW w:w="220" w:type="dxa"/>
            <w:vAlign w:val="bottom"/>
          </w:tcPr>
          <w:p>
            <w:pPr>
              <w:spacing w:after="0"/>
              <w:rPr>
                <w:sz w:val="16"/>
                <w:szCs w:val="16"/>
                <w:color w:val="auto"/>
              </w:rPr>
            </w:pPr>
          </w:p>
        </w:tc>
        <w:tc>
          <w:tcPr>
            <w:tcW w:w="34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auto"/>
              </w:rPr>
              <w:t>(0.52)</w:t>
            </w:r>
          </w:p>
        </w:tc>
        <w:tc>
          <w:tcPr>
            <w:tcW w:w="0" w:type="dxa"/>
            <w:vAlign w:val="bottom"/>
          </w:tcPr>
          <w:p>
            <w:pPr>
              <w:spacing w:after="0"/>
              <w:rPr>
                <w:sz w:val="1"/>
                <w:szCs w:val="1"/>
                <w:color w:val="auto"/>
              </w:rPr>
            </w:pPr>
          </w:p>
        </w:tc>
      </w:tr>
      <w:tr>
        <w:trPr>
          <w:trHeight w:val="261"/>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 per common share</w:t>
            </w:r>
          </w:p>
        </w:tc>
        <w:tc>
          <w:tcPr>
            <w:tcW w:w="4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220" w:type="dxa"/>
            <w:vAlign w:val="bottom"/>
            <w:vMerge w:val="continue"/>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0.92</w:t>
            </w:r>
          </w:p>
        </w:tc>
        <w:tc>
          <w:tcPr>
            <w:tcW w:w="220" w:type="dxa"/>
            <w:vAlign w:val="bottom"/>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CORPORATION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 AND OTHER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ectPr>
          <w:pgSz w:w="11900" w:h="16913" w:orient="portrait"/>
          <w:cols w:equalWidth="0" w:num="1">
            <w:col w:w="11240"/>
          </w:cols>
          <w:pgMar w:left="320" w:top="111" w:right="3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Contact:</w:t>
            </w:r>
          </w:p>
        </w:tc>
        <w:tc>
          <w:tcPr>
            <w:tcW w:w="3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Richard T. Allorto, Jr.</w:t>
            </w:r>
          </w:p>
        </w:tc>
      </w:tr>
      <w:tr>
        <w:trPr>
          <w:trHeight w:val="270"/>
        </w:trPr>
        <w:tc>
          <w:tcPr>
            <w:tcW w:w="1140" w:type="dxa"/>
            <w:vAlign w:val="bottom"/>
          </w:tcPr>
          <w:p>
            <w:pPr>
              <w:spacing w:after="0"/>
              <w:rPr>
                <w:sz w:val="23"/>
                <w:szCs w:val="23"/>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PennantPark Investment Corporation</w:t>
            </w:r>
          </w:p>
        </w:tc>
      </w:tr>
      <w:tr>
        <w:trPr>
          <w:trHeight w:val="270"/>
        </w:trPr>
        <w:tc>
          <w:tcPr>
            <w:tcW w:w="1140" w:type="dxa"/>
            <w:vAlign w:val="bottom"/>
          </w:tcPr>
          <w:p>
            <w:pPr>
              <w:spacing w:after="0"/>
              <w:rPr>
                <w:sz w:val="23"/>
                <w:szCs w:val="23"/>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(212) 905-1000</w:t>
            </w:r>
          </w:p>
        </w:tc>
        <w:tc>
          <w:tcPr>
            <w:tcW w:w="1200" w:type="dxa"/>
            <w:vAlign w:val="bottom"/>
          </w:tcPr>
          <w:p>
            <w:pPr>
              <w:spacing w:after="0"/>
              <w:rPr>
                <w:sz w:val="23"/>
                <w:szCs w:val="23"/>
                <w:color w:val="auto"/>
              </w:rPr>
            </w:pPr>
          </w:p>
        </w:tc>
      </w:tr>
      <w:tr>
        <w:trPr>
          <w:trHeight w:val="230"/>
        </w:trPr>
        <w:tc>
          <w:tcPr>
            <w:tcW w:w="1140" w:type="dxa"/>
            <w:vAlign w:val="bottom"/>
          </w:tcPr>
          <w:p>
            <w:pPr>
              <w:spacing w:after="0"/>
              <w:rPr>
                <w:sz w:val="19"/>
                <w:szCs w:val="19"/>
                <w:color w:val="auto"/>
              </w:rPr>
            </w:pPr>
          </w:p>
        </w:tc>
        <w:tc>
          <w:tcPr>
            <w:tcW w:w="200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6"/>
              </w:rPr>
              <w:t>www.pennantpark.com</w:t>
            </w:r>
          </w:p>
        </w:tc>
        <w:tc>
          <w:tcPr>
            <w:tcW w:w="120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119"/>
      </w:cols>
      <w:pgMar w:left="3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2024-11-26T05:13:11Z</dcterms:created>
  <dcterms:modified xsi:type="dcterms:W3CDTF">2024-11-26T05:13:11Z</dcterms:modified>
</cp:coreProperties>
</file>