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3,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spacing w:after="0" w:line="2"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New York Stock Exchange</w:t>
      </w:r>
    </w:p>
    <w:p>
      <w:pPr>
        <w:spacing w:after="0" w:line="200" w:lineRule="exact"/>
        <w:rPr>
          <w:sz w:val="24"/>
          <w:szCs w:val="24"/>
          <w:color w:val="auto"/>
        </w:rPr>
      </w:pPr>
    </w:p>
    <w:p>
      <w:pPr>
        <w:sectPr>
          <w:pgSz w:w="11900" w:h="16838" w:orient="portrait"/>
          <w:cols w:equalWidth="0" w:num="3">
            <w:col w:w="4300" w:space="720"/>
            <w:col w:w="1560" w:space="720"/>
            <w:col w:w="3800"/>
          </w:cols>
          <w:pgMar w:left="320" w:top="724" w:right="479" w:bottom="1440" w:gutter="0" w:footer="0" w:header="0"/>
          <w:type w:val="continuous"/>
        </w:sectPr>
      </w:pPr>
    </w:p>
    <w:p>
      <w:pPr>
        <w:spacing w:after="0" w:line="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3, 2022, PennantPark Investment Corporation, or the Company, issued a press release announcing its financial results for the third fiscal quarter ended June 30, 2022. A copy of the press release is furnished as Exhibit 99.1 to this report pursuant to Item 2.02 on Form 8-K and Regulation FD.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3, 2022, the Company announced an increase of its fourth fiscal quarter 2022 distribution. A copy of the press release is furnished as Exhibit 99.1 to this Form 8-K.</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impact on the Company’s business and operating results, see the Company’s Quarterly Report on Form 10-Q for the quarter ended June 30, 2022, including “Item 2. Management's Discussion and Analysis of Financial Condition and Results of Operations – COVID-19 Developments”.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August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900" w:type="dxa"/>
            <w:vAlign w:val="bottom"/>
            <w:gridSpan w:val="3"/>
          </w:tcPr>
          <w:p>
            <w:pPr>
              <w:ind w:left="19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3, 2022</w:t>
            </w:r>
          </w:p>
        </w:tc>
        <w:tc>
          <w:tcPr>
            <w:tcW w:w="4900" w:type="dxa"/>
            <w:vAlign w:val="bottom"/>
            <w:gridSpan w:val="3"/>
          </w:tcPr>
          <w:p>
            <w:pPr>
              <w:ind w:left="1960"/>
              <w:spacing w:after="0"/>
              <w:rPr>
                <w:sz w:val="20"/>
                <w:szCs w:val="20"/>
                <w:color w:val="auto"/>
              </w:rPr>
            </w:pPr>
            <w:r>
              <w:rPr>
                <w:rFonts w:ascii="Arial" w:cs="Arial" w:eastAsia="Arial" w:hAnsi="Arial"/>
                <w:sz w:val="18"/>
                <w:szCs w:val="18"/>
                <w:color w:val="auto"/>
              </w:rPr>
              <w:t>By: /s/ Richard T. Allorto, Jr.</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48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340" w:right="200"/>
        <w:spacing w:after="0" w:line="256" w:lineRule="auto"/>
        <w:rPr>
          <w:sz w:val="20"/>
          <w:szCs w:val="20"/>
          <w:color w:val="auto"/>
        </w:rPr>
      </w:pPr>
      <w:r>
        <w:rPr>
          <w:rFonts w:ascii="Arial" w:cs="Arial" w:eastAsia="Arial" w:hAnsi="Arial"/>
          <w:sz w:val="22"/>
          <w:szCs w:val="22"/>
          <w:b w:val="1"/>
          <w:bCs w:val="1"/>
          <w:color w:val="auto"/>
        </w:rPr>
        <w:t>PennantPark Investment Corporation Announces an Increase of Its Quarterly Distribution to $0.15 per Share and Its Financial Results for the Quarter Ended June 30, 2022</w:t>
      </w:r>
    </w:p>
    <w:p>
      <w:pPr>
        <w:spacing w:after="0" w:line="168" w:lineRule="exact"/>
        <w:rPr>
          <w:sz w:val="20"/>
          <w:szCs w:val="20"/>
          <w:color w:val="auto"/>
        </w:rPr>
      </w:pPr>
    </w:p>
    <w:p>
      <w:pPr>
        <w:ind w:right="640"/>
        <w:spacing w:after="0" w:line="250" w:lineRule="auto"/>
        <w:rPr>
          <w:sz w:val="20"/>
          <w:szCs w:val="20"/>
          <w:color w:val="auto"/>
        </w:rPr>
      </w:pPr>
      <w:r>
        <w:rPr>
          <w:rFonts w:ascii="Arial" w:cs="Arial" w:eastAsia="Arial" w:hAnsi="Arial"/>
          <w:sz w:val="22"/>
          <w:szCs w:val="22"/>
          <w:color w:val="auto"/>
        </w:rPr>
        <w:t>MIAMI, Aug. 03, 2022 (GLOBE NEWSWIRE) -- PennantPark Investment Corporation (NYSE: PNNT) announced today financial results for the third fiscal quarter ended June 30, 2022.</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748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Arial" w:cs="Arial" w:eastAsia="Arial" w:hAnsi="Arial"/>
                <w:sz w:val="22"/>
                <w:szCs w:val="22"/>
                <w:color w:val="auto"/>
              </w:rPr>
              <w:t>Quarter ended June 30, 2022</w:t>
            </w:r>
          </w:p>
        </w:tc>
        <w:tc>
          <w:tcPr>
            <w:tcW w:w="26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Arial" w:cs="Arial" w:eastAsia="Arial" w:hAnsi="Arial"/>
                <w:sz w:val="22"/>
                <w:szCs w:val="22"/>
                <w:color w:val="auto"/>
              </w:rPr>
              <w:t>($ in millions, except per share amounts)</w:t>
            </w:r>
          </w:p>
        </w:tc>
        <w:tc>
          <w:tcPr>
            <w:tcW w:w="26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480" w:type="dxa"/>
            <w:vAlign w:val="bottom"/>
          </w:tcPr>
          <w:p>
            <w:pPr>
              <w:spacing w:after="0"/>
              <w:rPr>
                <w:sz w:val="20"/>
                <w:szCs w:val="20"/>
                <w:color w:val="auto"/>
              </w:rPr>
            </w:pPr>
            <w:r>
              <w:rPr>
                <w:rFonts w:ascii="Arial" w:cs="Arial" w:eastAsia="Arial" w:hAnsi="Arial"/>
                <w:sz w:val="22"/>
                <w:szCs w:val="22"/>
                <w:color w:val="auto"/>
              </w:rPr>
              <w:t>Assets and Liabilities:</w:t>
            </w:r>
          </w:p>
        </w:tc>
        <w:tc>
          <w:tcPr>
            <w:tcW w:w="2680" w:type="dxa"/>
            <w:vAlign w:val="bottom"/>
            <w:vMerge w:val="restart"/>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7480" w:type="dxa"/>
            <w:vAlign w:val="bottom"/>
          </w:tcPr>
          <w:p>
            <w:pPr>
              <w:ind w:left="260"/>
              <w:spacing w:after="0" w:line="319" w:lineRule="exact"/>
              <w:rPr>
                <w:sz w:val="20"/>
                <w:szCs w:val="20"/>
                <w:color w:val="auto"/>
              </w:rPr>
            </w:pPr>
            <w:r>
              <w:rPr>
                <w:rFonts w:ascii="Arial" w:cs="Arial" w:eastAsia="Arial" w:hAnsi="Arial"/>
                <w:sz w:val="22"/>
                <w:szCs w:val="22"/>
                <w:color w:val="auto"/>
              </w:rPr>
              <w:t>Investment portfolio</w:t>
            </w:r>
            <w:r>
              <w:rPr>
                <w:rFonts w:ascii="Arial" w:cs="Arial" w:eastAsia="Arial" w:hAnsi="Arial"/>
                <w:sz w:val="35"/>
                <w:szCs w:val="35"/>
                <w:color w:val="auto"/>
                <w:vertAlign w:val="superscript"/>
              </w:rPr>
              <w:t>(1)</w:t>
            </w:r>
          </w:p>
        </w:tc>
        <w:tc>
          <w:tcPr>
            <w:tcW w:w="2680" w:type="dxa"/>
            <w:vAlign w:val="bottom"/>
            <w:vMerge w:val="continue"/>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1,314.8</w:t>
            </w:r>
          </w:p>
        </w:tc>
        <w:tc>
          <w:tcPr>
            <w:tcW w:w="0" w:type="dxa"/>
            <w:vAlign w:val="bottom"/>
          </w:tcPr>
          <w:p>
            <w:pPr>
              <w:spacing w:after="0"/>
              <w:rPr>
                <w:sz w:val="1"/>
                <w:szCs w:val="1"/>
                <w:color w:val="auto"/>
              </w:rPr>
            </w:pPr>
          </w:p>
        </w:tc>
      </w:tr>
      <w:tr>
        <w:trPr>
          <w:trHeight w:val="270"/>
        </w:trPr>
        <w:tc>
          <w:tcPr>
            <w:tcW w:w="7480" w:type="dxa"/>
            <w:vAlign w:val="bottom"/>
          </w:tcPr>
          <w:p>
            <w:pPr>
              <w:ind w:left="260"/>
              <w:spacing w:after="0"/>
              <w:rPr>
                <w:sz w:val="20"/>
                <w:szCs w:val="20"/>
                <w:color w:val="auto"/>
              </w:rPr>
            </w:pPr>
            <w:r>
              <w:rPr>
                <w:rFonts w:ascii="Arial" w:cs="Arial" w:eastAsia="Arial" w:hAnsi="Arial"/>
                <w:sz w:val="22"/>
                <w:szCs w:val="22"/>
                <w:color w:val="auto"/>
              </w:rPr>
              <w:t>Net assets</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631.5</w:t>
            </w:r>
          </w:p>
        </w:tc>
        <w:tc>
          <w:tcPr>
            <w:tcW w:w="0" w:type="dxa"/>
            <w:vAlign w:val="bottom"/>
          </w:tcPr>
          <w:p>
            <w:pPr>
              <w:spacing w:after="0"/>
              <w:rPr>
                <w:sz w:val="1"/>
                <w:szCs w:val="1"/>
                <w:color w:val="auto"/>
              </w:rPr>
            </w:pPr>
          </w:p>
        </w:tc>
      </w:tr>
      <w:tr>
        <w:trPr>
          <w:trHeight w:val="270"/>
        </w:trPr>
        <w:tc>
          <w:tcPr>
            <w:tcW w:w="7480" w:type="dxa"/>
            <w:vAlign w:val="bottom"/>
          </w:tcPr>
          <w:p>
            <w:pPr>
              <w:ind w:left="260"/>
              <w:spacing w:after="0"/>
              <w:rPr>
                <w:sz w:val="20"/>
                <w:szCs w:val="20"/>
                <w:color w:val="auto"/>
              </w:rPr>
            </w:pPr>
            <w:r>
              <w:rPr>
                <w:rFonts w:ascii="Arial" w:cs="Arial" w:eastAsia="Arial" w:hAnsi="Arial"/>
                <w:sz w:val="22"/>
                <w:szCs w:val="22"/>
                <w:color w:val="auto"/>
              </w:rPr>
              <w:t>GAAP net asset value per share</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9.65</w:t>
            </w:r>
          </w:p>
        </w:tc>
        <w:tc>
          <w:tcPr>
            <w:tcW w:w="0" w:type="dxa"/>
            <w:vAlign w:val="bottom"/>
          </w:tcPr>
          <w:p>
            <w:pPr>
              <w:spacing w:after="0"/>
              <w:rPr>
                <w:sz w:val="1"/>
                <w:szCs w:val="1"/>
                <w:color w:val="auto"/>
              </w:rPr>
            </w:pPr>
          </w:p>
        </w:tc>
      </w:tr>
      <w:tr>
        <w:trPr>
          <w:trHeight w:val="274"/>
        </w:trPr>
        <w:tc>
          <w:tcPr>
            <w:tcW w:w="7480" w:type="dxa"/>
            <w:vAlign w:val="bottom"/>
          </w:tcPr>
          <w:p>
            <w:pPr>
              <w:ind w:left="260"/>
              <w:spacing w:after="0"/>
              <w:rPr>
                <w:sz w:val="20"/>
                <w:szCs w:val="20"/>
                <w:color w:val="auto"/>
              </w:rPr>
            </w:pPr>
            <w:r>
              <w:rPr>
                <w:rFonts w:ascii="Arial" w:cs="Arial" w:eastAsia="Arial" w:hAnsi="Arial"/>
                <w:sz w:val="22"/>
                <w:szCs w:val="22"/>
                <w:color w:val="auto"/>
              </w:rPr>
              <w:t>Quarterly decrease in GAAP net asset value per share</w:t>
            </w:r>
          </w:p>
        </w:tc>
        <w:tc>
          <w:tcPr>
            <w:tcW w:w="2680" w:type="dxa"/>
            <w:vAlign w:val="bottom"/>
            <w:vMerge w:val="restart"/>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327"/>
        </w:trPr>
        <w:tc>
          <w:tcPr>
            <w:tcW w:w="7480" w:type="dxa"/>
            <w:vAlign w:val="bottom"/>
          </w:tcPr>
          <w:p>
            <w:pPr>
              <w:ind w:left="260"/>
              <w:spacing w:after="0" w:line="326" w:lineRule="exact"/>
              <w:rPr>
                <w:sz w:val="20"/>
                <w:szCs w:val="20"/>
                <w:color w:val="auto"/>
              </w:rPr>
            </w:pPr>
            <w:r>
              <w:rPr>
                <w:rFonts w:ascii="Arial" w:cs="Arial" w:eastAsia="Arial" w:hAnsi="Arial"/>
                <w:sz w:val="22"/>
                <w:szCs w:val="22"/>
                <w:color w:val="auto"/>
              </w:rPr>
              <w:t>Adjusted net asset value per share</w:t>
            </w:r>
            <w:r>
              <w:rPr>
                <w:rFonts w:ascii="Arial" w:cs="Arial" w:eastAsia="Arial" w:hAnsi="Arial"/>
                <w:sz w:val="35"/>
                <w:szCs w:val="35"/>
                <w:color w:val="auto"/>
                <w:vertAlign w:val="superscript"/>
              </w:rPr>
              <w:t>(2)</w:t>
            </w:r>
          </w:p>
        </w:tc>
        <w:tc>
          <w:tcPr>
            <w:tcW w:w="2680" w:type="dxa"/>
            <w:vAlign w:val="bottom"/>
            <w:vMerge w:val="continue"/>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9.57</w:t>
            </w:r>
          </w:p>
        </w:tc>
        <w:tc>
          <w:tcPr>
            <w:tcW w:w="0" w:type="dxa"/>
            <w:vAlign w:val="bottom"/>
          </w:tcPr>
          <w:p>
            <w:pPr>
              <w:spacing w:after="0"/>
              <w:rPr>
                <w:sz w:val="1"/>
                <w:szCs w:val="1"/>
                <w:color w:val="auto"/>
              </w:rPr>
            </w:pPr>
          </w:p>
        </w:tc>
      </w:tr>
      <w:tr>
        <w:trPr>
          <w:trHeight w:val="471"/>
        </w:trPr>
        <w:tc>
          <w:tcPr>
            <w:tcW w:w="7480" w:type="dxa"/>
            <w:vAlign w:val="bottom"/>
          </w:tcPr>
          <w:p>
            <w:pPr>
              <w:ind w:left="260"/>
              <w:spacing w:after="0"/>
              <w:rPr>
                <w:sz w:val="20"/>
                <w:szCs w:val="20"/>
                <w:color w:val="auto"/>
              </w:rPr>
            </w:pPr>
            <w:r>
              <w:rPr>
                <w:rFonts w:ascii="Arial" w:cs="Arial" w:eastAsia="Arial" w:hAnsi="Arial"/>
                <w:sz w:val="22"/>
                <w:szCs w:val="22"/>
                <w:color w:val="auto"/>
              </w:rPr>
              <w:t>Quarterly decrease in adjusted net asset value per share</w:t>
            </w:r>
            <w:r>
              <w:rPr>
                <w:rFonts w:ascii="Arial" w:cs="Arial" w:eastAsia="Arial" w:hAnsi="Arial"/>
                <w:sz w:val="35"/>
                <w:szCs w:val="35"/>
                <w:color w:val="auto"/>
                <w:vertAlign w:val="superscript"/>
              </w:rPr>
              <w:t>(2)</w:t>
            </w:r>
          </w:p>
        </w:tc>
        <w:tc>
          <w:tcPr>
            <w:tcW w:w="26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386"/>
        </w:trPr>
        <w:tc>
          <w:tcPr>
            <w:tcW w:w="7480" w:type="dxa"/>
            <w:vAlign w:val="bottom"/>
          </w:tcPr>
          <w:p>
            <w:pPr>
              <w:ind w:left="400"/>
              <w:spacing w:after="0"/>
              <w:rPr>
                <w:sz w:val="20"/>
                <w:szCs w:val="20"/>
                <w:color w:val="auto"/>
              </w:rPr>
            </w:pPr>
            <w:r>
              <w:rPr>
                <w:rFonts w:ascii="Arial" w:cs="Arial" w:eastAsia="Arial" w:hAnsi="Arial"/>
                <w:sz w:val="22"/>
                <w:szCs w:val="22"/>
                <w:color w:val="auto"/>
              </w:rPr>
              <w:t>Credit Facility</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412.0</w:t>
            </w:r>
          </w:p>
        </w:tc>
        <w:tc>
          <w:tcPr>
            <w:tcW w:w="0" w:type="dxa"/>
            <w:vAlign w:val="bottom"/>
          </w:tcPr>
          <w:p>
            <w:pPr>
              <w:spacing w:after="0"/>
              <w:rPr>
                <w:sz w:val="1"/>
                <w:szCs w:val="1"/>
                <w:color w:val="auto"/>
              </w:rPr>
            </w:pPr>
          </w:p>
        </w:tc>
      </w:tr>
      <w:tr>
        <w:trPr>
          <w:trHeight w:val="270"/>
        </w:trPr>
        <w:tc>
          <w:tcPr>
            <w:tcW w:w="7480" w:type="dxa"/>
            <w:vAlign w:val="bottom"/>
          </w:tcPr>
          <w:p>
            <w:pPr>
              <w:ind w:left="400"/>
              <w:spacing w:after="0"/>
              <w:rPr>
                <w:sz w:val="20"/>
                <w:szCs w:val="20"/>
                <w:color w:val="auto"/>
              </w:rPr>
            </w:pPr>
            <w:r>
              <w:rPr>
                <w:rFonts w:ascii="Arial" w:cs="Arial" w:eastAsia="Arial" w:hAnsi="Arial"/>
                <w:sz w:val="22"/>
                <w:szCs w:val="22"/>
                <w:color w:val="auto"/>
              </w:rPr>
              <w:t>2026 Notes</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146.3</w:t>
            </w:r>
          </w:p>
        </w:tc>
        <w:tc>
          <w:tcPr>
            <w:tcW w:w="0" w:type="dxa"/>
            <w:vAlign w:val="bottom"/>
          </w:tcPr>
          <w:p>
            <w:pPr>
              <w:spacing w:after="0"/>
              <w:rPr>
                <w:sz w:val="1"/>
                <w:szCs w:val="1"/>
                <w:color w:val="auto"/>
              </w:rPr>
            </w:pPr>
          </w:p>
        </w:tc>
      </w:tr>
      <w:tr>
        <w:trPr>
          <w:trHeight w:val="270"/>
        </w:trPr>
        <w:tc>
          <w:tcPr>
            <w:tcW w:w="7480" w:type="dxa"/>
            <w:vAlign w:val="bottom"/>
          </w:tcPr>
          <w:p>
            <w:pPr>
              <w:ind w:left="400"/>
              <w:spacing w:after="0"/>
              <w:rPr>
                <w:sz w:val="20"/>
                <w:szCs w:val="20"/>
                <w:color w:val="auto"/>
              </w:rPr>
            </w:pPr>
            <w:r>
              <w:rPr>
                <w:rFonts w:ascii="Arial" w:cs="Arial" w:eastAsia="Arial" w:hAnsi="Arial"/>
                <w:sz w:val="22"/>
                <w:szCs w:val="22"/>
                <w:color w:val="auto"/>
              </w:rPr>
              <w:t>2026 Notes-2</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161.2</w:t>
            </w:r>
          </w:p>
        </w:tc>
        <w:tc>
          <w:tcPr>
            <w:tcW w:w="0" w:type="dxa"/>
            <w:vAlign w:val="bottom"/>
          </w:tcPr>
          <w:p>
            <w:pPr>
              <w:spacing w:after="0"/>
              <w:rPr>
                <w:sz w:val="1"/>
                <w:szCs w:val="1"/>
                <w:color w:val="auto"/>
              </w:rPr>
            </w:pPr>
          </w:p>
        </w:tc>
      </w:tr>
      <w:tr>
        <w:trPr>
          <w:trHeight w:val="270"/>
        </w:trPr>
        <w:tc>
          <w:tcPr>
            <w:tcW w:w="7480" w:type="dxa"/>
            <w:vAlign w:val="bottom"/>
          </w:tcPr>
          <w:p>
            <w:pPr>
              <w:ind w:left="400"/>
              <w:spacing w:after="0"/>
              <w:rPr>
                <w:sz w:val="20"/>
                <w:szCs w:val="20"/>
                <w:color w:val="auto"/>
              </w:rPr>
            </w:pPr>
            <w:r>
              <w:rPr>
                <w:rFonts w:ascii="Arial" w:cs="Arial" w:eastAsia="Arial" w:hAnsi="Arial"/>
                <w:sz w:val="22"/>
                <w:szCs w:val="22"/>
                <w:color w:val="auto"/>
              </w:rPr>
              <w:t>SBA Debentures</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27.0</w:t>
            </w:r>
          </w:p>
        </w:tc>
        <w:tc>
          <w:tcPr>
            <w:tcW w:w="0" w:type="dxa"/>
            <w:vAlign w:val="bottom"/>
          </w:tcPr>
          <w:p>
            <w:pPr>
              <w:spacing w:after="0"/>
              <w:rPr>
                <w:sz w:val="1"/>
                <w:szCs w:val="1"/>
                <w:color w:val="auto"/>
              </w:rPr>
            </w:pPr>
          </w:p>
        </w:tc>
      </w:tr>
      <w:tr>
        <w:trPr>
          <w:trHeight w:val="274"/>
        </w:trPr>
        <w:tc>
          <w:tcPr>
            <w:tcW w:w="7480" w:type="dxa"/>
            <w:vAlign w:val="bottom"/>
          </w:tcPr>
          <w:p>
            <w:pPr>
              <w:ind w:left="260"/>
              <w:spacing w:after="0"/>
              <w:rPr>
                <w:sz w:val="20"/>
                <w:szCs w:val="20"/>
                <w:color w:val="auto"/>
              </w:rPr>
            </w:pPr>
            <w:r>
              <w:rPr>
                <w:rFonts w:ascii="Arial" w:cs="Arial" w:eastAsia="Arial" w:hAnsi="Arial"/>
                <w:sz w:val="22"/>
                <w:szCs w:val="22"/>
                <w:color w:val="auto"/>
              </w:rPr>
              <w:t>Regulatory Debt to Equity</w:t>
            </w:r>
          </w:p>
        </w:tc>
        <w:tc>
          <w:tcPr>
            <w:tcW w:w="2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1.16x</w:t>
            </w:r>
          </w:p>
        </w:tc>
        <w:tc>
          <w:tcPr>
            <w:tcW w:w="0" w:type="dxa"/>
            <w:vAlign w:val="bottom"/>
          </w:tcPr>
          <w:p>
            <w:pPr>
              <w:spacing w:after="0"/>
              <w:rPr>
                <w:sz w:val="1"/>
                <w:szCs w:val="1"/>
                <w:color w:val="auto"/>
              </w:rPr>
            </w:pPr>
          </w:p>
        </w:tc>
      </w:tr>
      <w:tr>
        <w:trPr>
          <w:trHeight w:val="327"/>
        </w:trPr>
        <w:tc>
          <w:tcPr>
            <w:tcW w:w="7480" w:type="dxa"/>
            <w:vAlign w:val="bottom"/>
          </w:tcPr>
          <w:p>
            <w:pPr>
              <w:ind w:left="260"/>
              <w:spacing w:after="0" w:line="326" w:lineRule="exact"/>
              <w:rPr>
                <w:sz w:val="20"/>
                <w:szCs w:val="20"/>
                <w:color w:val="auto"/>
              </w:rPr>
            </w:pPr>
            <w:r>
              <w:rPr>
                <w:rFonts w:ascii="Arial" w:cs="Arial" w:eastAsia="Arial" w:hAnsi="Arial"/>
                <w:sz w:val="22"/>
                <w:szCs w:val="22"/>
                <w:color w:val="auto"/>
              </w:rPr>
              <w:t>Regulatory Net Debt to Equity</w:t>
            </w:r>
            <w:r>
              <w:rPr>
                <w:rFonts w:ascii="Arial" w:cs="Arial" w:eastAsia="Arial" w:hAnsi="Arial"/>
                <w:sz w:val="35"/>
                <w:szCs w:val="35"/>
                <w:color w:val="auto"/>
                <w:vertAlign w:val="superscript"/>
              </w:rPr>
              <w:t>(3)</w:t>
            </w:r>
          </w:p>
        </w:tc>
        <w:tc>
          <w:tcPr>
            <w:tcW w:w="26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1.12x</w:t>
            </w:r>
          </w:p>
        </w:tc>
        <w:tc>
          <w:tcPr>
            <w:tcW w:w="0" w:type="dxa"/>
            <w:vAlign w:val="bottom"/>
          </w:tcPr>
          <w:p>
            <w:pPr>
              <w:spacing w:after="0"/>
              <w:rPr>
                <w:sz w:val="1"/>
                <w:szCs w:val="1"/>
                <w:color w:val="auto"/>
              </w:rPr>
            </w:pPr>
          </w:p>
        </w:tc>
      </w:tr>
      <w:tr>
        <w:trPr>
          <w:trHeight w:val="471"/>
        </w:trPr>
        <w:tc>
          <w:tcPr>
            <w:tcW w:w="7480" w:type="dxa"/>
            <w:vAlign w:val="bottom"/>
          </w:tcPr>
          <w:p>
            <w:pPr>
              <w:ind w:left="260"/>
              <w:spacing w:after="0"/>
              <w:rPr>
                <w:sz w:val="20"/>
                <w:szCs w:val="20"/>
                <w:color w:val="auto"/>
              </w:rPr>
            </w:pPr>
            <w:r>
              <w:rPr>
                <w:rFonts w:ascii="Arial" w:cs="Arial" w:eastAsia="Arial" w:hAnsi="Arial"/>
                <w:sz w:val="22"/>
                <w:szCs w:val="22"/>
                <w:color w:val="auto"/>
              </w:rPr>
              <w:t>GAAP Net Debt to Equity</w:t>
            </w:r>
            <w:r>
              <w:rPr>
                <w:rFonts w:ascii="Arial" w:cs="Arial" w:eastAsia="Arial" w:hAnsi="Arial"/>
                <w:sz w:val="35"/>
                <w:szCs w:val="35"/>
                <w:color w:val="auto"/>
                <w:vertAlign w:val="superscript"/>
              </w:rPr>
              <w:t>(4)</w:t>
            </w:r>
          </w:p>
        </w:tc>
        <w:tc>
          <w:tcPr>
            <w:tcW w:w="26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1.14x</w:t>
            </w:r>
          </w:p>
        </w:tc>
        <w:tc>
          <w:tcPr>
            <w:tcW w:w="0" w:type="dxa"/>
            <w:vAlign w:val="bottom"/>
          </w:tcPr>
          <w:p>
            <w:pPr>
              <w:spacing w:after="0"/>
              <w:rPr>
                <w:sz w:val="1"/>
                <w:szCs w:val="1"/>
                <w:color w:val="auto"/>
              </w:rPr>
            </w:pPr>
          </w:p>
        </w:tc>
      </w:tr>
      <w:tr>
        <w:trPr>
          <w:trHeight w:val="390"/>
        </w:trPr>
        <w:tc>
          <w:tcPr>
            <w:tcW w:w="7480" w:type="dxa"/>
            <w:vAlign w:val="bottom"/>
          </w:tcPr>
          <w:p>
            <w:pPr>
              <w:ind w:left="260"/>
              <w:spacing w:after="0"/>
              <w:rPr>
                <w:sz w:val="20"/>
                <w:szCs w:val="20"/>
                <w:color w:val="auto"/>
              </w:rPr>
            </w:pPr>
            <w:r>
              <w:rPr>
                <w:rFonts w:ascii="Arial" w:cs="Arial" w:eastAsia="Arial" w:hAnsi="Arial"/>
                <w:sz w:val="22"/>
                <w:szCs w:val="22"/>
                <w:color w:val="auto"/>
              </w:rPr>
              <w:t>Weighted average yield on debt investments at quarter-end</w:t>
            </w:r>
          </w:p>
        </w:tc>
        <w:tc>
          <w:tcPr>
            <w:tcW w:w="26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9.3%</w:t>
            </w:r>
          </w:p>
        </w:tc>
        <w:tc>
          <w:tcPr>
            <w:tcW w:w="0" w:type="dxa"/>
            <w:vAlign w:val="bottom"/>
          </w:tcPr>
          <w:p>
            <w:pPr>
              <w:spacing w:after="0"/>
              <w:rPr>
                <w:sz w:val="1"/>
                <w:szCs w:val="1"/>
                <w:color w:val="auto"/>
              </w:rPr>
            </w:pPr>
          </w:p>
        </w:tc>
      </w:tr>
      <w:tr>
        <w:trPr>
          <w:trHeight w:val="536"/>
        </w:trPr>
        <w:tc>
          <w:tcPr>
            <w:tcW w:w="7480" w:type="dxa"/>
            <w:vAlign w:val="bottom"/>
          </w:tcPr>
          <w:p>
            <w:pPr>
              <w:spacing w:after="0"/>
              <w:rPr>
                <w:sz w:val="20"/>
                <w:szCs w:val="20"/>
                <w:color w:val="auto"/>
              </w:rPr>
            </w:pPr>
            <w:r>
              <w:rPr>
                <w:rFonts w:ascii="Arial" w:cs="Arial" w:eastAsia="Arial" w:hAnsi="Arial"/>
                <w:sz w:val="22"/>
                <w:szCs w:val="22"/>
                <w:color w:val="auto"/>
              </w:rPr>
              <w:t>Operating Results:</w:t>
            </w:r>
          </w:p>
        </w:tc>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10.6</w:t>
            </w:r>
          </w:p>
        </w:tc>
        <w:tc>
          <w:tcPr>
            <w:tcW w:w="0" w:type="dxa"/>
            <w:vAlign w:val="bottom"/>
          </w:tcPr>
          <w:p>
            <w:pPr>
              <w:spacing w:after="0"/>
              <w:rPr>
                <w:sz w:val="1"/>
                <w:szCs w:val="1"/>
                <w:color w:val="auto"/>
              </w:rPr>
            </w:pP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Net investment income per share (GAAP)</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0.16</w:t>
            </w:r>
          </w:p>
        </w:tc>
        <w:tc>
          <w:tcPr>
            <w:tcW w:w="0" w:type="dxa"/>
            <w:vAlign w:val="bottom"/>
          </w:tcPr>
          <w:p>
            <w:pPr>
              <w:spacing w:after="0"/>
              <w:rPr>
                <w:sz w:val="1"/>
                <w:szCs w:val="1"/>
                <w:color w:val="auto"/>
              </w:rPr>
            </w:pPr>
          </w:p>
        </w:tc>
      </w:tr>
      <w:tr>
        <w:trPr>
          <w:trHeight w:val="274"/>
        </w:trPr>
        <w:tc>
          <w:tcPr>
            <w:tcW w:w="748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0.145</w:t>
            </w:r>
          </w:p>
        </w:tc>
        <w:tc>
          <w:tcPr>
            <w:tcW w:w="0" w:type="dxa"/>
            <w:vAlign w:val="bottom"/>
          </w:tcPr>
          <w:p>
            <w:pPr>
              <w:spacing w:after="0"/>
              <w:rPr>
                <w:sz w:val="1"/>
                <w:szCs w:val="1"/>
                <w:color w:val="auto"/>
              </w:rPr>
            </w:pPr>
          </w:p>
        </w:tc>
      </w:tr>
      <w:tr>
        <w:trPr>
          <w:trHeight w:val="536"/>
        </w:trPr>
        <w:tc>
          <w:tcPr>
            <w:tcW w:w="7480" w:type="dxa"/>
            <w:vAlign w:val="bottom"/>
          </w:tcPr>
          <w:p>
            <w:pPr>
              <w:spacing w:after="0"/>
              <w:rPr>
                <w:sz w:val="20"/>
                <w:szCs w:val="20"/>
                <w:color w:val="auto"/>
              </w:rPr>
            </w:pPr>
            <w:r>
              <w:rPr>
                <w:rFonts w:ascii="Arial" w:cs="Arial" w:eastAsia="Arial" w:hAnsi="Arial"/>
                <w:sz w:val="22"/>
                <w:szCs w:val="22"/>
                <w:color w:val="auto"/>
              </w:rPr>
              <w:t>Portfolio Activity:</w:t>
            </w:r>
          </w:p>
        </w:tc>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326.3</w:t>
            </w:r>
          </w:p>
        </w:tc>
        <w:tc>
          <w:tcPr>
            <w:tcW w:w="0" w:type="dxa"/>
            <w:vAlign w:val="bottom"/>
          </w:tcPr>
          <w:p>
            <w:pPr>
              <w:spacing w:after="0"/>
              <w:rPr>
                <w:sz w:val="1"/>
                <w:szCs w:val="1"/>
                <w:color w:val="auto"/>
              </w:rPr>
            </w:pPr>
          </w:p>
        </w:tc>
      </w:tr>
      <w:tr>
        <w:trPr>
          <w:trHeight w:val="274"/>
        </w:trPr>
        <w:tc>
          <w:tcPr>
            <w:tcW w:w="748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799.4</w:t>
            </w:r>
          </w:p>
        </w:tc>
        <w:tc>
          <w:tcPr>
            <w:tcW w:w="0" w:type="dxa"/>
            <w:vAlign w:val="bottom"/>
          </w:tcPr>
          <w:p>
            <w:pPr>
              <w:spacing w:after="0"/>
              <w:rPr>
                <w:sz w:val="1"/>
                <w:szCs w:val="1"/>
                <w:color w:val="auto"/>
              </w:rPr>
            </w:pPr>
          </w:p>
        </w:tc>
      </w:tr>
      <w:tr>
        <w:trPr>
          <w:trHeight w:val="536"/>
        </w:trPr>
        <w:tc>
          <w:tcPr>
            <w:tcW w:w="7480" w:type="dxa"/>
            <w:vAlign w:val="bottom"/>
          </w:tcPr>
          <w:p>
            <w:pPr>
              <w:spacing w:after="0"/>
              <w:rPr>
                <w:sz w:val="20"/>
                <w:szCs w:val="20"/>
                <w:color w:val="auto"/>
              </w:rPr>
            </w:pPr>
            <w:r>
              <w:rPr>
                <w:rFonts w:ascii="Arial" w:cs="Arial" w:eastAsia="Arial" w:hAnsi="Arial"/>
                <w:sz w:val="22"/>
                <w:szCs w:val="22"/>
                <w:color w:val="auto"/>
              </w:rPr>
              <w:t>PSLF Portfolio data:</w:t>
            </w:r>
          </w:p>
        </w:tc>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PSLF investment portfolio</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608.4</w:t>
            </w:r>
          </w:p>
        </w:tc>
        <w:tc>
          <w:tcPr>
            <w:tcW w:w="0" w:type="dxa"/>
            <w:vAlign w:val="bottom"/>
          </w:tcPr>
          <w:p>
            <w:pPr>
              <w:spacing w:after="0"/>
              <w:rPr>
                <w:sz w:val="1"/>
                <w:szCs w:val="1"/>
                <w:color w:val="auto"/>
              </w:rPr>
            </w:pP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Purchase of Investments</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200.5</w:t>
            </w:r>
          </w:p>
        </w:tc>
        <w:tc>
          <w:tcPr>
            <w:tcW w:w="0" w:type="dxa"/>
            <w:vAlign w:val="bottom"/>
          </w:tcPr>
          <w:p>
            <w:pPr>
              <w:spacing w:after="0"/>
              <w:rPr>
                <w:sz w:val="1"/>
                <w:szCs w:val="1"/>
                <w:color w:val="auto"/>
              </w:rPr>
            </w:pPr>
          </w:p>
        </w:tc>
      </w:tr>
      <w:tr>
        <w:trPr>
          <w:trHeight w:val="274"/>
        </w:trPr>
        <w:tc>
          <w:tcPr>
            <w:tcW w:w="748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268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35.1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206" w:lineRule="exact"/>
        <w:rPr>
          <w:sz w:val="20"/>
          <w:szCs w:val="20"/>
          <w:color w:val="auto"/>
        </w:rPr>
      </w:pPr>
    </w:p>
    <w:p>
      <w:pPr>
        <w:ind w:right="20" w:firstLine="8"/>
        <w:spacing w:after="0" w:line="239" w:lineRule="auto"/>
        <w:tabs>
          <w:tab w:leader="none" w:pos="417"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Includes investments in PennantPark Senior Loan Fund, LLC, or PSLF, an unconsolidated joint venture, totaling $141.1 million, at fair value.</w:t>
      </w:r>
    </w:p>
    <w:p>
      <w:pPr>
        <w:jc w:val="both"/>
        <w:ind w:firstLine="8"/>
        <w:spacing w:after="0" w:line="266" w:lineRule="auto"/>
        <w:tabs>
          <w:tab w:leader="none" w:pos="368" w:val="left"/>
        </w:tabs>
        <w:numPr>
          <w:ilvl w:val="0"/>
          <w:numId w:val="3"/>
        </w:numPr>
        <w:rPr>
          <w:rFonts w:ascii="Arial" w:cs="Arial" w:eastAsia="Arial" w:hAnsi="Arial"/>
          <w:sz w:val="19"/>
          <w:szCs w:val="19"/>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excluding the impact of the $10.9 million unrealized loss on our multi-currency, senior secured revolving credit facility with Truist Bank, as amended, or the Credit Facility, and, together with our credit facility with BNP Paribas, as amended, the Credit Facilities. The presentation of this additional information is not meant to be considered in isolation or as a substitute for financial results prepared in accordance with GAAP.</w:t>
      </w:r>
    </w:p>
    <w:p>
      <w:pPr>
        <w:spacing w:after="0" w:line="4" w:lineRule="exact"/>
        <w:rPr>
          <w:rFonts w:ascii="Arial" w:cs="Arial" w:eastAsia="Arial" w:hAnsi="Arial"/>
          <w:sz w:val="19"/>
          <w:szCs w:val="19"/>
          <w:color w:val="auto"/>
        </w:rPr>
      </w:pPr>
    </w:p>
    <w:p>
      <w:pPr>
        <w:jc w:val="both"/>
        <w:ind w:firstLine="8"/>
        <w:spacing w:after="0" w:line="230" w:lineRule="auto"/>
        <w:tabs>
          <w:tab w:leader="none" w:pos="36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net of $29.5 million of cash and cash equivalents. The presentation of this additional information is not meant to be considered in isolation or as a substitute for financial results prepared in accordance with GAAP.</w:t>
      </w:r>
    </w:p>
    <w:p>
      <w:pPr>
        <w:spacing w:after="0" w:line="2" w:lineRule="exact"/>
        <w:rPr>
          <w:rFonts w:ascii="Arial" w:cs="Arial" w:eastAsia="Arial" w:hAnsi="Arial"/>
          <w:sz w:val="22"/>
          <w:szCs w:val="22"/>
          <w:color w:val="auto"/>
        </w:rPr>
      </w:pPr>
    </w:p>
    <w:p>
      <w:pPr>
        <w:jc w:val="both"/>
        <w:ind w:firstLine="8"/>
        <w:spacing w:after="0" w:line="280" w:lineRule="auto"/>
        <w:tabs>
          <w:tab w:leader="none" w:pos="368" w:val="left"/>
        </w:tabs>
        <w:numPr>
          <w:ilvl w:val="0"/>
          <w:numId w:val="3"/>
        </w:numPr>
        <w:rPr>
          <w:rFonts w:ascii="Arial" w:cs="Arial" w:eastAsia="Arial" w:hAnsi="Arial"/>
          <w:sz w:val="19"/>
          <w:szCs w:val="19"/>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including the impact of the $10.9 million unrealized loss on the Credit Facility, and net of $29.5 million of cash and cash equivalents. The presentation of this additional information is not meant to be considered in isolation or as a substitute for financial results prepared in accordance with GAAP.</w:t>
      </w:r>
    </w:p>
    <w:p>
      <w:pPr>
        <w:sectPr>
          <w:pgSz w:w="11900" w:h="16838" w:orient="portrait"/>
          <w:cols w:equalWidth="0" w:num="1">
            <w:col w:w="11240"/>
          </w:cols>
          <w:pgMar w:left="320" w:top="112"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CONFERENCE CALL AT 12:00 P.M. ET ON AUGUST 4, 2022</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Investment Corporation (“we,” “our,” “us” or the “Company”) will also host a conference call at 12:00 p.m. (Eastern Time) on Thursday, August 4, 2022 to discuss its financial results. All interested parties are welcome to participate. You can access the conference call by dialing toll-free (800) 289-0720 approximately 5-10 minutes prior to the call. International callers should dial (646) 828-8073. All callers should reference conference ID #9289526 or PennantPark Investment Corporation. An archived replay of the call will be available through August 18, 2022, by calling toll-free (888) 203-1112. International callers please dial (719) 457-0820. For all phone replays, please reference conference ID #9289526.</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INCREASE OF QUARTERLY DISTRIBUTION TO $0.15 PER SHARE</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declares an increase of its fourth fiscal quarter 2022 distribution to $0.15 per share, payable on October 3, 2022 to stockholders of record as of September 19,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“We are pleased with the continued solid credit performance of the Company and its positioning to grow Net Investment Income over time” said Art Penn, Chairman and CEO. “We believe that the combination of rising base rates, higher spreads on new loan originations, a growing PSLF joint venture and the potential to rotate equity proceeds into cash paying loans present the company with multiple avenues of income growth.”</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of June 30, 2022, our portfolio totaled $1,314.8 million, which consisted of $721.8 million of first lien secured debt, $129.7 million of second lien secured debt, $121.2 million of subordinated debt (including $88.0 million in PSLF) and $342.2 million of preferred and common equity (including $53.1 million in PSLF). Our debt portfolio consisted of 96% variable-rate investments and 4% fixed-rate investments. As of June 30, 2022, we had one portfolio company on non-accrual, representing 0.9% and 0.5% of our overall portfolio on a cost and fair value basis, respectively. Overall, the portfolio had net unrealized depreciation of $64.9 million as of June 30, 2022. Our overall portfolio consisted of 118 companies with an average investment size of $11.1 million, had a weighted average yield on interest bearing debt investments of 9.3% and was invested 55% in first lien secured debt, 10% in second lien secured debt, 9% in subordinated debt (including 7% in PSLF) and 26% in preferred and common equity (including 4% in PSLF). As of June 30, 2022, all of the investments held by PSLF were first lien secured debt.</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September 30, 2021, our portfolio totaled $1,255.3 million and consisted of $552.5 million of first lien secured debt, $176.9 million of second lien secured debt, $121.2 million of subordinated debt (including $64.2 million in PSLF) and $404.7 million of preferred and common equity (including $41.2 million in PSLF). Our debt portfolio consisted of 92% variable-rate investments and 8% fixed-rate investments. As of September 30, 2021, we had no portfolio companies on non-accrual. Overall, the portfolio had net unrealized appreciation of $34.2 million as of September 30, 2021. Our overall portfolio consisted of 97 companies with an average investment size of $12.9 million, had a weighted average yield on interest bearing debt investments of 9.0% and was invested 44% in first lien secured debt, 14% in second lien secured debt, 10% in subordinated debt (including 5% in PSLF) and 32% in preferred and common equity (including 3% in PSLF). As of September 30, 2021, all of the investments held by PSLF were first lien secured debt.</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2022, we invested $326.3 million in 11 new and 36 existing portfolio companies with a weighted average yield on debt investments of 8.7%. Sales and repayments of investments for the three months ended June 30, 2022 totaled $198.3 million. For the nine months ended June 30, 2022, we invested $799.4 million in 35 new and 95 existing portfolio companies with a weighted average yield on debt investments of 8.2%. Sales and repayments of investments for the nine months ended June 30, 2022 totaled $736.0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2021, we invested $133.4 million in seven new and nine existing portfolio companies with a weighted average yield on debt investments of 7.9%. Sales and repayments of investments for the three months ended June 30, 2021 totaled $191.0 million. For the nine months ended June 30, 2021, we invested $276.4 million in 14 new and 32 existing portfolio companies with a weighted average yield on debt investments of 8.4%. Sales and repayments of investments for the nine months ended June 30, 2021 totaled $358.6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Loan Fund, LLC</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June 30, 2022, PSLF’s portfolio totaled $608.4 million, consisted of 72 companies with an average investment size of $8.5 million and had a weighted average yield on debt investments of 7.9%.</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September 30, 2021, PSLF’s portfolio totaled $405.2 million, consisted of 47 companies with an average investment size of $8.6 million and had a weighted average yield on debt investments of 7.2%.</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June 30, 2022, PSLF invested $200.5 million (of which $176.0 million was purchased from the Company) in 14 new and 17 existing portfolio companies with a weighted average yield on debt investments of 7.3%. PSLF’s sales and repayments of investments for the same period totaled $35.1 million. For the nine months ended June 30, 2022, PSLF invested $278.6 million (of which $235.6 million was purchased from the Company) in 29 new and 19 existing portfolio companies with a weighted average yield on debt investments of 7.3%. PSLF’s sales and repayments of investments for the same period totaled $73.0 million.</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35" w:lineRule="auto"/>
        <w:rPr>
          <w:sz w:val="20"/>
          <w:szCs w:val="20"/>
          <w:color w:val="auto"/>
        </w:rPr>
      </w:pPr>
      <w:r>
        <w:rPr>
          <w:rFonts w:ascii="Arial" w:cs="Arial" w:eastAsia="Arial" w:hAnsi="Arial"/>
          <w:sz w:val="22"/>
          <w:szCs w:val="22"/>
          <w:color w:val="auto"/>
        </w:rPr>
        <w:t>For the three months ended June 30, 2021, PSLF invested $54.1 million (of which $54.1 million was purchased from the Company) in six new and two existing portfolio companies with a weighted average yield on debt investments of 7.1%. PSLF’s sales and repayments of investments for the same period totaled $50.9 million. For the nine months ended June 30, 2021, PSLF invested $117.8 million (of which $91.9 million was purchased from the Company) in 12 new and eight existing portfolio companies with a weighted average yield on debt investments of 7.3%. PSLF’s sales and repayments of investments for the same period totaled $91.6 million.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2022 and 2021.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Investment income for the three and nine months ended June 30, 2022 was $23.3 million and $76.0 million, respectively, which was attributable to $17.6 million and $52.2 million from first lien secured debt, $2.9 million and $13.7 million from second lien secured debt, $0.3 million and $2.6 million from subordinated debt and $2.5 million and $7.4 million from preferred and common equity, respectively. This compares to investment income for the three and nine months ended June 30, 2021 of $20.5 million and $58.5 million, respectively, which was attributable to $11.8 million and $33.9 million from first lien secured debt, $5.2 million and $15.8 million from second lien secured debt, $1.8 million and $5.2 million from subordinated debt and $1.7 million and $3.6 million from preferred and common equity, respectively. The increase in investment income compared to the same periods in the prior year was primarily due to the increase in the size of our debt portfolio.</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Expenses for the three and nine months ended June 30, 2022 totaled $12.8 million and $41.3 million, respectively. Base management fee for the same periods totaled $4.9 million and $15.0 million, performance base incentive fee for the same periods totaled zero and $2.7 million, debt related interest and expenses totaled $6.7 million and $20.1 million, general and administrative expenses totaled $1.0 million and $3.0 million and provision for taxes totaled $0.2 million and $0.6 million, respectively. This compares to expenses for the three and nine months ended June 30, 2021 that totaled $12.3 million and $33.2 million, respectively. Base management fee for the same periods totaled $4.4 million and $12.8 million, debt related interest and expenses totaled $6.9 million (including a one-time $1.1 million payment, which is related to the early repayment of SBA Debt) and $16.8 million, general and administrative expenses totaled $0.9 million and $3.2 million and provision for taxes totaled $0.2 million and $0.5 million, respectively. The increase in expenses for the three months ended June 30, 2022 compared to the same period in the prior year was primarily due to increased financing costs.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Net investment income totaled $10.6 million and $34.8 million, or $0.16 and $0.52 per share, for the three and nine months ended June 30, 2022, respectively. Net investment income totaled $8.1 million and $25.2 million, or $0.12 and $0.38 per share, for the three and nine months ended June 30, 2021, respectively. The increase in net investment income compared to the same period in the prior year was primarily due to increased investment income.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nine months ended June 30, 2022 totaled $198.3 million and $736.0 million, respectively, and net realized gains (losses) totaled $(34.3) million and $82.4 million, respectively. Sales and repayments of investments for the three and nine months ended June 30, 2021 totaled $191.0 million and $358.6 million, respectively, and net realized gains (losses) totaled $41.7 million and $24.4 million, respectively. The change in realized gains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the Credit Facilities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three and nine months ended June 30, 2022, we reported net change in unrealized appreciation (depreciation) on investments of $5.6 million and $(99.1) million, respectively. For the three and nine months ended June 30, 2021, we reported net change in unrealized appreciation (depreciation) on investments of $(16.3) million and $110.4 million, respectively. As of June 30, 2022, and September 30, 2021, our net unrealized appreciation (depreciation) on investments totaled $(64.9) million and $34.2 million, respectively. The net change in unrealized depreciation on our investments compared to the same period in the prior year was primarily due to the reversal of the unrealized appreciation of PT Network Intermediate Holdings, LLC associated with the realization of the investment.</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three and nine months ended June 30, 2022, the Truist Credit Facility had a net change in unrealized depreciation of $8.9 million and $9.2 million, respectively. For the three and nine months ended June 30, 2021, the Truist Credit Facility had a net change in unrealized appreciation of $1.6 million and $18.5 million, respectively. As of June 30, 2022, and September 30, 2021, the net unrealized depreciation on the Truist Credit Facility totaled $10.9 million and $1.7 million, respectively. The net change in unrealized depreciation compared to the same periods in the prior year was primarily due to changes in the capital markets.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ectPr>
          <w:pgSz w:w="11900" w:h="16838" w:orient="portrait"/>
          <w:cols w:equalWidth="0" w:num="1">
            <w:col w:w="11240"/>
          </w:cols>
          <w:pgMar w:left="320" w:top="118" w:right="339" w:bottom="248"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19"/>
          <w:szCs w:val="19"/>
          <w:color w:val="auto"/>
        </w:rPr>
        <w:t>Net change in net assets resulting from operations totaled $(18.5) million and $10.2 million, or $(0.28) and $0.15 per share, for the three and nine months ended June 30, 2022, respectively. Net change in net assets resulting from operations totaled $31.9 million and $141.5 million, or $0.48 and $2.11 per share, for the three and nine months ended June 30, 2021, respectively. The decrease in the net change in net assets from operations for the three and nine months ended June 30, 2022 compared to the same periods in the prior year was primarily due to a decrease in unrealized appreciation.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annualized weighted average cost of debt for the nine months ended June 30, 2022 and 2021, inclusive of the fee on the undrawn commitment and amendment costs on the Truist Credit Facility and amortized upfront fees on SBA debentures, was 4.0% and 3.5%, respectively.</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June 30, 2022, and September 30, 2021, we had $42.1 million and $118.5 million of unused borrowing capacity under the Truist Credit Facility, respectively, subject to leverage and borrowing base restrictions.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As of June 30, 2022, and September 30, 2021, we had $422.9 million and $316.5 million, respectively, in outstanding borrowings under the Truist Credit Facility. The Truist Credit Facility had a weighted average interest rate of 3.9% and 2.4%, respectively, exclusive of the fee on undrawn commitments, as of June 30, 2022 and September 30, 2021.</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June 30, 2022, and September 30, 2021, we had cash and cash equivalents of $29.5 million and $20.4 million, respectively, available for investing and general corporate purposes. We believe our liquidity and capital resources are sufficient to allows us to effectively operate our business.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$97.5 million for the nine months ended June 30, 2022, and our financing activities provided cash of $106.9 million for the same period. Our operating activities used cash primarily due to our investment activities and our financing activities provided cash primarily due to borrowings under the Truist Credit Facility and proceeds from our 2026-2 Notes.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provided cash of $95.7 million for the nine months ended June 30, 2021 and our financing activities used cash of $107.4 million for the same period. Our operating activities provided cash primarily from our investment activities and our financing activities used cash primarily to pay down the Truist Credit Facility and our SBA Debentures.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stock. During the three and nine months ended June 30, 2022, we repurchased 717,709 and 1,631,163, respectively, shares of common stock in open market transactions for an aggregate cost (including transaction costs) of $4.9 million and $12.0 million, respectively. During the three and nine months ended June 30, 2021, we did not make any repurchases of shares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July 29, 2022, the Company entered into the Fifth Amendment to the Truist Credit Facility. The Fifth Amendment amends certain provisions of the Credit Agreement to, among other things, (1) increase the facility size from $465.0 million to $500.0 million, which may be further increased up to $750.0 million, subject to the terms of the Amended Credit Agreement, (2) extend the term of the revolving period from September 4, 2023 to July 29, 2026 and the stated maturity date from September 4, 2024 to July 29, 2027 for $475.0 million out of the total $500.0 million commitments (with the revolving period with respect to the remaining $25.0 million of commitments continuing to expire on September 4, 2023 and the related obligations maturing on September 4, 2024), (3) adjust the applicable margin with respect to the loans extended by the lenders of the extended $475.0 million commitments and (4) replace the LIBOR benchmark provisions with SOFR benchmark provisions, including applicable credit adjustment spread. In connection with the facility increase contemplated by the Fifth Amendment, Regions Bank joined the Amended Credit Agreement as an additional multicurrency lender.</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foregoing descriptions of the Fifth Amendment does not purport to be complete and is qualified in their entirety by reference to the full text of the Fifth Amendment, which is filed as an exhibit in the Company’s Quarterly Report on Form 10-Q for the quarter ended June 30, 2022.</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Subsequent to quarter end we and Pantheon Ventures (UK) LLP, have agreed to increase our capital commitments to PSLF from $234.8 million to $310.8 million. PNNT's portion of this capital commitment increase is $45.9 million.</w:t>
      </w:r>
    </w:p>
    <w:p>
      <w:pPr>
        <w:sectPr>
          <w:pgSz w:w="11900" w:h="16838" w:orient="portrait"/>
          <w:cols w:equalWidth="0" w:num="1">
            <w:col w:w="11240"/>
          </w:cols>
          <w:pgMar w:left="320" w:top="118" w:right="339" w:bottom="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DISTRIBUTIONS</w:t>
      </w:r>
    </w:p>
    <w:p>
      <w:pPr>
        <w:spacing w:after="0" w:line="213"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During the three and nine months ended June 30, 2022, we declared distributions of $0.145 and $0.405 per share, for total distributions of $9.4 million and $26.8 million, respectively. For the same periods in the prior year, we declared distributions of $0.12 and $0.36 per share, for total distributions of $8.0 million and $24.1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Quarterly Report on Form 10-Q filed with the SEC, and stockholders may find such report on its website at www.pennantpark.com.</w:t>
      </w:r>
    </w:p>
    <w:p>
      <w:pPr>
        <w:spacing w:after="0" w:line="169" w:lineRule="exact"/>
        <w:rPr>
          <w:sz w:val="20"/>
          <w:szCs w:val="20"/>
          <w:color w:val="auto"/>
        </w:rPr>
      </w:pPr>
    </w:p>
    <w:p>
      <w:pPr>
        <w:jc w:val="center"/>
        <w:ind w:left="340" w:right="2140"/>
        <w:spacing w:after="0" w:line="243" w:lineRule="auto"/>
        <w:rPr>
          <w:sz w:val="20"/>
          <w:szCs w:val="20"/>
          <w:color w:val="auto"/>
        </w:rPr>
      </w:pPr>
      <w:r>
        <w:rPr>
          <w:rFonts w:ascii="Arial" w:cs="Arial" w:eastAsia="Arial" w:hAnsi="Arial"/>
          <w:sz w:val="22"/>
          <w:szCs w:val="22"/>
          <w:b w:val="1"/>
          <w:bCs w:val="1"/>
          <w:color w:val="auto"/>
        </w:rPr>
        <w:t>PENNANTPARK INVESTMENT CORPORATION AND SUBSIDIARIES CONSOLIDATED STATEMENTS OF ASSETS AND LIABILITIES (In thousands, except share data)</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22"/>
                <w:szCs w:val="22"/>
                <w:b w:val="1"/>
                <w:bCs w:val="1"/>
                <w:color w:val="auto"/>
              </w:rPr>
              <w:t>June 30,</w:t>
            </w:r>
          </w:p>
        </w:tc>
        <w:tc>
          <w:tcPr>
            <w:tcW w:w="1560" w:type="dxa"/>
            <w:vAlign w:val="bottom"/>
            <w:gridSpan w:val="3"/>
          </w:tcPr>
          <w:p>
            <w:pPr>
              <w:jc w:val="right"/>
              <w:ind w:right="200"/>
              <w:spacing w:after="0"/>
              <w:rPr>
                <w:sz w:val="20"/>
                <w:szCs w:val="20"/>
                <w:color w:val="auto"/>
              </w:rPr>
            </w:pPr>
            <w:r>
              <w:rPr>
                <w:rFonts w:ascii="Arial" w:cs="Arial" w:eastAsia="Arial" w:hAnsi="Arial"/>
                <w:sz w:val="22"/>
                <w:szCs w:val="22"/>
                <w:b w:val="1"/>
                <w:bCs w:val="1"/>
                <w:color w:val="auto"/>
                <w:w w:val="89"/>
              </w:rPr>
              <w:t>September 30,</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12"/>
              <w:spacing w:after="0"/>
              <w:rPr>
                <w:sz w:val="20"/>
                <w:szCs w:val="20"/>
                <w:color w:val="auto"/>
              </w:rPr>
            </w:pPr>
            <w:r>
              <w:rPr>
                <w:rFonts w:ascii="Arial" w:cs="Arial" w:eastAsia="Arial" w:hAnsi="Arial"/>
                <w:sz w:val="22"/>
                <w:szCs w:val="22"/>
                <w:b w:val="1"/>
                <w:bCs w:val="1"/>
                <w:color w:val="auto"/>
              </w:rPr>
              <w:t>2022</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12"/>
              <w:spacing w:after="0"/>
              <w:rPr>
                <w:sz w:val="20"/>
                <w:szCs w:val="20"/>
                <w:color w:val="auto"/>
              </w:rPr>
            </w:pPr>
            <w:r>
              <w:rPr>
                <w:rFonts w:ascii="Arial" w:cs="Arial" w:eastAsia="Arial" w:hAnsi="Arial"/>
                <w:sz w:val="22"/>
                <w:szCs w:val="22"/>
                <w:b w:val="1"/>
                <w:bCs w:val="1"/>
                <w:color w:val="auto"/>
              </w:rPr>
              <w:t>2021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22"/>
                <w:szCs w:val="22"/>
                <w:b w:val="1"/>
                <w:bCs w:val="1"/>
                <w:color w:val="auto"/>
                <w:w w:val="90"/>
              </w:rPr>
              <w:t>(unaudited)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96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79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w w:val="93"/>
              </w:rPr>
              <w:t>Non-controlled, non-affiliated investments (cost—$921,967 and $729,811, respectively)</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961,032</w:t>
            </w:r>
          </w:p>
        </w:tc>
        <w:tc>
          <w:tcPr>
            <w:tcW w:w="2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820,500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Non-controlled, affiliated investments (cost—$75,825 and $78,723, respectively)</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49,097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50,161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960" w:type="dxa"/>
            <w:vAlign w:val="bottom"/>
          </w:tcPr>
          <w:p>
            <w:pPr>
              <w:spacing w:after="0"/>
              <w:rPr>
                <w:sz w:val="20"/>
                <w:szCs w:val="20"/>
                <w:color w:val="auto"/>
              </w:rPr>
            </w:pPr>
            <w:r>
              <w:rPr>
                <w:rFonts w:ascii="Arial" w:cs="Arial" w:eastAsia="Arial" w:hAnsi="Arial"/>
                <w:sz w:val="22"/>
                <w:szCs w:val="22"/>
                <w:color w:val="auto"/>
              </w:rPr>
              <w:t>Controlled, affiliated investments (cost—$381,904 and $412,587, respectively)</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304,699</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384,629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22"/>
                <w:szCs w:val="22"/>
                <w:color w:val="auto"/>
              </w:rPr>
              <w:t>Total investments (cost—$1,379,696 and $1,221,121, respectively)</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79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1,314,828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1,255,290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Cash and cash equivalents (cost—$29,630 and $20,383, respectively)</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29,547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20,357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Interest receivable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3,312</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4,958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57,407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12,793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Distribution receivable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2,420</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1,694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96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23,571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960" w:type="dxa"/>
            <w:vAlign w:val="bottom"/>
          </w:tcPr>
          <w:p>
            <w:pPr>
              <w:spacing w:after="0"/>
              <w:rPr>
                <w:sz w:val="20"/>
                <w:szCs w:val="20"/>
                <w:color w:val="auto"/>
              </w:rPr>
            </w:pPr>
            <w:r>
              <w:rPr>
                <w:rFonts w:ascii="Arial" w:cs="Arial" w:eastAsia="Arial" w:hAnsi="Arial"/>
                <w:sz w:val="22"/>
                <w:szCs w:val="22"/>
                <w:b w:val="1"/>
                <w:bCs w:val="1"/>
                <w:color w:val="auto"/>
              </w:rPr>
              <w:t>Total assets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1,4231,085</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1,295,092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960" w:type="dxa"/>
            <w:vAlign w:val="bottom"/>
            <w:vMerge w:val="restart"/>
          </w:tcPr>
          <w:p>
            <w:pPr>
              <w:spacing w:after="0"/>
              <w:rPr>
                <w:sz w:val="20"/>
                <w:szCs w:val="20"/>
                <w:color w:val="auto"/>
              </w:rPr>
            </w:pPr>
            <w:r>
              <w:rPr>
                <w:rFonts w:ascii="Arial" w:cs="Arial" w:eastAsia="Arial" w:hAnsi="Arial"/>
                <w:sz w:val="22"/>
                <w:szCs w:val="22"/>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79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Distributions payable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9,504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8,045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20,435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8,407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w w:val="93"/>
              </w:rPr>
              <w:t>Truist Credit Facility payable, at fair value (cost—$422,920 and $316,545, respectively)</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412,005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314,813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2024 Notes payable, net (par— zero and $86,250, respectively)</w:t>
            </w:r>
          </w:p>
        </w:tc>
        <w:tc>
          <w:tcPr>
            <w:tcW w:w="16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84,503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2026 Notes payable, net (par— $150,000)</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146,542</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145,865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2026 Notes-2 payable, net (par— $165,000 and zero, respectively)</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161,159</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SBA debentures payable, net (par—$27,500 and $63,500, respectively)</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27,046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62,159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Base-management fee payable, net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4,887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4,580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Performance based-incentive fee payable</w:t>
            </w:r>
          </w:p>
        </w:tc>
        <w:tc>
          <w:tcPr>
            <w:tcW w:w="16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3,387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4,943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Deferred tax liability</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8,127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8"/>
        </w:trPr>
        <w:tc>
          <w:tcPr>
            <w:tcW w:w="796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6,483</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960" w:type="dxa"/>
            <w:vAlign w:val="bottom"/>
          </w:tcPr>
          <w:p>
            <w:pPr>
              <w:spacing w:after="0"/>
              <w:rPr>
                <w:sz w:val="20"/>
                <w:szCs w:val="20"/>
                <w:color w:val="auto"/>
              </w:rPr>
            </w:pPr>
            <w:r>
              <w:rPr>
                <w:rFonts w:ascii="Arial" w:cs="Arial" w:eastAsia="Arial" w:hAnsi="Arial"/>
                <w:sz w:val="22"/>
                <w:szCs w:val="22"/>
                <w:b w:val="1"/>
                <w:bCs w:val="1"/>
                <w:color w:val="auto"/>
              </w:rPr>
              <w:t>Total liabilities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799,575</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634,948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22"/>
                <w:szCs w:val="22"/>
                <w:color w:val="auto"/>
              </w:rPr>
              <w:t>Commitments and contingencies</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9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6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60" w:type="dxa"/>
            <w:vAlign w:val="bottom"/>
          </w:tcPr>
          <w:p>
            <w:pPr>
              <w:spacing w:after="0" w:line="243" w:lineRule="exact"/>
              <w:rPr>
                <w:sz w:val="20"/>
                <w:szCs w:val="20"/>
                <w:color w:val="auto"/>
              </w:rPr>
            </w:pPr>
            <w:r>
              <w:rPr>
                <w:rFonts w:ascii="Arial" w:cs="Arial" w:eastAsia="Arial" w:hAnsi="Arial"/>
                <w:sz w:val="22"/>
                <w:szCs w:val="22"/>
                <w:color w:val="auto"/>
                <w:w w:val="87"/>
              </w:rPr>
              <w:t>Common stock, 65,413,942 and 67,045,105, respectively, shares issued and outstanding Par</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value $0.001 per share and 100,000,000 shares authorized</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65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795,865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786,993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960" w:type="dxa"/>
            <w:vAlign w:val="bottom"/>
          </w:tcPr>
          <w:p>
            <w:pPr>
              <w:spacing w:after="0"/>
              <w:rPr>
                <w:sz w:val="20"/>
                <w:szCs w:val="20"/>
                <w:color w:val="auto"/>
              </w:rPr>
            </w:pPr>
            <w:r>
              <w:rPr>
                <w:rFonts w:ascii="Arial" w:cs="Arial" w:eastAsia="Arial" w:hAnsi="Arial"/>
                <w:sz w:val="22"/>
                <w:szCs w:val="22"/>
                <w:color w:val="auto"/>
              </w:rPr>
              <w:t>Accumulated deficit</w:t>
            </w:r>
          </w:p>
        </w:tc>
        <w:tc>
          <w:tcPr>
            <w:tcW w:w="160" w:type="dxa"/>
            <w:vAlign w:val="bottom"/>
          </w:tcPr>
          <w:p>
            <w:pPr>
              <w:spacing w:after="0"/>
              <w:rPr>
                <w:sz w:val="24"/>
                <w:szCs w:val="2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22"/>
                <w:szCs w:val="22"/>
                <w:color w:val="auto"/>
              </w:rPr>
              <w:t>(164,420 )</w:t>
            </w:r>
          </w:p>
        </w:tc>
        <w:tc>
          <w:tcPr>
            <w:tcW w:w="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(126,916 )</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960" w:type="dxa"/>
            <w:vAlign w:val="bottom"/>
          </w:tcPr>
          <w:p>
            <w:pPr>
              <w:spacing w:after="0"/>
              <w:rPr>
                <w:sz w:val="20"/>
                <w:szCs w:val="20"/>
                <w:color w:val="auto"/>
              </w:rPr>
            </w:pPr>
            <w:r>
              <w:rPr>
                <w:rFonts w:ascii="Arial" w:cs="Arial" w:eastAsia="Arial" w:hAnsi="Arial"/>
                <w:sz w:val="22"/>
                <w:szCs w:val="22"/>
                <w:b w:val="1"/>
                <w:bCs w:val="1"/>
                <w:color w:val="auto"/>
              </w:rPr>
              <w:t>Total net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631,510</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660,144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960" w:type="dxa"/>
            <w:vAlign w:val="bottom"/>
          </w:tcPr>
          <w:p>
            <w:pPr>
              <w:spacing w:after="0"/>
              <w:rPr>
                <w:sz w:val="20"/>
                <w:szCs w:val="20"/>
                <w:color w:val="auto"/>
              </w:rPr>
            </w:pPr>
            <w:r>
              <w:rPr>
                <w:rFonts w:ascii="Arial" w:cs="Arial" w:eastAsia="Arial" w:hAnsi="Arial"/>
                <w:sz w:val="22"/>
                <w:szCs w:val="22"/>
                <w:b w:val="1"/>
                <w:bCs w:val="1"/>
                <w:color w:val="auto"/>
              </w:rPr>
              <w:t>Total liabilities and net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1,427,085</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1,295,092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96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9.65</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w:t>
      </w:r>
    </w:p>
    <w:p>
      <w:pPr>
        <w:sectPr>
          <w:pgSz w:w="11900" w:h="16838" w:orient="portrait"/>
          <w:cols w:equalWidth="0" w:num="1">
            <w:col w:w="11220"/>
          </w:cols>
          <w:pgMar w:left="320" w:top="111" w:right="35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5"/>
          </w:tcPr>
          <w:p>
            <w:pPr>
              <w:jc w:val="right"/>
              <w:ind w:right="400"/>
              <w:spacing w:after="0"/>
              <w:rPr>
                <w:sz w:val="20"/>
                <w:szCs w:val="20"/>
                <w:color w:val="auto"/>
              </w:rPr>
            </w:pPr>
            <w:r>
              <w:rPr>
                <w:rFonts w:ascii="Arial" w:cs="Arial" w:eastAsia="Arial" w:hAnsi="Arial"/>
                <w:sz w:val="22"/>
                <w:szCs w:val="22"/>
                <w:b w:val="1"/>
                <w:bCs w:val="1"/>
                <w:color w:val="auto"/>
                <w:w w:val="89"/>
              </w:rPr>
              <w:t>Three Months Ended June 30,</w:t>
            </w:r>
          </w:p>
        </w:tc>
        <w:tc>
          <w:tcPr>
            <w:tcW w:w="180" w:type="dxa"/>
            <w:vAlign w:val="bottom"/>
          </w:tcPr>
          <w:p>
            <w:pPr>
              <w:spacing w:after="0"/>
              <w:rPr>
                <w:sz w:val="24"/>
                <w:szCs w:val="24"/>
                <w:color w:val="auto"/>
              </w:rPr>
            </w:pPr>
          </w:p>
        </w:tc>
        <w:tc>
          <w:tcPr>
            <w:tcW w:w="3060" w:type="dxa"/>
            <w:vAlign w:val="bottom"/>
            <w:gridSpan w:val="5"/>
          </w:tcPr>
          <w:p>
            <w:pPr>
              <w:jc w:val="right"/>
              <w:ind w:right="340"/>
              <w:spacing w:after="0"/>
              <w:rPr>
                <w:sz w:val="20"/>
                <w:szCs w:val="20"/>
                <w:color w:val="auto"/>
              </w:rPr>
            </w:pPr>
            <w:r>
              <w:rPr>
                <w:rFonts w:ascii="Arial" w:cs="Arial" w:eastAsia="Arial" w:hAnsi="Arial"/>
                <w:sz w:val="22"/>
                <w:szCs w:val="22"/>
                <w:b w:val="1"/>
                <w:bCs w:val="1"/>
                <w:color w:val="auto"/>
                <w:w w:val="90"/>
              </w:rPr>
              <w:t>Nine Months Ended June 30,</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2022</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2021</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2022</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22"/>
                <w:szCs w:val="22"/>
                <w:b w:val="1"/>
                <w:bCs w:val="1"/>
                <w:color w:val="auto"/>
              </w:rPr>
              <w:t>Investment income:</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5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w w:val="98"/>
              </w:rPr>
              <w:t>From non-controlled, non-affiliated investments:</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Interest</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15,890</w:t>
            </w:r>
          </w:p>
        </w:tc>
        <w:tc>
          <w:tcPr>
            <w:tcW w:w="2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11,972</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45,973</w:t>
            </w:r>
          </w:p>
        </w:tc>
        <w:tc>
          <w:tcPr>
            <w:tcW w:w="2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35,074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Payment-in-kind</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665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2,095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4,071</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5,566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Other income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1,247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475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8,050</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980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Payment-in-kind</w:t>
            </w:r>
          </w:p>
        </w:tc>
        <w:tc>
          <w:tcPr>
            <w:tcW w:w="160" w:type="dxa"/>
            <w:vAlign w:val="bottom"/>
          </w:tcPr>
          <w:p>
            <w:pPr>
              <w:spacing w:after="0"/>
              <w:rPr>
                <w:sz w:val="23"/>
                <w:szCs w:val="23"/>
                <w:color w:val="auto"/>
              </w:rPr>
            </w:pPr>
          </w:p>
        </w:tc>
        <w:tc>
          <w:tcPr>
            <w:tcW w:w="1520" w:type="dxa"/>
            <w:vAlign w:val="bottom"/>
            <w:gridSpan w:val="2"/>
          </w:tcPr>
          <w:p>
            <w:pPr>
              <w:jc w:val="right"/>
              <w:ind w:right="1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Interest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2,694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2,279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7,303</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6,733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Payment-in-kind</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432</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1,978</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3,983</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4,982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580" w:type="dxa"/>
            <w:vAlign w:val="bottom"/>
          </w:tcPr>
          <w:p>
            <w:pPr>
              <w:spacing w:after="0"/>
              <w:rPr>
                <w:sz w:val="20"/>
                <w:szCs w:val="20"/>
                <w:color w:val="auto"/>
              </w:rPr>
            </w:pPr>
            <w:r>
              <w:rPr>
                <w:rFonts w:ascii="Arial" w:cs="Arial" w:eastAsia="Arial" w:hAnsi="Arial"/>
                <w:sz w:val="22"/>
                <w:szCs w:val="22"/>
                <w:color w:val="auto"/>
              </w:rPr>
              <w:t>Dividend income</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2,420</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1,694</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6,655</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580" w:type="dxa"/>
            <w:vAlign w:val="bottom"/>
          </w:tcPr>
          <w:p>
            <w:pPr>
              <w:spacing w:after="0"/>
              <w:rPr>
                <w:sz w:val="20"/>
                <w:szCs w:val="20"/>
                <w:color w:val="auto"/>
              </w:rPr>
            </w:pPr>
            <w:r>
              <w:rPr>
                <w:rFonts w:ascii="Arial" w:cs="Arial" w:eastAsia="Arial" w:hAnsi="Arial"/>
                <w:sz w:val="22"/>
                <w:szCs w:val="22"/>
                <w:b w:val="1"/>
                <w:bCs w:val="1"/>
                <w:color w:val="auto"/>
              </w:rPr>
              <w:t>Total investment income</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23,348</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20,493</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76,035</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58,459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Arial" w:cs="Arial" w:eastAsia="Arial" w:hAnsi="Arial"/>
                <w:sz w:val="22"/>
                <w:szCs w:val="22"/>
                <w:b w:val="1"/>
                <w:bCs w:val="1"/>
                <w:color w:val="auto"/>
              </w:rPr>
              <w:t>Expenses:</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5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Base management fee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4,887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4,358</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14,977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12,755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Performance-based incentive fee</w:t>
            </w:r>
          </w:p>
        </w:tc>
        <w:tc>
          <w:tcPr>
            <w:tcW w:w="160" w:type="dxa"/>
            <w:vAlign w:val="bottom"/>
          </w:tcPr>
          <w:p>
            <w:pPr>
              <w:spacing w:after="0"/>
              <w:rPr>
                <w:sz w:val="23"/>
                <w:szCs w:val="23"/>
                <w:color w:val="auto"/>
              </w:rPr>
            </w:pPr>
          </w:p>
        </w:tc>
        <w:tc>
          <w:tcPr>
            <w:tcW w:w="1520" w:type="dxa"/>
            <w:vAlign w:val="bottom"/>
            <w:gridSpan w:val="2"/>
          </w:tcPr>
          <w:p>
            <w:pPr>
              <w:jc w:val="right"/>
              <w:ind w:right="1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2,657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Interest and expenses on debt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6,737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6,942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20,122</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16,836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Administrative services expenses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250</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380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750</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1,390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580" w:type="dxa"/>
            <w:vAlign w:val="bottom"/>
          </w:tcPr>
          <w:p>
            <w:pPr>
              <w:spacing w:after="0"/>
              <w:rPr>
                <w:sz w:val="20"/>
                <w:szCs w:val="20"/>
                <w:color w:val="auto"/>
              </w:rPr>
            </w:pPr>
            <w:r>
              <w:rPr>
                <w:rFonts w:ascii="Arial" w:cs="Arial" w:eastAsia="Arial" w:hAnsi="Arial"/>
                <w:sz w:val="22"/>
                <w:szCs w:val="22"/>
                <w:color w:val="auto"/>
              </w:rPr>
              <w:t>Other general and administrative expenses</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723</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518</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2,169</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0"/>
                <w:szCs w:val="20"/>
                <w:color w:val="auto"/>
              </w:rPr>
            </w:pPr>
            <w:r>
              <w:rPr>
                <w:rFonts w:ascii="Arial" w:cs="Arial" w:eastAsia="Arial" w:hAnsi="Arial"/>
                <w:sz w:val="22"/>
                <w:szCs w:val="22"/>
                <w:b w:val="1"/>
                <w:bCs w:val="1"/>
                <w:color w:val="auto"/>
              </w:rPr>
              <w:t>Expenses before provision for taxes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12,597</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12,198</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40,675</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32,786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580" w:type="dxa"/>
            <w:vAlign w:val="bottom"/>
          </w:tcPr>
          <w:p>
            <w:pPr>
              <w:spacing w:after="0"/>
              <w:rPr>
                <w:sz w:val="20"/>
                <w:szCs w:val="20"/>
                <w:color w:val="auto"/>
              </w:rPr>
            </w:pPr>
            <w:r>
              <w:rPr>
                <w:rFonts w:ascii="Arial" w:cs="Arial" w:eastAsia="Arial" w:hAnsi="Arial"/>
                <w:sz w:val="22"/>
                <w:szCs w:val="22"/>
                <w:color w:val="auto"/>
              </w:rPr>
              <w:t>Provision for taxes on net investment income</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600</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0"/>
                <w:szCs w:val="20"/>
                <w:color w:val="auto"/>
              </w:rPr>
            </w:pPr>
            <w:r>
              <w:rPr>
                <w:rFonts w:ascii="Arial" w:cs="Arial" w:eastAsia="Arial" w:hAnsi="Arial"/>
                <w:sz w:val="22"/>
                <w:szCs w:val="22"/>
                <w:b w:val="1"/>
                <w:bCs w:val="1"/>
                <w:color w:val="auto"/>
              </w:rPr>
              <w:t>Net expenses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12,797</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12,348</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41,275</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33,236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580" w:type="dxa"/>
            <w:vAlign w:val="bottom"/>
          </w:tcPr>
          <w:p>
            <w:pPr>
              <w:spacing w:after="0"/>
              <w:rPr>
                <w:sz w:val="20"/>
                <w:szCs w:val="20"/>
                <w:color w:val="auto"/>
              </w:rPr>
            </w:pPr>
            <w:r>
              <w:rPr>
                <w:rFonts w:ascii="Arial" w:cs="Arial" w:eastAsia="Arial" w:hAnsi="Arial"/>
                <w:sz w:val="22"/>
                <w:szCs w:val="22"/>
                <w:b w:val="1"/>
                <w:bCs w:val="1"/>
                <w:color w:val="auto"/>
              </w:rPr>
              <w:t>Net investment income</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10,551</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8,145</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34,760</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25,223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line="236" w:lineRule="exact"/>
              <w:rPr>
                <w:sz w:val="20"/>
                <w:szCs w:val="20"/>
                <w:color w:val="auto"/>
              </w:rPr>
            </w:pPr>
            <w:r>
              <w:rPr>
                <w:rFonts w:ascii="Arial" w:cs="Arial" w:eastAsia="Arial" w:hAnsi="Arial"/>
                <w:sz w:val="22"/>
                <w:szCs w:val="22"/>
                <w:b w:val="1"/>
                <w:bCs w:val="1"/>
                <w:color w:val="auto"/>
              </w:rPr>
              <w:t>Realized and unrealized gain (loss) on</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580" w:type="dxa"/>
            <w:vAlign w:val="bottom"/>
          </w:tcPr>
          <w:p>
            <w:pPr>
              <w:spacing w:after="0"/>
              <w:rPr>
                <w:sz w:val="20"/>
                <w:szCs w:val="20"/>
                <w:color w:val="auto"/>
              </w:rPr>
            </w:pPr>
            <w:r>
              <w:rPr>
                <w:rFonts w:ascii="Arial" w:cs="Arial" w:eastAsia="Arial" w:hAnsi="Arial"/>
                <w:sz w:val="22"/>
                <w:szCs w:val="22"/>
                <w:b w:val="1"/>
                <w:bCs w:val="1"/>
                <w:color w:val="auto"/>
              </w:rPr>
              <w:t>investments and debt:</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w w:val="95"/>
              </w:rPr>
              <w:t>Net realized gain (loss) on investments and debt:</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Non-controlled, non-affiliated investments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113</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41,687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7,203</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44,137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line="243" w:lineRule="exact"/>
              <w:rPr>
                <w:sz w:val="20"/>
                <w:szCs w:val="20"/>
                <w:color w:val="auto"/>
              </w:rPr>
            </w:pPr>
            <w:r>
              <w:rPr>
                <w:rFonts w:ascii="Arial" w:cs="Arial" w:eastAsia="Arial" w:hAnsi="Arial"/>
                <w:sz w:val="22"/>
                <w:szCs w:val="22"/>
                <w:color w:val="auto"/>
              </w:rPr>
              <w:t>Non-controlled and controlled, affiliated</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investments</w:t>
            </w:r>
          </w:p>
        </w:tc>
        <w:tc>
          <w:tcPr>
            <w:tcW w:w="160" w:type="dxa"/>
            <w:vAlign w:val="bottom"/>
          </w:tcPr>
          <w:p>
            <w:pPr>
              <w:spacing w:after="0"/>
              <w:rPr>
                <w:sz w:val="23"/>
                <w:szCs w:val="23"/>
                <w:color w:val="auto"/>
              </w:rPr>
            </w:pPr>
          </w:p>
        </w:tc>
        <w:tc>
          <w:tcPr>
            <w:tcW w:w="1520" w:type="dxa"/>
            <w:vAlign w:val="bottom"/>
            <w:gridSpan w:val="2"/>
          </w:tcPr>
          <w:p>
            <w:pPr>
              <w:jc w:val="right"/>
              <w:ind w:right="12"/>
              <w:spacing w:after="0"/>
              <w:rPr>
                <w:sz w:val="20"/>
                <w:szCs w:val="20"/>
                <w:color w:val="auto"/>
              </w:rPr>
            </w:pPr>
            <w:r>
              <w:rPr>
                <w:rFonts w:ascii="Arial" w:cs="Arial" w:eastAsia="Arial" w:hAnsi="Arial"/>
                <w:sz w:val="22"/>
                <w:szCs w:val="22"/>
                <w:color w:val="auto"/>
              </w:rPr>
              <w:t>(34,381)</w:t>
            </w:r>
          </w:p>
        </w:tc>
        <w:tc>
          <w:tcPr>
            <w:tcW w:w="3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75,243</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(19,708)</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Debt extinguishment</w:t>
            </w:r>
          </w:p>
        </w:tc>
        <w:tc>
          <w:tcPr>
            <w:tcW w:w="160" w:type="dxa"/>
            <w:vAlign w:val="bottom"/>
          </w:tcPr>
          <w:p>
            <w:pPr>
              <w:spacing w:after="0"/>
              <w:rPr>
                <w:sz w:val="23"/>
                <w:szCs w:val="23"/>
                <w:color w:val="auto"/>
              </w:rPr>
            </w:pPr>
          </w:p>
        </w:tc>
        <w:tc>
          <w:tcPr>
            <w:tcW w:w="1520" w:type="dxa"/>
            <w:vAlign w:val="bottom"/>
            <w:gridSpan w:val="2"/>
          </w:tcPr>
          <w:p>
            <w:pPr>
              <w:jc w:val="right"/>
              <w:ind w:right="1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22"/>
                <w:szCs w:val="22"/>
                <w:color w:val="auto"/>
              </w:rPr>
              <w:t>(2,801)</w:t>
            </w:r>
          </w:p>
        </w:tc>
        <w:tc>
          <w:tcPr>
            <w:tcW w:w="3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8"/>
        </w:trPr>
        <w:tc>
          <w:tcPr>
            <w:tcW w:w="4580" w:type="dxa"/>
            <w:vAlign w:val="bottom"/>
          </w:tcPr>
          <w:p>
            <w:pPr>
              <w:spacing w:after="0"/>
              <w:rPr>
                <w:sz w:val="20"/>
                <w:szCs w:val="20"/>
                <w:color w:val="auto"/>
              </w:rPr>
            </w:pPr>
            <w:r>
              <w:rPr>
                <w:rFonts w:ascii="Arial" w:cs="Arial" w:eastAsia="Arial" w:hAnsi="Arial"/>
                <w:sz w:val="22"/>
                <w:szCs w:val="22"/>
                <w:color w:val="auto"/>
                <w:w w:val="91"/>
              </w:rPr>
              <w:t>Provision for taxes on realized gain on investments</w:t>
            </w:r>
          </w:p>
        </w:tc>
        <w:tc>
          <w:tcPr>
            <w:tcW w:w="160" w:type="dxa"/>
            <w:vAlign w:val="bottom"/>
          </w:tcPr>
          <w:p>
            <w:pPr>
              <w:spacing w:after="0"/>
              <w:rPr>
                <w:sz w:val="24"/>
                <w:szCs w:val="24"/>
                <w:color w:val="auto"/>
              </w:rPr>
            </w:pPr>
          </w:p>
        </w:tc>
        <w:tc>
          <w:tcPr>
            <w:tcW w:w="1520" w:type="dxa"/>
            <w:vAlign w:val="bottom"/>
            <w:gridSpan w:val="2"/>
          </w:tcPr>
          <w:p>
            <w:pPr>
              <w:jc w:val="right"/>
              <w:ind w:right="12"/>
              <w:spacing w:after="0"/>
              <w:rPr>
                <w:sz w:val="20"/>
                <w:szCs w:val="20"/>
                <w:color w:val="auto"/>
              </w:rPr>
            </w:pPr>
            <w:r>
              <w:rPr>
                <w:rFonts w:ascii="Arial" w:cs="Arial" w:eastAsia="Arial" w:hAnsi="Arial"/>
                <w:sz w:val="22"/>
                <w:szCs w:val="22"/>
                <w:color w:val="auto"/>
              </w:rPr>
              <w:t>(1,123 )</w:t>
            </w:r>
          </w:p>
        </w:tc>
        <w:tc>
          <w:tcPr>
            <w:tcW w:w="32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22"/>
                <w:szCs w:val="22"/>
                <w:color w:val="auto"/>
              </w:rPr>
              <w:t>(6,183 )</w:t>
            </w:r>
          </w:p>
        </w:tc>
        <w:tc>
          <w:tcPr>
            <w:tcW w:w="3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0"/>
                <w:szCs w:val="20"/>
                <w:color w:val="auto"/>
              </w:rPr>
            </w:pPr>
            <w:r>
              <w:rPr>
                <w:rFonts w:ascii="Arial" w:cs="Arial" w:eastAsia="Arial" w:hAnsi="Arial"/>
                <w:sz w:val="22"/>
                <w:szCs w:val="22"/>
                <w:b w:val="1"/>
                <w:bCs w:val="1"/>
                <w:color w:val="auto"/>
                <w:w w:val="90"/>
              </w:rPr>
              <w:t>Net realized gain (loss) on investments and debt</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(35,391</w:t>
            </w:r>
          </w:p>
        </w:tc>
        <w:tc>
          <w:tcPr>
            <w:tcW w:w="2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41,687</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73,462</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24,429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line="242" w:lineRule="exact"/>
              <w:rPr>
                <w:sz w:val="20"/>
                <w:szCs w:val="20"/>
                <w:color w:val="auto"/>
              </w:rPr>
            </w:pPr>
            <w:r>
              <w:rPr>
                <w:rFonts w:ascii="Arial" w:cs="Arial" w:eastAsia="Arial" w:hAnsi="Arial"/>
                <w:sz w:val="22"/>
                <w:szCs w:val="22"/>
                <w:color w:val="auto"/>
                <w:w w:val="89"/>
              </w:rPr>
              <w:t>Net change in unrealized appreciation (depreciation)</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on:</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Non-controlled, non-affiliated investments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14,317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22"/>
                <w:szCs w:val="22"/>
                <w:color w:val="auto"/>
              </w:rPr>
              <w:t>(41,842)</w:t>
            </w:r>
          </w:p>
        </w:tc>
        <w:tc>
          <w:tcPr>
            <w:tcW w:w="180" w:type="dxa"/>
            <w:vAlign w:val="bottom"/>
          </w:tcPr>
          <w:p>
            <w:pPr>
              <w:spacing w:after="0"/>
              <w:rPr>
                <w:sz w:val="23"/>
                <w:szCs w:val="2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22"/>
                <w:szCs w:val="22"/>
                <w:color w:val="auto"/>
              </w:rPr>
              <w:t>(193,348)</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45,770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line="243" w:lineRule="exact"/>
              <w:rPr>
                <w:sz w:val="20"/>
                <w:szCs w:val="20"/>
                <w:color w:val="auto"/>
              </w:rPr>
            </w:pPr>
            <w:r>
              <w:rPr>
                <w:rFonts w:ascii="Arial" w:cs="Arial" w:eastAsia="Arial" w:hAnsi="Arial"/>
                <w:sz w:val="22"/>
                <w:szCs w:val="22"/>
                <w:color w:val="auto"/>
              </w:rPr>
              <w:t>Non-controlled and controlled, affiliated</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investments</w:t>
            </w:r>
          </w:p>
        </w:tc>
        <w:tc>
          <w:tcPr>
            <w:tcW w:w="160" w:type="dxa"/>
            <w:vAlign w:val="bottom"/>
          </w:tcPr>
          <w:p>
            <w:pPr>
              <w:spacing w:after="0"/>
              <w:rPr>
                <w:sz w:val="23"/>
                <w:szCs w:val="23"/>
                <w:color w:val="auto"/>
              </w:rPr>
            </w:pPr>
          </w:p>
        </w:tc>
        <w:tc>
          <w:tcPr>
            <w:tcW w:w="1520" w:type="dxa"/>
            <w:vAlign w:val="bottom"/>
            <w:gridSpan w:val="2"/>
          </w:tcPr>
          <w:p>
            <w:pPr>
              <w:jc w:val="right"/>
              <w:ind w:right="12"/>
              <w:spacing w:after="0"/>
              <w:rPr>
                <w:sz w:val="20"/>
                <w:szCs w:val="20"/>
                <w:color w:val="auto"/>
              </w:rPr>
            </w:pPr>
            <w:r>
              <w:rPr>
                <w:rFonts w:ascii="Arial" w:cs="Arial" w:eastAsia="Arial" w:hAnsi="Arial"/>
                <w:sz w:val="22"/>
                <w:szCs w:val="22"/>
                <w:color w:val="auto"/>
              </w:rPr>
              <w:t>(8,725)</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25,512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94,257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64,581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line="243" w:lineRule="exact"/>
              <w:rPr>
                <w:sz w:val="20"/>
                <w:szCs w:val="20"/>
                <w:color w:val="auto"/>
              </w:rPr>
            </w:pPr>
            <w:r>
              <w:rPr>
                <w:rFonts w:ascii="Arial" w:cs="Arial" w:eastAsia="Arial" w:hAnsi="Arial"/>
                <w:sz w:val="22"/>
                <w:szCs w:val="22"/>
                <w:color w:val="auto"/>
                <w:w w:val="95"/>
              </w:rPr>
              <w:t>Provision for taxes on unrealized appreciation on</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22"/>
                <w:szCs w:val="22"/>
                <w:color w:val="auto"/>
              </w:rPr>
              <w:t>investments</w:t>
            </w:r>
          </w:p>
        </w:tc>
        <w:tc>
          <w:tcPr>
            <w:tcW w:w="160" w:type="dxa"/>
            <w:vAlign w:val="bottom"/>
          </w:tcPr>
          <w:p>
            <w:pPr>
              <w:spacing w:after="0"/>
              <w:rPr>
                <w:sz w:val="23"/>
                <w:szCs w:val="23"/>
                <w:color w:val="auto"/>
              </w:rPr>
            </w:pPr>
          </w:p>
        </w:tc>
        <w:tc>
          <w:tcPr>
            <w:tcW w:w="1520" w:type="dxa"/>
            <w:vAlign w:val="bottom"/>
            <w:gridSpan w:val="2"/>
          </w:tcPr>
          <w:p>
            <w:pPr>
              <w:jc w:val="right"/>
              <w:ind w:right="12"/>
              <w:spacing w:after="0"/>
              <w:rPr>
                <w:sz w:val="20"/>
                <w:szCs w:val="20"/>
                <w:color w:val="auto"/>
              </w:rPr>
            </w:pPr>
            <w:r>
              <w:rPr>
                <w:rFonts w:ascii="Arial" w:cs="Arial" w:eastAsia="Arial" w:hAnsi="Arial"/>
                <w:sz w:val="22"/>
                <w:szCs w:val="22"/>
                <w:color w:val="auto"/>
              </w:rPr>
              <w:t>(8,127)</w:t>
            </w:r>
          </w:p>
        </w:tc>
        <w:tc>
          <w:tcPr>
            <w:tcW w:w="3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22"/>
                <w:szCs w:val="22"/>
                <w:color w:val="auto"/>
              </w:rPr>
              <w:t>(8,127)</w:t>
            </w:r>
          </w:p>
        </w:tc>
        <w:tc>
          <w:tcPr>
            <w:tcW w:w="3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8"/>
        </w:trPr>
        <w:tc>
          <w:tcPr>
            <w:tcW w:w="4580" w:type="dxa"/>
            <w:vAlign w:val="bottom"/>
          </w:tcPr>
          <w:p>
            <w:pPr>
              <w:spacing w:after="0"/>
              <w:rPr>
                <w:sz w:val="20"/>
                <w:szCs w:val="20"/>
                <w:color w:val="auto"/>
              </w:rPr>
            </w:pPr>
            <w:r>
              <w:rPr>
                <w:rFonts w:ascii="Arial" w:cs="Arial" w:eastAsia="Arial" w:hAnsi="Arial"/>
                <w:sz w:val="22"/>
                <w:szCs w:val="22"/>
                <w:color w:val="auto"/>
              </w:rPr>
              <w:t>Debt (appreciation) depreciation</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8,894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22"/>
                <w:szCs w:val="22"/>
                <w:color w:val="auto"/>
              </w:rPr>
              <w:t>(1,622 )</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9,183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(18,494 )</w:t>
            </w: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line="236" w:lineRule="exact"/>
              <w:rPr>
                <w:sz w:val="20"/>
                <w:szCs w:val="20"/>
                <w:color w:val="auto"/>
              </w:rPr>
            </w:pPr>
            <w:r>
              <w:rPr>
                <w:rFonts w:ascii="Arial" w:cs="Arial" w:eastAsia="Arial" w:hAnsi="Arial"/>
                <w:sz w:val="22"/>
                <w:szCs w:val="22"/>
                <w:b w:val="1"/>
                <w:bCs w:val="1"/>
                <w:color w:val="auto"/>
              </w:rPr>
              <w:t>Net change in unrealized appreciation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6,359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22"/>
                <w:szCs w:val="22"/>
                <w:color w:val="auto"/>
              </w:rPr>
              <w:t>(17,952 )</w:t>
            </w:r>
          </w:p>
        </w:tc>
        <w:tc>
          <w:tcPr>
            <w:tcW w:w="180" w:type="dxa"/>
            <w:vAlign w:val="bottom"/>
          </w:tcPr>
          <w:p>
            <w:pPr>
              <w:spacing w:after="0"/>
              <w:rPr>
                <w:sz w:val="17"/>
                <w:szCs w:val="17"/>
                <w:color w:val="auto"/>
              </w:rPr>
            </w:pPr>
          </w:p>
        </w:tc>
        <w:tc>
          <w:tcPr>
            <w:tcW w:w="1500" w:type="dxa"/>
            <w:vAlign w:val="bottom"/>
            <w:gridSpan w:val="2"/>
            <w:vMerge w:val="restart"/>
          </w:tcPr>
          <w:p>
            <w:pPr>
              <w:jc w:val="right"/>
              <w:ind w:right="120"/>
              <w:spacing w:after="0"/>
              <w:rPr>
                <w:sz w:val="20"/>
                <w:szCs w:val="20"/>
                <w:color w:val="auto"/>
              </w:rPr>
            </w:pPr>
            <w:r>
              <w:rPr>
                <w:rFonts w:ascii="Arial" w:cs="Arial" w:eastAsia="Arial" w:hAnsi="Arial"/>
                <w:sz w:val="22"/>
                <w:szCs w:val="22"/>
                <w:color w:val="auto"/>
              </w:rPr>
              <w:t>(98,035 )</w:t>
            </w:r>
          </w:p>
        </w:tc>
        <w:tc>
          <w:tcPr>
            <w:tcW w:w="3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91,857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22"/>
                <w:szCs w:val="22"/>
                <w:b w:val="1"/>
                <w:bCs w:val="1"/>
                <w:color w:val="auto"/>
              </w:rPr>
              <w:t>(depreciation) on investments and debt</w:t>
            </w:r>
          </w:p>
        </w:tc>
        <w:tc>
          <w:tcPr>
            <w:tcW w:w="16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line="236" w:lineRule="exact"/>
              <w:rPr>
                <w:sz w:val="20"/>
                <w:szCs w:val="20"/>
                <w:color w:val="auto"/>
              </w:rPr>
            </w:pPr>
            <w:r>
              <w:rPr>
                <w:rFonts w:ascii="Arial" w:cs="Arial" w:eastAsia="Arial" w:hAnsi="Arial"/>
                <w:sz w:val="22"/>
                <w:szCs w:val="22"/>
                <w:b w:val="1"/>
                <w:bCs w:val="1"/>
                <w:color w:val="auto"/>
              </w:rPr>
              <w:t>Net realized and unrealized gain (loss) from</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vMerge w:val="restart"/>
          </w:tcPr>
          <w:p>
            <w:pPr>
              <w:jc w:val="right"/>
              <w:ind w:right="12"/>
              <w:spacing w:after="0"/>
              <w:rPr>
                <w:sz w:val="20"/>
                <w:szCs w:val="20"/>
                <w:color w:val="auto"/>
              </w:rPr>
            </w:pPr>
            <w:r>
              <w:rPr>
                <w:rFonts w:ascii="Arial" w:cs="Arial" w:eastAsia="Arial" w:hAnsi="Arial"/>
                <w:sz w:val="22"/>
                <w:szCs w:val="22"/>
                <w:color w:val="auto"/>
              </w:rPr>
              <w:t>(29,032 )</w:t>
            </w:r>
          </w:p>
        </w:tc>
        <w:tc>
          <w:tcPr>
            <w:tcW w:w="3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23,735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vMerge w:val="restart"/>
          </w:tcPr>
          <w:p>
            <w:pPr>
              <w:jc w:val="right"/>
              <w:ind w:right="120"/>
              <w:spacing w:after="0"/>
              <w:rPr>
                <w:sz w:val="20"/>
                <w:szCs w:val="20"/>
                <w:color w:val="auto"/>
              </w:rPr>
            </w:pPr>
            <w:r>
              <w:rPr>
                <w:rFonts w:ascii="Arial" w:cs="Arial" w:eastAsia="Arial" w:hAnsi="Arial"/>
                <w:sz w:val="22"/>
                <w:szCs w:val="22"/>
                <w:color w:val="auto"/>
              </w:rPr>
              <w:t>(24,573 )</w:t>
            </w:r>
          </w:p>
        </w:tc>
        <w:tc>
          <w:tcPr>
            <w:tcW w:w="3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116,286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22"/>
                <w:szCs w:val="22"/>
                <w:b w:val="1"/>
                <w:bCs w:val="1"/>
                <w:color w:val="auto"/>
              </w:rPr>
              <w:t>investments and debt</w:t>
            </w:r>
          </w:p>
        </w:tc>
        <w:tc>
          <w:tcPr>
            <w:tcW w:w="160" w:type="dxa"/>
            <w:vAlign w:val="bottom"/>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line="236" w:lineRule="exact"/>
              <w:rPr>
                <w:sz w:val="20"/>
                <w:szCs w:val="20"/>
                <w:color w:val="auto"/>
              </w:rPr>
            </w:pPr>
            <w:r>
              <w:rPr>
                <w:rFonts w:ascii="Arial" w:cs="Arial" w:eastAsia="Arial" w:hAnsi="Arial"/>
                <w:sz w:val="22"/>
                <w:szCs w:val="22"/>
                <w:b w:val="1"/>
                <w:bCs w:val="1"/>
                <w:color w:val="auto"/>
                <w:w w:val="93"/>
              </w:rPr>
              <w:t>Net increase (decrease) in net assets resulting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vMerge w:val="restart"/>
          </w:tcPr>
          <w:p>
            <w:pPr>
              <w:jc w:val="right"/>
              <w:ind w:right="12"/>
              <w:spacing w:after="0"/>
              <w:rPr>
                <w:sz w:val="20"/>
                <w:szCs w:val="20"/>
                <w:color w:val="auto"/>
              </w:rPr>
            </w:pPr>
            <w:r>
              <w:rPr>
                <w:rFonts w:ascii="Arial" w:cs="Arial" w:eastAsia="Arial" w:hAnsi="Arial"/>
                <w:sz w:val="22"/>
                <w:szCs w:val="22"/>
                <w:color w:val="auto"/>
              </w:rPr>
              <w:t>(18,481 )</w:t>
            </w:r>
          </w:p>
        </w:tc>
        <w:tc>
          <w:tcPr>
            <w:tcW w:w="3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31,880</w:t>
            </w:r>
          </w:p>
        </w:tc>
        <w:tc>
          <w:tcPr>
            <w:tcW w:w="2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10,187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141,509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22"/>
                <w:szCs w:val="22"/>
                <w:b w:val="1"/>
                <w:bCs w:val="1"/>
                <w:color w:val="auto"/>
              </w:rPr>
              <w:t>from operations</w:t>
            </w:r>
          </w:p>
        </w:tc>
        <w:tc>
          <w:tcPr>
            <w:tcW w:w="160" w:type="dxa"/>
            <w:vAlign w:val="bottom"/>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line="242" w:lineRule="exact"/>
              <w:rPr>
                <w:sz w:val="20"/>
                <w:szCs w:val="20"/>
                <w:color w:val="auto"/>
              </w:rPr>
            </w:pPr>
            <w:r>
              <w:rPr>
                <w:rFonts w:ascii="Arial" w:cs="Arial" w:eastAsia="Arial" w:hAnsi="Arial"/>
                <w:sz w:val="22"/>
                <w:szCs w:val="22"/>
                <w:color w:val="auto"/>
                <w:w w:val="90"/>
              </w:rPr>
              <w:t>Net increase (decrease) in net assets resulting from</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580" w:type="dxa"/>
            <w:vAlign w:val="bottom"/>
            <w:vMerge w:val="continue"/>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520" w:type="dxa"/>
            <w:vAlign w:val="bottom"/>
            <w:gridSpan w:val="2"/>
            <w:vMerge w:val="restart"/>
          </w:tcPr>
          <w:p>
            <w:pPr>
              <w:jc w:val="right"/>
              <w:ind w:right="12"/>
              <w:spacing w:after="0"/>
              <w:rPr>
                <w:sz w:val="20"/>
                <w:szCs w:val="20"/>
                <w:color w:val="auto"/>
              </w:rPr>
            </w:pPr>
            <w:r>
              <w:rPr>
                <w:rFonts w:ascii="Arial" w:cs="Arial" w:eastAsia="Arial" w:hAnsi="Arial"/>
                <w:sz w:val="22"/>
                <w:szCs w:val="22"/>
                <w:color w:val="auto"/>
              </w:rPr>
              <w:t>(0.28 )</w:t>
            </w:r>
          </w:p>
        </w:tc>
        <w:tc>
          <w:tcPr>
            <w:tcW w:w="320" w:type="dxa"/>
            <w:vAlign w:val="bottom"/>
            <w:vMerge w:val="restart"/>
          </w:tcPr>
          <w:p>
            <w:pPr>
              <w:jc w:val="right"/>
              <w:ind w:right="92"/>
              <w:spacing w:after="0"/>
              <w:rPr>
                <w:sz w:val="20"/>
                <w:szCs w:val="20"/>
                <w:color w:val="auto"/>
              </w:rPr>
            </w:pPr>
            <w:r>
              <w:rPr>
                <w:rFonts w:ascii="Arial" w:cs="Arial" w:eastAsia="Arial" w:hAnsi="Arial"/>
                <w:sz w:val="22"/>
                <w:szCs w:val="22"/>
                <w:color w:val="auto"/>
                <w:w w:val="81"/>
              </w:rPr>
              <w:t>$</w:t>
            </w: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0.48</w:t>
            </w:r>
          </w:p>
        </w:tc>
        <w:tc>
          <w:tcPr>
            <w:tcW w:w="2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0.15</w:t>
            </w:r>
          </w:p>
        </w:tc>
        <w:tc>
          <w:tcPr>
            <w:tcW w:w="220" w:type="dxa"/>
            <w:vAlign w:val="bottom"/>
          </w:tcPr>
          <w:p>
            <w:pPr>
              <w:spacing w:after="0"/>
              <w:rPr>
                <w:sz w:val="17"/>
                <w:szCs w:val="17"/>
                <w:color w:val="auto"/>
              </w:rPr>
            </w:pPr>
          </w:p>
        </w:tc>
        <w:tc>
          <w:tcPr>
            <w:tcW w:w="320" w:type="dxa"/>
            <w:vAlign w:val="bottom"/>
            <w:vMerge w:val="restart"/>
          </w:tcPr>
          <w:p>
            <w:pPr>
              <w:jc w:val="right"/>
              <w:ind w:right="92"/>
              <w:spacing w:after="0"/>
              <w:rPr>
                <w:sz w:val="20"/>
                <w:szCs w:val="20"/>
                <w:color w:val="auto"/>
              </w:rPr>
            </w:pPr>
            <w:r>
              <w:rPr>
                <w:rFonts w:ascii="Arial" w:cs="Arial" w:eastAsia="Arial" w:hAnsi="Arial"/>
                <w:sz w:val="22"/>
                <w:szCs w:val="22"/>
                <w:color w:val="auto"/>
                <w:w w:val="81"/>
              </w:rPr>
              <w:t>$</w:t>
            </w: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2.11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580" w:type="dxa"/>
            <w:vAlign w:val="bottom"/>
          </w:tcPr>
          <w:p>
            <w:pPr>
              <w:spacing w:after="0" w:line="251" w:lineRule="exact"/>
              <w:rPr>
                <w:sz w:val="20"/>
                <w:szCs w:val="20"/>
                <w:color w:val="auto"/>
              </w:rPr>
            </w:pPr>
            <w:r>
              <w:rPr>
                <w:rFonts w:ascii="Arial" w:cs="Arial" w:eastAsia="Arial" w:hAnsi="Arial"/>
                <w:sz w:val="22"/>
                <w:szCs w:val="22"/>
                <w:color w:val="auto"/>
              </w:rPr>
              <w:t>operations per common share</w:t>
            </w:r>
          </w:p>
        </w:tc>
        <w:tc>
          <w:tcPr>
            <w:tcW w:w="160" w:type="dxa"/>
            <w:vAlign w:val="bottom"/>
            <w:vMerge w:val="continue"/>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0.16</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0.12</w:t>
            </w:r>
          </w:p>
        </w:tc>
        <w:tc>
          <w:tcPr>
            <w:tcW w:w="2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0.52</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ectPr>
          <w:pgSz w:w="11900" w:h="16838" w:orient="portrait"/>
          <w:cols w:equalWidth="0" w:num="1">
            <w:col w:w="11240"/>
          </w:cols>
          <w:pgMar w:left="320" w:top="111" w:right="339" w:bottom="0" w:gutter="0" w:footer="0" w:header="0"/>
        </w:sectPr>
      </w:pPr>
    </w:p>
    <w:bookmarkStart w:id="9" w:name="page10"/>
    <w:bookmarkEnd w:id="9"/>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$6.0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CONTACT: Richard T. Allorto, Jr.</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PennantPark Investment Corporation</w:t>
      </w:r>
    </w:p>
    <w:p>
      <w:pPr>
        <w:spacing w:after="0" w:line="17" w:lineRule="exact"/>
        <w:rPr>
          <w:sz w:val="20"/>
          <w:szCs w:val="20"/>
          <w:color w:val="auto"/>
        </w:rPr>
      </w:pPr>
    </w:p>
    <w:p>
      <w:pPr>
        <w:ind w:left="1100" w:right="8140" w:firstLine="1"/>
        <w:spacing w:after="0" w:line="353" w:lineRule="auto"/>
        <w:tabs>
          <w:tab w:leader="none" w:pos="1622" w:val="left"/>
        </w:tabs>
        <w:numPr>
          <w:ilvl w:val="0"/>
          <w:numId w:val="4"/>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2022-08-03T15:14:44Z</dcterms:created>
  <dcterms:modified xsi:type="dcterms:W3CDTF">2022-08-03T15:14:44Z</dcterms:modified>
</cp:coreProperties>
</file>