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7,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0" w:lineRule="exact"/>
        <w:rPr>
          <w:sz w:val="24"/>
          <w:szCs w:val="24"/>
          <w:color w:val="auto"/>
        </w:rPr>
      </w:pP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7, 2017, PennantPark Investment Corporation issued a press release announcing financial results for the third fiscal quarter ended June 30, 2017.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Investment Corporation dated August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3"/>
          </w:tcPr>
          <w:p>
            <w:pPr>
              <w:ind w:left="19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7, 2017</w:t>
            </w:r>
          </w:p>
        </w:tc>
        <w:tc>
          <w:tcPr>
            <w:tcW w:w="774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904"/>
        </w:trPr>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Exhibit No.</w:t>
            </w:r>
          </w:p>
        </w:tc>
        <w:tc>
          <w:tcPr>
            <w:tcW w:w="6000" w:type="dxa"/>
            <w:vAlign w:val="bottom"/>
            <w:gridSpan w:val="3"/>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574"/>
        </w:trPr>
        <w:tc>
          <w:tcPr>
            <w:tcW w:w="880" w:type="dxa"/>
            <w:vAlign w:val="bottom"/>
          </w:tcPr>
          <w:p>
            <w:pPr>
              <w:jc w:val="right"/>
              <w:ind w:right="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6000" w:type="dxa"/>
            <w:vAlign w:val="bottom"/>
            <w:gridSpan w:val="3"/>
          </w:tcPr>
          <w:p>
            <w:pPr>
              <w:ind w:left="520"/>
              <w:spacing w:after="0"/>
              <w:rPr>
                <w:sz w:val="20"/>
                <w:szCs w:val="20"/>
                <w:color w:val="auto"/>
              </w:rPr>
            </w:pPr>
            <w:r>
              <w:rPr>
                <w:rFonts w:ascii="Arial" w:cs="Arial" w:eastAsia="Arial" w:hAnsi="Arial"/>
                <w:sz w:val="18"/>
                <w:szCs w:val="18"/>
                <w:color w:val="auto"/>
                <w:w w:val="88"/>
              </w:rPr>
              <w:t>Press Release of PennantPark Investment Corporation dated August 7, 2017</w:t>
            </w:r>
          </w:p>
        </w:tc>
      </w:tr>
    </w:tbl>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2017</w:t>
      </w:r>
    </w:p>
    <w:p>
      <w:pPr>
        <w:spacing w:after="0" w:line="212"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NEW YORK, Aug. 07, 2017 (GLOBE NEWSWIRE) -- PennantPark Investment Corporation (NASDAQ:PNNT) announced today financial results for the third fiscal quarter ended June 30, 2017.</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HIGHLIGHTS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June 30, 2017</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4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w w:val="88"/>
              </w:rPr>
              <w:t>1,098.90</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652.2</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9.18</w:t>
            </w:r>
          </w:p>
        </w:tc>
      </w:tr>
      <w:tr>
        <w:trPr>
          <w:trHeight w:val="536"/>
        </w:trPr>
        <w:tc>
          <w:tcPr>
            <w:tcW w:w="442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75.9</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2019 Notes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253.4</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220.6</w:t>
            </w:r>
          </w:p>
        </w:tc>
      </w:tr>
      <w:tr>
        <w:trPr>
          <w:trHeight w:val="540"/>
        </w:trPr>
        <w:tc>
          <w:tcPr>
            <w:tcW w:w="442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536"/>
        </w:trPr>
        <w:tc>
          <w:tcPr>
            <w:tcW w:w="4420" w:type="dxa"/>
            <w:vAlign w:val="bottom"/>
          </w:tcPr>
          <w:p>
            <w:pPr>
              <w:spacing w:after="0"/>
              <w:rPr>
                <w:sz w:val="20"/>
                <w:szCs w:val="20"/>
                <w:color w:val="auto"/>
              </w:rPr>
            </w:pPr>
            <w:r>
              <w:rPr>
                <w:rFonts w:ascii="Arial" w:cs="Arial" w:eastAsia="Arial" w:hAnsi="Arial"/>
                <w:sz w:val="22"/>
                <w:szCs w:val="22"/>
                <w:color w:val="auto"/>
              </w:rPr>
              <w:t>Operating Results: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12.5</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GAAP net investment income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0.18</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Credit Facility amendment costs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0.05</w:t>
            </w:r>
          </w:p>
        </w:tc>
      </w:tr>
      <w:tr>
        <w:trPr>
          <w:trHeight w:val="320"/>
        </w:trPr>
        <w:tc>
          <w:tcPr>
            <w:tcW w:w="4420" w:type="dxa"/>
            <w:vAlign w:val="bottom"/>
          </w:tcPr>
          <w:p>
            <w:pPr>
              <w:ind w:left="120"/>
              <w:spacing w:after="0" w:line="319" w:lineRule="exact"/>
              <w:rPr>
                <w:sz w:val="20"/>
                <w:szCs w:val="20"/>
                <w:color w:val="auto"/>
              </w:rPr>
            </w:pPr>
            <w:r>
              <w:rPr>
                <w:rFonts w:ascii="Arial" w:cs="Arial" w:eastAsia="Arial" w:hAnsi="Arial"/>
                <w:sz w:val="22"/>
                <w:szCs w:val="22"/>
                <w:color w:val="auto"/>
              </w:rPr>
              <w:t xml:space="preserve">Core net investment income per share </w:t>
            </w:r>
            <w:r>
              <w:rPr>
                <w:rFonts w:ascii="Arial" w:cs="Arial" w:eastAsia="Arial" w:hAnsi="Arial"/>
                <w:sz w:val="35"/>
                <w:szCs w:val="3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0.23</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0.18</w:t>
            </w:r>
          </w:p>
        </w:tc>
      </w:tr>
      <w:tr>
        <w:trPr>
          <w:trHeight w:val="536"/>
        </w:trPr>
        <w:tc>
          <w:tcPr>
            <w:tcW w:w="4420" w:type="dxa"/>
            <w:vAlign w:val="bottom"/>
          </w:tcPr>
          <w:p>
            <w:pPr>
              <w:spacing w:after="0"/>
              <w:rPr>
                <w:sz w:val="20"/>
                <w:szCs w:val="20"/>
                <w:color w:val="auto"/>
              </w:rPr>
            </w:pPr>
            <w:r>
              <w:rPr>
                <w:rFonts w:ascii="Arial" w:cs="Arial" w:eastAsia="Arial" w:hAnsi="Arial"/>
                <w:sz w:val="22"/>
                <w:szCs w:val="22"/>
                <w:color w:val="auto"/>
              </w:rPr>
              <w:t>Portfolio Activity: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89.1</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199.1</w:t>
            </w:r>
          </w:p>
        </w:tc>
      </w:tr>
      <w:tr>
        <w:trPr>
          <w:trHeight w:val="536"/>
        </w:trPr>
        <w:tc>
          <w:tcPr>
            <w:tcW w:w="4420" w:type="dxa"/>
            <w:vAlign w:val="bottom"/>
          </w:tcPr>
          <w:p>
            <w:pPr>
              <w:ind w:left="120"/>
              <w:spacing w:after="0"/>
              <w:rPr>
                <w:sz w:val="20"/>
                <w:szCs w:val="20"/>
                <w:color w:val="auto"/>
              </w:rPr>
            </w:pPr>
            <w:r>
              <w:rPr>
                <w:rFonts w:ascii="Arial" w:cs="Arial" w:eastAsia="Arial" w:hAnsi="Arial"/>
                <w:sz w:val="22"/>
                <w:szCs w:val="22"/>
                <w:color w:val="auto"/>
                <w:w w:val="98"/>
              </w:rPr>
              <w:t>Number of new portfolio companies invested</w:t>
            </w:r>
          </w:p>
        </w:tc>
        <w:tc>
          <w:tcPr>
            <w:tcW w:w="18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2</w:t>
            </w:r>
          </w:p>
        </w:tc>
      </w:tr>
      <w:tr>
        <w:trPr>
          <w:trHeight w:val="270"/>
        </w:trPr>
        <w:tc>
          <w:tcPr>
            <w:tcW w:w="4420" w:type="dxa"/>
            <w:vAlign w:val="bottom"/>
          </w:tcPr>
          <w:p>
            <w:pPr>
              <w:ind w:left="120"/>
              <w:spacing w:after="0"/>
              <w:rPr>
                <w:sz w:val="20"/>
                <w:szCs w:val="20"/>
                <w:color w:val="auto"/>
              </w:rPr>
            </w:pPr>
            <w:r>
              <w:rPr>
                <w:rFonts w:ascii="Arial" w:cs="Arial" w:eastAsia="Arial" w:hAnsi="Arial"/>
                <w:sz w:val="22"/>
                <w:szCs w:val="22"/>
                <w:color w:val="auto"/>
                <w:w w:val="91"/>
              </w:rPr>
              <w:t>Number of existing portfolio companies invested</w:t>
            </w:r>
          </w:p>
        </w:tc>
        <w:tc>
          <w:tcPr>
            <w:tcW w:w="1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6</w:t>
            </w:r>
          </w:p>
        </w:tc>
      </w:tr>
      <w:tr>
        <w:trPr>
          <w:trHeight w:val="274"/>
        </w:trPr>
        <w:tc>
          <w:tcPr>
            <w:tcW w:w="4420" w:type="dxa"/>
            <w:vAlign w:val="bottom"/>
          </w:tcPr>
          <w:p>
            <w:pPr>
              <w:ind w:left="120"/>
              <w:spacing w:after="0"/>
              <w:rPr>
                <w:sz w:val="20"/>
                <w:szCs w:val="20"/>
                <w:color w:val="auto"/>
              </w:rPr>
            </w:pPr>
            <w:r>
              <w:rPr>
                <w:rFonts w:ascii="Arial" w:cs="Arial" w:eastAsia="Arial" w:hAnsi="Arial"/>
                <w:sz w:val="22"/>
                <w:szCs w:val="22"/>
                <w:color w:val="auto"/>
                <w:w w:val="96"/>
              </w:rPr>
              <w:t>Number of portfolio companies at quarter-end</w:t>
            </w:r>
          </w:p>
        </w:tc>
        <w:tc>
          <w:tcPr>
            <w:tcW w:w="1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22"/>
                <w:szCs w:val="22"/>
                <w:color w:val="auto"/>
              </w:rPr>
              <w:t>53</w:t>
            </w:r>
          </w:p>
        </w:tc>
      </w:tr>
    </w:tbl>
    <w:p>
      <w:pPr>
        <w:spacing w:after="0" w:line="252" w:lineRule="exact"/>
        <w:rPr>
          <w:sz w:val="20"/>
          <w:szCs w:val="20"/>
          <w:color w:val="auto"/>
        </w:rPr>
      </w:pPr>
    </w:p>
    <w:p>
      <w:pPr>
        <w:jc w:val="both"/>
        <w:ind w:firstLine="8"/>
        <w:spacing w:after="0" w:line="209" w:lineRule="auto"/>
        <w:tabs>
          <w:tab w:leader="none" w:pos="302"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Core net investment income is a non-GAAP financial measure. The Company believes that core net investment income provides useful information to investors and management because it reflects the Company’s financial performance excluding the costs associated with amending our multi-currency, senior secured revolving credit facility, or the Credit Facility. The presentation of this additional information is not meant to be considered in isolation or as a substitute for financial results prepared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8, 2017</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Tuesday, August 8, 2017 to discuss its financial results. All interested parties are welcome to participate. You can access the conference call by dialing (888) 737-3705 approximately 5-10 minutes prior to the call. International callers should dial (719) 325-4760. All callers should reference PennantPark Investment Corporation. An archived replay of the call will be available through August 22, 2017 by calling (888) 203-1112. International callers please dial (719) 457-0820. For all phone replays, please reference conference ID #5951196.</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of June 30, 2017, our portfolio totaled $1,098.9 million and consisted of $464.5 million of senior secured debt, $385.0 million of second lien secured debt, $120.9 million of subordinated debt and $128.5 million of preferred and common equity. Our debt portfolio consisted of 85% variable-rate investments (including 24% where the London Interbank Offered Rate, or LIBOR, was below the floor) and 15% fixed-rate investments. As of June 30, 2017, we had no companies on non-accrual. Overall, the portfolio had net unrealized depreciation of $56.4 million as of June 30, 2017. Our overall portfolio consisted of 53 companies with an average investment size of $20.7 million, had a weighted average yield on interest bearing debt investments of 11.8% and was invested 42% in senior secured debt, 35% in second lien secured debt, 11% in subordinated debt and 12% in preferred and common equity.</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9"/>
          <w:szCs w:val="19"/>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where LIBOR was below the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June 30, 2017, we invested $89.1 million in two new and six existing portfolio companies with a weighted average yield on debt investments of 10.6%. Sales and repayments of investments for the three months ended June 30, 2017 totaled $199.1 million. For the nine months ended June 30, 2017, we invested $378.8 million in 14 new and 20 existing portfolio companies with a weighted average yield on debt investments of 10.8%. Sales and repayments of investments for the nine months ended June 30, 2017 totaled $465.4 million.</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June 30, 2016, we invested $90.5 million in eight existing portfolio companies with a weighted average yield on debt investments of 12.4%. Sales and repayments of investments for the three months ended June 30, 2016 totaled $103.1 million. For the nine months ended June 30, 2016, we invested $307.3 million in six new and 18 existing portfolio companies with a weighted average yield on debt investments of 11.9%. Sales and repayments of investments for the nine months ended June 30, 2016 totaled $304.1 million.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Investment income for the three and nine months ended June 30, 2017 was $31.1 million and $96.7 million, respectively, and was attributable to $14.0 million and $42.3 million from senior secured loans, $12.0 million and $37.7 million from second lien secured debt and $5.1 million and $16.7 million from subordinated debt, preferred and common equity, respectively. This compares to investment income for the three and nine months ended June 30, 2016, which was $35.5 million and $109.9 million, respectively, and was attributable to $14.3 million and $46.7 million from senior secured loans, $14.9 million and $46.2 million from second lien secured debt and the remainder from subordinated debt, preferred and common equity, respectively. The decrease in investment income compared with the same periods in the prior year was primarily due to a lower yielding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expenses for the three and nine months ended June 30, 2017 totaled $18.6 million and $53.0 million, respectively. Base management fee for the same periods totaled $4.9 million (after a base management fee waiver of $0.9 million) and $15.4 million (after a base management fee waiver of $3.0 million), incentive fee totaled $1.2 million (after an incentive fee waiver of $0.2 million) and $7.0 million (after an incentive fee waiver of $1.3 million), debt related interest and expenses totaled $10.6 million (including $3.9 million in amendment costs on the Credit Facility) and $24.5 million (including $3.9 million in amendment costs on the Credit Facility), general and administrative expenses totaled $1.6 million and $4.8 million and provision for taxes totaled $0.4 million and $1.3 million, respectively. This compares to expenses for the three and nine months ended June 30, 2016, which totaled $17.7 million and $54.5 million, respectively. Base management fee for the same periods totaled $5.2 million (after a base management fee waiver of $1.0 million) and $15.8 million (after a base management fee waiver of $3.0 million), incentive fee totaled $3.4 million (after an incentive fee waiver of $0.6 million) and $10.6 million (after an incentive fee waiver of $2.0 million), debt related interest and expenses totaled $7.0 million and $20.7 million, general and administrative expenses totaled $1.7 million and $5.4 million and provision for taxes totaled $0.4 million and $2.0 million, respectively. The increase in expenses when comparing the three months ended June 30, 2017 to the same period in the prior year was primarily due to amendment costs on the Credit Facility. The decrease in expenses when comparing the nine months ended June 30, 2017 to the same period in the prior year was primarily due to lower incentive fees and general and administrative expenses.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Net investment income totaled $12.5 million and $43.7 million, or $0.18 and $0.61 per share, for the three and nine months ended June 30, 2017, respectively. Core net investment income, a non-GAAP financial measure, totaled $16.3 million and $47.5 million, or $0.23 and $0.67 per share for the three and nine months ended June 30, 2017. Net investment income totaled $17.8 million and $55.5 million, or $0.25 and $0.77 per share, for the three and nine months ended June 30, 2016, respectively. The decrease in net investment income per share compared to the same periods in the prior year was primarily due to the repayments of higher yielding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2017 totaled $199.1 million and $465.4 million, respectively, and realized gains (losses) totaled $10.1 million and $(30.8) million, respectively. Sales and repayments of investments for the three and nine months ended June 30, 2016 totaled $103.1 million and $304.1 million, respectively, and realized losses totaled $45.5 million and $82.1 million, respectively. The change in realized gains (losses) was primarily due to changes in the market conditions of our investments and the values at which they were realized.</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For the three and nine months ended June 30, 2017, we reported a net change in unrealized (depreciation) appreciation on investments of $(1.7) million and $43.8 million, respectively. For the three and nine months ended June 30, 2016, we reported a net change in unrealized appreciation on investments of $58.0 million and $2.1 million, respectively. As of June 30, 2017 and September 30, 2016, our net unrealized depreciation on investments totaled $56.4 million and $100.3 million, respectively. The net change in unrealized (depreciation) appreciation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and nine months ended June 30, 2017, we reported a net change in unrealized appreciation on our Credit Facility and our 4.50% notes due 2019, or 2019 Notes, of $2.1 million and $2.4 million, respectively. For the three and nine months ended June 30, 2016, we reported a net change in unrealized (appreciation) depreciation on our Credit Facility, 2019 Notes and 6.25% notes due 2025, or 2025 Notes, of $(2.4) million and $15.6 million, respectively. The change compared with the same periods in the prior year was primarily due to changes in the capital markets.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$18.8 million and $54.3 million, or $0.26 and $0.77 per share, for the three and nine months ended June 30, 2017, respectively. This compares to a net change in net assets resulting from operations of $27.8 million and $(9.0) million, or $0.39 and $(0.12) per share, for the three and nine months ended June 30, 2016, respectively. The decrease/increase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annualized weighted average cost of debt for the nine months ended June 30, 2017 and 2016, inclusive of the fee on the undrawn commitment and amendment costs on the Credit Facility, amortized upfront fees on Small Business Administration, or SBA, debentures and debt issuance costs, was 4.99% and 4.36%, respectively.</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May 25, 2017, we amended and restated our multi-currency Credit Facility to, among other things, extend the final maturity date from June 25, 2019 to May 25, 2022, adjust the size of the Credit Facility from $545 million to $445 million and increased the size of the accordion provision to permit increases to the Credit Facility up to $750 million if certain conditions are satisfied and to include certain restrictions on the borrowing base with respect to investments located in certain countries and equity interests. This multi-currency Credit Facility is with certain lenders and SunTrust Bank, acting as administrative agent, and JPMorgan Chase Bank, N.A., acting as syndication agent for the lenders.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June 30, 2017 and September 30, 2016, there was $82.1 million and $50.3 million, respectively, in outstanding borrowings under the Credit Facility. The Credit Facility had a weighted average interest rate of 2.45% and 2.76%, as of June 30, 2017 and September 30, 2016, respectively, excluding the undrawn commitment fees of 0.375%. The Credit Facility is a five-year revolving facility with a stated maturity date of May 25, 2022, with a one-year term-out period following its fourth year and pricing set at 225 basis points over LIBOR. As of June 30, 2017 and September 30, 2016, we had $362.9 million and $494.7 million of unused borrowing capacity under our Credit Facility, respectively, subject to the regulatory restrictions.</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June 30, 2017 and September 30, 2016, we had $250.0 million in aggregate principal amount of 2019 Notes outstanding, with a fixed interest rate of 4.50% per year. As of June 30, 2017 and September 30, 2016, we had zero and $71.3 million, respectively, in aggregate principal amount of 2025 Notes outstanding, with a fixed interest rate of 6.25% per year. On June 29, 2017, the 2025 Notes were redeemed. The 2025 Notes had been scheduled to mature on February 1, 2025. As of June 30, 2017 and September 30, 2016, our SBIC Funds had $225.0 million in debt commitments, of which $225.0 million and $197.5 million was drawn, respectively.</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June 30, 2017 and September 30, 2016, we had cash and cash equivalents of $103.2 million and $75.6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provided cash of $92.2 million for the nine months ended June 30, 2017, and our financing activities used cash of $65.2 million for the same period. Our operating activities provided cash from sales and repayments on our investments and our financing activities used cash primarily to redeem our 2025 Notes.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provided cash of $34.2 million for the nine months ended June 30, 2016, and our financing activities used cash of $46.0 million for the same period. Our operating activities provided cash from sales and repayments on our investments and our financing activities used cash primarily for our stock repurchase plan.</w:t>
      </w:r>
    </w:p>
    <w:p>
      <w:pPr>
        <w:sectPr>
          <w:pgSz w:w="11900" w:h="16838" w:orient="portrait"/>
          <w:cols w:equalWidth="0" w:num="1">
            <w:col w:w="11240"/>
          </w:cols>
          <w:pgMar w:left="320" w:top="111" w:right="339" w:bottom="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nine months ended June 30, 2017, we declared distributions of $0.18 and $0.64 per share, respectively, for total distributions of $12.8 million and $45.5 million, respectively. For the same periods in the prior year, we declared distributions of $0.28 and $0.84 per share, respectively, for total distributions of $19.9 million and $59.9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200" w:lineRule="exact"/>
        <w:rPr>
          <w:sz w:val="20"/>
          <w:szCs w:val="20"/>
          <w:color w:val="auto"/>
        </w:rPr>
      </w:pPr>
    </w:p>
    <w:p>
      <w:pPr>
        <w:spacing w:after="0" w:line="252"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PENNANTPARK INVESTMENT CORPORATION AND SUBSIDIARIES</w:t>
      </w:r>
    </w:p>
    <w:p>
      <w:pPr>
        <w:spacing w:after="0" w:line="27"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22"/>
                <w:szCs w:val="22"/>
                <w:b w:val="1"/>
                <w:bCs w:val="1"/>
                <w:color w:val="auto"/>
                <w:w w:val="86"/>
              </w:rPr>
              <w:t>September 30,</w:t>
            </w:r>
          </w:p>
        </w:tc>
      </w:tr>
      <w:tr>
        <w:trPr>
          <w:trHeight w:val="270"/>
        </w:trPr>
        <w:tc>
          <w:tcPr>
            <w:tcW w:w="7940" w:type="dxa"/>
            <w:vAlign w:val="bottom"/>
          </w:tcPr>
          <w:p>
            <w:pPr>
              <w:spacing w:after="0"/>
              <w:rPr>
                <w:sz w:val="23"/>
                <w:szCs w:val="23"/>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22"/>
                <w:szCs w:val="22"/>
                <w:b w:val="1"/>
                <w:bCs w:val="1"/>
                <w:color w:val="auto"/>
                <w:w w:val="90"/>
              </w:rPr>
              <w:t>June 30, 2017</w:t>
            </w:r>
          </w:p>
        </w:tc>
        <w:tc>
          <w:tcPr>
            <w:tcW w:w="120" w:type="dxa"/>
            <w:vAlign w:val="bottom"/>
          </w:tcPr>
          <w:p>
            <w:pPr>
              <w:spacing w:after="0"/>
              <w:rPr>
                <w:sz w:val="23"/>
                <w:szCs w:val="23"/>
                <w:color w:val="auto"/>
              </w:rPr>
            </w:pPr>
          </w:p>
        </w:tc>
        <w:tc>
          <w:tcPr>
            <w:tcW w:w="1460" w:type="dxa"/>
            <w:vAlign w:val="bottom"/>
          </w:tcPr>
          <w:p>
            <w:pPr>
              <w:jc w:val="right"/>
              <w:ind w:right="47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r>
      <w:tr>
        <w:trPr>
          <w:trHeight w:val="280"/>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22"/>
                <w:szCs w:val="22"/>
                <w:b w:val="1"/>
                <w:bCs w:val="1"/>
                <w:color w:val="auto"/>
                <w:w w:val="90"/>
              </w:rPr>
              <w:t>(unaudited)</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94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940" w:type="dxa"/>
            <w:vAlign w:val="bottom"/>
          </w:tcPr>
          <w:p>
            <w:pPr>
              <w:ind w:left="120"/>
              <w:spacing w:after="0" w:line="243" w:lineRule="exact"/>
              <w:rPr>
                <w:sz w:val="20"/>
                <w:szCs w:val="20"/>
                <w:color w:val="auto"/>
              </w:rPr>
            </w:pPr>
            <w:r>
              <w:rPr>
                <w:rFonts w:ascii="Arial" w:cs="Arial" w:eastAsia="Arial" w:hAnsi="Arial"/>
                <w:sz w:val="22"/>
                <w:szCs w:val="22"/>
                <w:color w:val="auto"/>
                <w:w w:val="96"/>
              </w:rPr>
              <w:t>Non-controlled, non-affiliated investments (cost—$772,411,106 and $805,189,545,</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788,252,925</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813,467,491</w:t>
            </w:r>
          </w:p>
        </w:tc>
        <w:tc>
          <w:tcPr>
            <w:tcW w:w="80" w:type="dxa"/>
            <w:vAlign w:val="bottom"/>
          </w:tcPr>
          <w:p>
            <w:pPr>
              <w:spacing w:after="0"/>
              <w:rPr>
                <w:sz w:val="23"/>
                <w:szCs w:val="23"/>
                <w:color w:val="auto"/>
              </w:rPr>
            </w:pPr>
          </w:p>
        </w:tc>
      </w:tr>
      <w:tr>
        <w:trPr>
          <w:trHeight w:val="243"/>
        </w:trPr>
        <w:tc>
          <w:tcPr>
            <w:tcW w:w="7940" w:type="dxa"/>
            <w:vAlign w:val="bottom"/>
          </w:tcPr>
          <w:p>
            <w:pPr>
              <w:ind w:left="120"/>
              <w:spacing w:after="0" w:line="243" w:lineRule="exact"/>
              <w:rPr>
                <w:sz w:val="20"/>
                <w:szCs w:val="20"/>
                <w:color w:val="auto"/>
              </w:rPr>
            </w:pPr>
            <w:r>
              <w:rPr>
                <w:rFonts w:ascii="Arial" w:cs="Arial" w:eastAsia="Arial" w:hAnsi="Arial"/>
                <w:sz w:val="22"/>
                <w:szCs w:val="22"/>
                <w:color w:val="auto"/>
              </w:rPr>
              <w:t>Non-controlled, affiliated investments (cost—$183,090,652 and $262,476,906,</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12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185,505,287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215,192,547</w:t>
            </w:r>
          </w:p>
        </w:tc>
        <w:tc>
          <w:tcPr>
            <w:tcW w:w="80" w:type="dxa"/>
            <w:vAlign w:val="bottom"/>
          </w:tcPr>
          <w:p>
            <w:pPr>
              <w:spacing w:after="0"/>
              <w:rPr>
                <w:sz w:val="23"/>
                <w:szCs w:val="23"/>
                <w:color w:val="auto"/>
              </w:rPr>
            </w:pPr>
          </w:p>
        </w:tc>
      </w:tr>
      <w:tr>
        <w:trPr>
          <w:trHeight w:val="274"/>
        </w:trPr>
        <w:tc>
          <w:tcPr>
            <w:tcW w:w="7940" w:type="dxa"/>
            <w:vAlign w:val="bottom"/>
          </w:tcPr>
          <w:p>
            <w:pPr>
              <w:ind w:left="120"/>
              <w:spacing w:after="0"/>
              <w:rPr>
                <w:sz w:val="20"/>
                <w:szCs w:val="20"/>
                <w:color w:val="auto"/>
              </w:rPr>
            </w:pPr>
            <w:r>
              <w:rPr>
                <w:rFonts w:ascii="Arial" w:cs="Arial" w:eastAsia="Arial" w:hAnsi="Arial"/>
                <w:sz w:val="22"/>
                <w:szCs w:val="22"/>
                <w:color w:val="auto"/>
                <w:w w:val="92"/>
              </w:rPr>
              <w:t>Controlled, affiliated investments (cost—$199,972,502 and $186,290,695, respectively)</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125,166,048</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125,019,637</w:t>
            </w:r>
          </w:p>
        </w:tc>
        <w:tc>
          <w:tcPr>
            <w:tcW w:w="80" w:type="dxa"/>
            <w:vAlign w:val="bottom"/>
          </w:tcPr>
          <w:p>
            <w:pPr>
              <w:spacing w:after="0"/>
              <w:rPr>
                <w:sz w:val="23"/>
                <w:szCs w:val="23"/>
                <w:color w:val="auto"/>
              </w:rPr>
            </w:pPr>
          </w:p>
        </w:tc>
      </w:tr>
      <w:tr>
        <w:trPr>
          <w:trHeight w:val="259"/>
        </w:trPr>
        <w:tc>
          <w:tcPr>
            <w:tcW w:w="7940" w:type="dxa"/>
            <w:vAlign w:val="bottom"/>
          </w:tcPr>
          <w:p>
            <w:pPr>
              <w:ind w:left="120"/>
              <w:spacing w:after="0"/>
              <w:rPr>
                <w:sz w:val="20"/>
                <w:szCs w:val="20"/>
                <w:color w:val="auto"/>
              </w:rPr>
            </w:pPr>
            <w:r>
              <w:rPr>
                <w:rFonts w:ascii="Arial" w:cs="Arial" w:eastAsia="Arial" w:hAnsi="Arial"/>
                <w:sz w:val="22"/>
                <w:szCs w:val="22"/>
                <w:color w:val="auto"/>
              </w:rPr>
              <w:t>Total of investments (cost—$1,155,474,260 and $1,253,957,146, respectively)</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88"/>
              </w:rPr>
              <w:t>1,098,924,260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1,153,679,675</w:t>
            </w: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Cash and cash equivalents (cost—$103,099,629 and $75,617,133,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103,196,132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75,608,113</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7,899,440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7,032,858</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12,478,824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5,150,297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2,615,232</w:t>
            </w:r>
          </w:p>
        </w:tc>
        <w:tc>
          <w:tcPr>
            <w:tcW w:w="80" w:type="dxa"/>
            <w:vAlign w:val="bottom"/>
          </w:tcPr>
          <w:p>
            <w:pPr>
              <w:spacing w:after="0"/>
              <w:rPr>
                <w:sz w:val="23"/>
                <w:szCs w:val="23"/>
                <w:color w:val="auto"/>
              </w:rPr>
            </w:pP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1,227,648,953</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3"/>
                <w:szCs w:val="23"/>
                <w:color w:val="auto"/>
              </w:rPr>
            </w:pPr>
          </w:p>
        </w:tc>
      </w:tr>
      <w:tr>
        <w:trPr>
          <w:trHeight w:val="256"/>
        </w:trPr>
        <w:tc>
          <w:tcPr>
            <w:tcW w:w="794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19,897,034</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Credit Facility payable (cost—$82,105,300 and $50,339,700,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75,908,513</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39,551,187</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253,375,000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254,175,000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2025 Notes payable (par—zero and $71,250,000, respectively)</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72,618,000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w w:val="98"/>
              </w:rPr>
              <w:t>SBA debentures payable, net (par—$225,000,000 and $197,500,000,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220,590,278</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193,244,534</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4,907,784</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5,074,830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1,140,859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2,865,444</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5,962,316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7,520,113</w:t>
            </w:r>
          </w:p>
        </w:tc>
        <w:tc>
          <w:tcPr>
            <w:tcW w:w="80" w:type="dxa"/>
            <w:vAlign w:val="bottom"/>
          </w:tcPr>
          <w:p>
            <w:pPr>
              <w:spacing w:after="0"/>
              <w:rPr>
                <w:sz w:val="23"/>
                <w:szCs w:val="23"/>
                <w:color w:val="auto"/>
              </w:rPr>
            </w:pP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797,471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622,880</w:t>
            </w:r>
          </w:p>
        </w:tc>
        <w:tc>
          <w:tcPr>
            <w:tcW w:w="80" w:type="dxa"/>
            <w:vAlign w:val="bottom"/>
          </w:tcPr>
          <w:p>
            <w:pPr>
              <w:spacing w:after="0"/>
              <w:rPr>
                <w:sz w:val="23"/>
                <w:szCs w:val="23"/>
                <w:color w:val="auto"/>
              </w:rPr>
            </w:pP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575,473,171</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595,569,022</w:t>
            </w:r>
          </w:p>
        </w:tc>
        <w:tc>
          <w:tcPr>
            <w:tcW w:w="80" w:type="dxa"/>
            <w:vAlign w:val="bottom"/>
          </w:tcPr>
          <w:p>
            <w:pPr>
              <w:spacing w:after="0"/>
              <w:rPr>
                <w:sz w:val="23"/>
                <w:szCs w:val="23"/>
                <w:color w:val="auto"/>
              </w:rPr>
            </w:pPr>
          </w:p>
        </w:tc>
      </w:tr>
      <w:tr>
        <w:trPr>
          <w:trHeight w:val="250"/>
        </w:trPr>
        <w:tc>
          <w:tcPr>
            <w:tcW w:w="794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794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940" w:type="dxa"/>
            <w:vAlign w:val="bottom"/>
          </w:tcPr>
          <w:p>
            <w:pPr>
              <w:spacing w:after="0" w:line="243" w:lineRule="exact"/>
              <w:rPr>
                <w:sz w:val="20"/>
                <w:szCs w:val="20"/>
                <w:color w:val="auto"/>
              </w:rPr>
            </w:pPr>
            <w:r>
              <w:rPr>
                <w:rFonts w:ascii="Arial" w:cs="Arial" w:eastAsia="Arial" w:hAnsi="Arial"/>
                <w:sz w:val="22"/>
                <w:szCs w:val="22"/>
                <w:color w:val="auto"/>
              </w:rPr>
              <w:t>Common stock, 71,060,836 shares issued and outstanding</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4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71,061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819,983,676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819,983,676</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1,310,399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3,119,380</w:t>
            </w:r>
          </w:p>
        </w:tc>
        <w:tc>
          <w:tcPr>
            <w:tcW w:w="80" w:type="dxa"/>
            <w:vAlign w:val="bottom"/>
          </w:tcPr>
          <w:p>
            <w:pPr>
              <w:spacing w:after="0"/>
              <w:rPr>
                <w:sz w:val="23"/>
                <w:szCs w:val="23"/>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w w:val="96"/>
              </w:rPr>
              <w:t>(115,562,130)</w:t>
            </w:r>
          </w:p>
        </w:tc>
        <w:tc>
          <w:tcPr>
            <w:tcW w:w="1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(84,771,820)</w:t>
            </w:r>
          </w:p>
        </w:tc>
      </w:tr>
      <w:tr>
        <w:trPr>
          <w:trHeight w:val="270"/>
        </w:trPr>
        <w:tc>
          <w:tcPr>
            <w:tcW w:w="794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22"/>
                <w:szCs w:val="22"/>
                <w:color w:val="auto"/>
              </w:rPr>
              <w:t>(56,449,011)</w:t>
            </w:r>
          </w:p>
        </w:tc>
        <w:tc>
          <w:tcPr>
            <w:tcW w:w="1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(100,280,954)</w:t>
            </w:r>
          </w:p>
        </w:tc>
      </w:tr>
      <w:tr>
        <w:trPr>
          <w:trHeight w:val="274"/>
        </w:trPr>
        <w:tc>
          <w:tcPr>
            <w:tcW w:w="7940" w:type="dxa"/>
            <w:vAlign w:val="bottom"/>
          </w:tcPr>
          <w:p>
            <w:pPr>
              <w:spacing w:after="0"/>
              <w:rPr>
                <w:sz w:val="20"/>
                <w:szCs w:val="20"/>
                <w:color w:val="auto"/>
              </w:rPr>
            </w:pPr>
            <w:r>
              <w:rPr>
                <w:rFonts w:ascii="Arial" w:cs="Arial" w:eastAsia="Arial" w:hAnsi="Arial"/>
                <w:sz w:val="22"/>
                <w:szCs w:val="22"/>
                <w:color w:val="auto"/>
              </w:rPr>
              <w:t>Net unrealized depreciation on debt</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2,821,787</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5,245,513</w:t>
            </w:r>
          </w:p>
        </w:tc>
        <w:tc>
          <w:tcPr>
            <w:tcW w:w="80" w:type="dxa"/>
            <w:vAlign w:val="bottom"/>
          </w:tcPr>
          <w:p>
            <w:pPr>
              <w:spacing w:after="0"/>
              <w:rPr>
                <w:sz w:val="23"/>
                <w:szCs w:val="23"/>
                <w:color w:val="auto"/>
              </w:rPr>
            </w:pPr>
          </w:p>
        </w:tc>
      </w:tr>
      <w:tr>
        <w:trPr>
          <w:trHeight w:val="267"/>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652,175,782</w:t>
            </w:r>
          </w:p>
        </w:tc>
        <w:tc>
          <w:tcPr>
            <w:tcW w:w="2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643,366,856</w:t>
            </w:r>
          </w:p>
        </w:tc>
        <w:tc>
          <w:tcPr>
            <w:tcW w:w="80" w:type="dxa"/>
            <w:vAlign w:val="bottom"/>
          </w:tcPr>
          <w:p>
            <w:pPr>
              <w:spacing w:after="0"/>
              <w:rPr>
                <w:sz w:val="23"/>
                <w:szCs w:val="23"/>
                <w:color w:val="auto"/>
              </w:rPr>
            </w:pPr>
          </w:p>
        </w:tc>
      </w:tr>
      <w:tr>
        <w:trPr>
          <w:trHeight w:val="263"/>
        </w:trPr>
        <w:tc>
          <w:tcPr>
            <w:tcW w:w="794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1,227,648,953</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2"/>
                <w:szCs w:val="22"/>
                <w:color w:val="auto"/>
              </w:rPr>
            </w:pPr>
          </w:p>
        </w:tc>
      </w:tr>
      <w:tr>
        <w:trPr>
          <w:trHeight w:val="21"/>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94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9.18</w:t>
            </w:r>
          </w:p>
        </w:tc>
        <w:tc>
          <w:tcPr>
            <w:tcW w:w="2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9.05</w:t>
            </w:r>
          </w:p>
        </w:tc>
        <w:tc>
          <w:tcPr>
            <w:tcW w:w="80" w:type="dxa"/>
            <w:vAlign w:val="bottom"/>
          </w:tcPr>
          <w:p>
            <w:pPr>
              <w:spacing w:after="0"/>
              <w:rPr>
                <w:sz w:val="22"/>
                <w:szCs w:val="22"/>
                <w:color w:val="auto"/>
              </w:rPr>
            </w:pPr>
          </w:p>
        </w:tc>
      </w:tr>
      <w:tr>
        <w:trPr>
          <w:trHeight w:val="21"/>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111" w:right="339" w:bottom="636" w:gutter="0" w:footer="0" w:header="0"/>
        </w:sectPr>
      </w:pPr>
    </w:p>
    <w:bookmarkStart w:id="8" w:name="page9"/>
    <w:bookmarkEnd w:id="8"/>
    <w:p>
      <w:pPr>
        <w:jc w:val="center"/>
        <w:ind w:right="100"/>
        <w:spacing w:after="0" w:line="269"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60" w:type="dxa"/>
            <w:vAlign w:val="bottom"/>
          </w:tcPr>
          <w:p>
            <w:pPr>
              <w:spacing w:after="0"/>
              <w:rPr>
                <w:sz w:val="21"/>
                <w:szCs w:val="21"/>
                <w:color w:val="auto"/>
              </w:rPr>
            </w:pPr>
          </w:p>
        </w:tc>
        <w:tc>
          <w:tcPr>
            <w:tcW w:w="2720" w:type="dxa"/>
            <w:vAlign w:val="bottom"/>
            <w:gridSpan w:val="6"/>
          </w:tcPr>
          <w:p>
            <w:pPr>
              <w:ind w:left="40"/>
              <w:spacing w:after="0"/>
              <w:rPr>
                <w:sz w:val="20"/>
                <w:szCs w:val="20"/>
                <w:color w:val="auto"/>
              </w:rPr>
            </w:pPr>
            <w:r>
              <w:rPr>
                <w:rFonts w:ascii="Arial" w:cs="Arial" w:eastAsia="Arial" w:hAnsi="Arial"/>
                <w:sz w:val="22"/>
                <w:szCs w:val="22"/>
                <w:b w:val="1"/>
                <w:bCs w:val="1"/>
                <w:color w:val="auto"/>
                <w:w w:val="96"/>
              </w:rPr>
              <w:t>Three Months Ended June</w:t>
            </w:r>
          </w:p>
        </w:tc>
        <w:tc>
          <w:tcPr>
            <w:tcW w:w="140" w:type="dxa"/>
            <w:vAlign w:val="bottom"/>
          </w:tcPr>
          <w:p>
            <w:pPr>
              <w:spacing w:after="0"/>
              <w:rPr>
                <w:sz w:val="21"/>
                <w:szCs w:val="21"/>
                <w:color w:val="auto"/>
              </w:rPr>
            </w:pPr>
          </w:p>
        </w:tc>
        <w:tc>
          <w:tcPr>
            <w:tcW w:w="2580" w:type="dxa"/>
            <w:vAlign w:val="bottom"/>
            <w:gridSpan w:val="5"/>
          </w:tcPr>
          <w:p>
            <w:pPr>
              <w:jc w:val="right"/>
              <w:ind w:right="240"/>
              <w:spacing w:after="0"/>
              <w:rPr>
                <w:sz w:val="20"/>
                <w:szCs w:val="20"/>
                <w:color w:val="auto"/>
              </w:rPr>
            </w:pPr>
            <w:r>
              <w:rPr>
                <w:rFonts w:ascii="Arial" w:cs="Arial" w:eastAsia="Arial" w:hAnsi="Arial"/>
                <w:sz w:val="22"/>
                <w:szCs w:val="22"/>
                <w:b w:val="1"/>
                <w:bCs w:val="1"/>
                <w:color w:val="auto"/>
                <w:w w:val="88"/>
              </w:rPr>
              <w:t>Nine Months Ended June</w:t>
            </w:r>
          </w:p>
        </w:tc>
        <w:tc>
          <w:tcPr>
            <w:tcW w:w="0" w:type="dxa"/>
            <w:vAlign w:val="bottom"/>
          </w:tcPr>
          <w:p>
            <w:pPr>
              <w:spacing w:after="0"/>
              <w:rPr>
                <w:sz w:val="1"/>
                <w:szCs w:val="1"/>
                <w:color w:val="auto"/>
              </w:rPr>
            </w:pPr>
          </w:p>
        </w:tc>
      </w:tr>
      <w:tr>
        <w:trPr>
          <w:trHeight w:val="282"/>
        </w:trPr>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b w:val="1"/>
                <w:bCs w:val="1"/>
                <w:color w:val="auto"/>
              </w:rPr>
              <w:t>30,</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21,366,729</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26,432,244</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67,329,174</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81,300,064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946,587</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2,151,427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4,614,740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9,679,096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3,750,616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3,458,232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12,416,683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8,956,381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1,587,435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61,094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1,609,935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80,521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Interest</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3,432,952</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3,436,797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10,697,690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9,895,449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31,084,319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35,539,794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96,668,222</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6"/>
              </w:rPr>
              <w:t>109,911,511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5,842,601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6,190,579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18,449,890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18,811,434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1,358,165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4,039,292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8,375,564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12,607,547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6,723,980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7,005,077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20,638,611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20,674,327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894,000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898,167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2,682,000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2,666,167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665,653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899,508</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2,002,643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2,721,700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1"/>
              </w:rPr>
              <w:t>Expenses before Management Fees waiver and provision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for taxes</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15,484,399</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19,032,623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52,148,708</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57,481,175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760" w:type="dxa"/>
            <w:vAlign w:val="bottom"/>
          </w:tcPr>
          <w:p>
            <w:pPr>
              <w:ind w:left="260"/>
              <w:spacing w:after="0"/>
              <w:rPr>
                <w:sz w:val="20"/>
                <w:szCs w:val="20"/>
                <w:color w:val="auto"/>
              </w:rPr>
            </w:pPr>
            <w:r>
              <w:rPr>
                <w:rFonts w:ascii="Arial" w:cs="Arial" w:eastAsia="Arial" w:hAnsi="Arial"/>
                <w:sz w:val="22"/>
                <w:szCs w:val="22"/>
                <w:color w:val="auto"/>
              </w:rPr>
              <w:t>Management Fees waiver</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7"/>
              </w:rPr>
              <w:t>(1,152,123)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(1,636,779)</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(4,292,073)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5"/>
              </w:rPr>
              <w:t>(5,027,041)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425,000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350,000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1,275,000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2,000,000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Credit Facility amendment costs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3,866,633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3,866,633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7"/>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Net expenses</w:t>
            </w: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8"/>
              </w:rPr>
              <w:t>18,623,909</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17,745,844</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52,998,268</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6"/>
              </w:rPr>
              <w:t>54,454,134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12,460,410</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17,793,950</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43,669,954</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55,457,377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60" w:type="dxa"/>
            <w:vAlign w:val="bottom"/>
          </w:tcPr>
          <w:p>
            <w:pPr>
              <w:spacing w:after="0"/>
              <w:rPr>
                <w:sz w:val="20"/>
                <w:szCs w:val="20"/>
                <w:color w:val="auto"/>
              </w:rPr>
            </w:pPr>
            <w:r>
              <w:rPr>
                <w:rFonts w:ascii="Arial" w:cs="Arial" w:eastAsia="Arial" w:hAnsi="Arial"/>
                <w:sz w:val="22"/>
                <w:szCs w:val="22"/>
                <w:b w:val="1"/>
                <w:bCs w:val="1"/>
                <w:color w:val="auto"/>
                <w:w w:val="89"/>
              </w:rPr>
              <w:t>Realized and unrealized gain (loss) on investments and debt: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Net realized gain (loss) on investments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10,147,761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(45,507,467)</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(30,790,310)</w:t>
            </w:r>
          </w:p>
        </w:tc>
        <w:tc>
          <w:tcPr>
            <w:tcW w:w="1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(82,092,448)</w:t>
            </w: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12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2"/>
                <w:szCs w:val="22"/>
                <w:color w:val="auto"/>
                <w:w w:val="95"/>
              </w:rPr>
              <w:t>(5,731,239)</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50,184,115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7,625,092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27,230,048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22"/>
                <w:szCs w:val="22"/>
                <w:color w:val="auto"/>
              </w:rPr>
              <w:t>Non-controlled and controlled, affiliated investments</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4,039,995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7,770,408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36,206,851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2"/>
              </w:rPr>
              <w:t>(25,134,320)</w:t>
            </w:r>
          </w:p>
        </w:tc>
        <w:tc>
          <w:tcPr>
            <w:tcW w:w="0" w:type="dxa"/>
            <w:vAlign w:val="bottom"/>
          </w:tcPr>
          <w:p>
            <w:pPr>
              <w:spacing w:after="0"/>
              <w:rPr>
                <w:sz w:val="1"/>
                <w:szCs w:val="1"/>
                <w:color w:val="auto"/>
              </w:rPr>
            </w:pPr>
          </w:p>
        </w:tc>
      </w:tr>
      <w:tr>
        <w:trPr>
          <w:trHeight w:val="274"/>
        </w:trPr>
        <w:tc>
          <w:tcPr>
            <w:tcW w:w="5760" w:type="dxa"/>
            <w:vAlign w:val="bottom"/>
          </w:tcPr>
          <w:p>
            <w:pPr>
              <w:ind w:left="260"/>
              <w:spacing w:after="0"/>
              <w:rPr>
                <w:sz w:val="20"/>
                <w:szCs w:val="20"/>
                <w:color w:val="auto"/>
              </w:rPr>
            </w:pPr>
            <w:r>
              <w:rPr>
                <w:rFonts w:ascii="Arial" w:cs="Arial" w:eastAsia="Arial" w:hAnsi="Arial"/>
                <w:sz w:val="22"/>
                <w:szCs w:val="22"/>
                <w:color w:val="auto"/>
              </w:rPr>
              <w:t>Debt (appreciation) depreciation</w:t>
            </w:r>
          </w:p>
        </w:tc>
        <w:tc>
          <w:tcPr>
            <w:tcW w:w="12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(2,137,862 )</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6"/>
              </w:rPr>
              <w:t>(2,408,132 )</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6"/>
              </w:rPr>
              <w:t>(2,423,726 )</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15,566,671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4"/>
              </w:rPr>
              <w:t>Net change in unrealized (depreciation) appreciation on</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1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22"/>
                <w:szCs w:val="22"/>
                <w:color w:val="auto"/>
                <w:w w:val="95"/>
              </w:rPr>
              <w:t>(3,829,106)</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55,546,391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41,408,217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w w:val="96"/>
              </w:rPr>
              <w:t>17,662,399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line="212" w:lineRule="exact"/>
              <w:rPr>
                <w:sz w:val="20"/>
                <w:szCs w:val="20"/>
                <w:color w:val="auto"/>
              </w:rPr>
            </w:pPr>
            <w:r>
              <w:rPr>
                <w:rFonts w:ascii="Arial" w:cs="Arial" w:eastAsia="Arial" w:hAnsi="Arial"/>
                <w:sz w:val="22"/>
                <w:szCs w:val="22"/>
                <w:b w:val="1"/>
                <w:bCs w:val="1"/>
                <w:color w:val="auto"/>
                <w:w w:val="90"/>
              </w:rPr>
              <w:t>Net realized and unrealized gain (loss) from investments and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6,318,655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10,038,924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10,617,907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88"/>
              </w:rPr>
              <w:t>(64,430,049 )</w:t>
            </w:r>
          </w:p>
        </w:tc>
        <w:tc>
          <w:tcPr>
            <w:tcW w:w="0" w:type="dxa"/>
            <w:vAlign w:val="bottom"/>
          </w:tcPr>
          <w:p>
            <w:pPr>
              <w:spacing w:after="0"/>
              <w:rPr>
                <w:sz w:val="1"/>
                <w:szCs w:val="1"/>
                <w:color w:val="auto"/>
              </w:rPr>
            </w:pPr>
          </w:p>
        </w:tc>
      </w:tr>
      <w:tr>
        <w:trPr>
          <w:trHeight w:val="213"/>
        </w:trPr>
        <w:tc>
          <w:tcPr>
            <w:tcW w:w="5760" w:type="dxa"/>
            <w:vAlign w:val="bottom"/>
          </w:tcPr>
          <w:p>
            <w:pPr>
              <w:spacing w:after="0" w:line="21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120" w:type="dxa"/>
            <w:vAlign w:val="bottom"/>
          </w:tcPr>
          <w:p>
            <w:pPr>
              <w:spacing w:after="0"/>
              <w:rPr>
                <w:sz w:val="20"/>
                <w:szCs w:val="20"/>
                <w:color w:val="auto"/>
              </w:rPr>
            </w:pPr>
            <w:r>
              <w:rPr>
                <w:rFonts w:ascii="Arial" w:cs="Arial" w:eastAsia="Arial" w:hAnsi="Arial"/>
                <w:sz w:val="22"/>
                <w:szCs w:val="22"/>
                <w:u w:val="single" w:color="auto"/>
                <w:color w:val="auto"/>
                <w:w w:val="81"/>
              </w:rPr>
              <w:t>$</w:t>
            </w:r>
          </w:p>
        </w:tc>
        <w:tc>
          <w:tcPr>
            <w:tcW w:w="1000" w:type="dxa"/>
            <w:vAlign w:val="bottom"/>
          </w:tcPr>
          <w:p>
            <w:pPr>
              <w:jc w:val="right"/>
              <w:spacing w:after="0"/>
              <w:rPr>
                <w:sz w:val="20"/>
                <w:szCs w:val="20"/>
                <w:color w:val="auto"/>
              </w:rPr>
            </w:pPr>
            <w:r>
              <w:rPr>
                <w:rFonts w:ascii="Arial" w:cs="Arial" w:eastAsia="Arial" w:hAnsi="Arial"/>
                <w:sz w:val="22"/>
                <w:szCs w:val="22"/>
                <w:color w:val="auto"/>
                <w:w w:val="88"/>
              </w:rPr>
              <w:t>18,779,065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27,832,874</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54,287,861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tcPr>
          <w:p>
            <w:pPr>
              <w:jc w:val="right"/>
              <w:spacing w:after="0"/>
              <w:rPr>
                <w:sz w:val="20"/>
                <w:szCs w:val="20"/>
                <w:color w:val="auto"/>
              </w:rPr>
            </w:pPr>
            <w:r>
              <w:rPr>
                <w:rFonts w:ascii="Arial" w:cs="Arial" w:eastAsia="Arial" w:hAnsi="Arial"/>
                <w:sz w:val="22"/>
                <w:szCs w:val="22"/>
                <w:color w:val="auto"/>
                <w:w w:val="97"/>
              </w:rPr>
              <w:t>(8,972,672 )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239" w:lineRule="exact"/>
              <w:rPr>
                <w:sz w:val="20"/>
                <w:szCs w:val="20"/>
                <w:color w:val="auto"/>
              </w:rPr>
            </w:pPr>
            <w:r>
              <w:rPr>
                <w:rFonts w:ascii="Arial" w:cs="Arial" w:eastAsia="Arial" w:hAnsi="Arial"/>
                <w:sz w:val="22"/>
                <w:szCs w:val="22"/>
                <w:color w:val="auto"/>
                <w:w w:val="93"/>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60" w:type="dxa"/>
            <w:vAlign w:val="bottom"/>
            <w:vMerge w:val="continue"/>
          </w:tcPr>
          <w:p>
            <w:pPr>
              <w:spacing w:after="0"/>
              <w:rPr>
                <w:sz w:val="19"/>
                <w:szCs w:val="19"/>
                <w:color w:val="auto"/>
              </w:rPr>
            </w:pPr>
          </w:p>
        </w:tc>
        <w:tc>
          <w:tcPr>
            <w:tcW w:w="120" w:type="dxa"/>
            <w:vAlign w:val="bottom"/>
            <w:vMerge w:val="restart"/>
          </w:tcPr>
          <w:p>
            <w:pPr>
              <w:spacing w:after="0"/>
              <w:rPr>
                <w:sz w:val="20"/>
                <w:szCs w:val="20"/>
                <w:color w:val="auto"/>
              </w:rPr>
            </w:pPr>
            <w:r>
              <w:rPr>
                <w:rFonts w:ascii="Arial" w:cs="Arial" w:eastAsia="Arial" w:hAnsi="Arial"/>
                <w:sz w:val="22"/>
                <w:szCs w:val="22"/>
                <w:color w:val="auto"/>
                <w:w w:val="81"/>
              </w:rPr>
              <w:t>$</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0.26</w:t>
            </w:r>
          </w:p>
        </w:tc>
        <w:tc>
          <w:tcPr>
            <w:tcW w:w="2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0.39</w:t>
            </w:r>
          </w:p>
        </w:tc>
        <w:tc>
          <w:tcPr>
            <w:tcW w:w="1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0.77</w:t>
            </w:r>
          </w:p>
        </w:tc>
        <w:tc>
          <w:tcPr>
            <w:tcW w:w="1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80" w:type="dxa"/>
            <w:vAlign w:val="bottom"/>
            <w:gridSpan w:val="2"/>
            <w:vMerge w:val="restart"/>
          </w:tcPr>
          <w:p>
            <w:pPr>
              <w:jc w:val="right"/>
              <w:spacing w:after="0"/>
              <w:rPr>
                <w:sz w:val="20"/>
                <w:szCs w:val="20"/>
                <w:color w:val="auto"/>
              </w:rPr>
            </w:pPr>
            <w:r>
              <w:rPr>
                <w:rFonts w:ascii="Arial" w:cs="Arial" w:eastAsia="Arial" w:hAnsi="Arial"/>
                <w:sz w:val="22"/>
                <w:szCs w:val="22"/>
                <w:color w:val="auto"/>
              </w:rPr>
              <w:t>(0.12 )</w:t>
            </w:r>
          </w:p>
        </w:tc>
        <w:tc>
          <w:tcPr>
            <w:tcW w:w="0" w:type="dxa"/>
            <w:vAlign w:val="bottom"/>
          </w:tcPr>
          <w:p>
            <w:pPr>
              <w:spacing w:after="0"/>
              <w:rPr>
                <w:sz w:val="1"/>
                <w:szCs w:val="1"/>
                <w:color w:val="auto"/>
              </w:rPr>
            </w:pPr>
          </w:p>
        </w:tc>
      </w:tr>
      <w:tr>
        <w:trPr>
          <w:trHeight w:val="251"/>
        </w:trPr>
        <w:tc>
          <w:tcPr>
            <w:tcW w:w="5760" w:type="dxa"/>
            <w:vAlign w:val="bottom"/>
          </w:tcPr>
          <w:p>
            <w:pPr>
              <w:spacing w:after="0" w:line="251" w:lineRule="exact"/>
              <w:rPr>
                <w:sz w:val="20"/>
                <w:szCs w:val="20"/>
                <w:color w:val="auto"/>
              </w:rPr>
            </w:pPr>
            <w:r>
              <w:rPr>
                <w:rFonts w:ascii="Arial" w:cs="Arial" w:eastAsia="Arial" w:hAnsi="Arial"/>
                <w:sz w:val="22"/>
                <w:szCs w:val="22"/>
                <w:color w:val="auto"/>
              </w:rPr>
              <w:t>per common share</w:t>
            </w:r>
          </w:p>
        </w:tc>
        <w:tc>
          <w:tcPr>
            <w:tcW w:w="1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76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0.18</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0.25</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0.61</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primarily invests in U.S. middle-market companies in the form of senior secured debt, mezzanine debt and, to a lesser extent,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w:t>
      </w:r>
    </w:p>
    <w:p>
      <w:pPr>
        <w:sectPr>
          <w:pgSz w:w="11900" w:h="16838" w:orient="portrait"/>
          <w:cols w:equalWidth="0" w:num="1">
            <w:col w:w="11240"/>
          </w:cols>
          <w:pgMar w:left="320" w:top="111" w:right="339" w:bottom="0" w:gutter="0" w:footer="0" w:header="0"/>
        </w:sectPr>
      </w:pPr>
    </w:p>
    <w:bookmarkStart w:id="9" w:name="page10"/>
    <w:bookmarkEnd w:id="9"/>
    <w:p>
      <w:pPr>
        <w:jc w:val="both"/>
        <w:ind w:right="20"/>
        <w:spacing w:after="0" w:line="251" w:lineRule="auto"/>
        <w:rPr>
          <w:sz w:val="20"/>
          <w:szCs w:val="20"/>
          <w:color w:val="auto"/>
        </w:rPr>
      </w:pPr>
      <w:r>
        <w:rPr>
          <w:rFonts w:ascii="Arial" w:cs="Arial" w:eastAsia="Arial" w:hAnsi="Arial"/>
          <w:sz w:val="22"/>
          <w:szCs w:val="22"/>
          <w:color w:val="auto"/>
        </w:rPr>
        <w:t>herein. You should not place undue influence on such forward-looking statements as such statements speak only as of the date on which they are made.</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2020-05-05T15:07:23Z</dcterms:created>
  <dcterms:modified xsi:type="dcterms:W3CDTF">2020-05-05T15:07:23Z</dcterms:modified>
</cp:coreProperties>
</file>