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149860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169545</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93"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 ENDED DECEMBER 31, 2008</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57"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3280" w:type="dxa"/>
            <w:vAlign w:val="bottom"/>
          </w:tcPr>
          <w:p>
            <w:pPr>
              <w:spacing w:after="0"/>
              <w:rPr>
                <w:sz w:val="20"/>
                <w:szCs w:val="20"/>
                <w:color w:val="auto"/>
              </w:rPr>
            </w:pPr>
            <w:r>
              <w:rPr>
                <w:rFonts w:ascii="Arial" w:cs="Arial" w:eastAsia="Arial" w:hAnsi="Arial"/>
                <w:sz w:val="18"/>
                <w:szCs w:val="18"/>
                <w:b w:val="1"/>
                <w:bCs w:val="1"/>
                <w:color w:val="auto"/>
                <w:w w:val="99"/>
              </w:rPr>
              <w:t>FOR THE TRANSITION PERIOD FROM</w:t>
            </w:r>
          </w:p>
        </w:tc>
        <w:tc>
          <w:tcPr>
            <w:tcW w:w="540" w:type="dxa"/>
            <w:vAlign w:val="bottom"/>
            <w:tcBorders>
              <w:bottom w:val="single" w:sz="8" w:color="auto"/>
            </w:tcBorders>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20" w:type="dxa"/>
            <w:vAlign w:val="bottom"/>
            <w:tcBorders>
              <w:bottom w:val="single" w:sz="8" w:color="auto"/>
            </w:tcBorders>
          </w:tcPr>
          <w:p>
            <w:pPr>
              <w:spacing w:after="0"/>
              <w:rPr>
                <w:sz w:val="17"/>
                <w:szCs w:val="17"/>
                <w:color w:val="auto"/>
              </w:rPr>
            </w:pPr>
          </w:p>
        </w:tc>
        <w:tc>
          <w:tcPr>
            <w:tcW w:w="2140" w:type="dxa"/>
            <w:vAlign w:val="bottom"/>
          </w:tcPr>
          <w:p>
            <w:pPr>
              <w:spacing w:after="0"/>
              <w:rPr>
                <w:sz w:val="17"/>
                <w:szCs w:val="17"/>
                <w:color w:val="auto"/>
              </w:rPr>
            </w:pPr>
          </w:p>
        </w:tc>
      </w:tr>
      <w:tr>
        <w:trPr>
          <w:trHeight w:val="369"/>
        </w:trPr>
        <w:tc>
          <w:tcPr>
            <w:tcW w:w="3280" w:type="dxa"/>
            <w:vAlign w:val="bottom"/>
          </w:tcPr>
          <w:p>
            <w:pPr>
              <w:spacing w:after="0"/>
              <w:rPr>
                <w:sz w:val="24"/>
                <w:szCs w:val="24"/>
                <w:color w:val="auto"/>
              </w:rPr>
            </w:pPr>
          </w:p>
        </w:tc>
        <w:tc>
          <w:tcPr>
            <w:tcW w:w="3540" w:type="dxa"/>
            <w:vAlign w:val="bottom"/>
            <w:gridSpan w:val="4"/>
          </w:tcPr>
          <w:p>
            <w:pPr>
              <w:ind w:left="220"/>
              <w:spacing w:after="0"/>
              <w:rPr>
                <w:sz w:val="20"/>
                <w:szCs w:val="20"/>
                <w:color w:val="auto"/>
              </w:rPr>
            </w:pPr>
            <w:r>
              <w:rPr>
                <w:rFonts w:ascii="Arial" w:cs="Arial" w:eastAsia="Arial" w:hAnsi="Arial"/>
                <w:sz w:val="18"/>
                <w:szCs w:val="18"/>
                <w:b w:val="1"/>
                <w:bCs w:val="1"/>
                <w:color w:val="auto"/>
                <w:w w:val="96"/>
              </w:rPr>
              <w:t>COMMISSION FILE NUMBER: 814-00736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147320</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CORPORATION</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153035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95"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Identification No.)</w:t>
            </w:r>
          </w:p>
        </w:tc>
      </w:tr>
      <w:tr>
        <w:trPr>
          <w:trHeight w:val="37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6"/>
              </w:rPr>
              <w:t>590 Madison Avenue, 15</w:t>
            </w:r>
            <w:r>
              <w:rPr>
                <w:rFonts w:ascii="Arial" w:cs="Arial" w:eastAsia="Arial" w:hAnsi="Arial"/>
                <w:sz w:val="22"/>
                <w:szCs w:val="22"/>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506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(Zip Code)</w:t>
            </w:r>
          </w:p>
        </w:tc>
      </w:tr>
      <w:tr>
        <w:trPr>
          <w:trHeight w:val="325"/>
        </w:trPr>
        <w:tc>
          <w:tcPr>
            <w:tcW w:w="2380" w:type="dxa"/>
            <w:vAlign w:val="bottom"/>
          </w:tcPr>
          <w:p>
            <w:pPr>
              <w:spacing w:after="0"/>
              <w:rPr>
                <w:sz w:val="24"/>
                <w:szCs w:val="24"/>
                <w:color w:val="auto"/>
              </w:rPr>
            </w:pPr>
          </w:p>
        </w:tc>
        <w:tc>
          <w:tcPr>
            <w:tcW w:w="5060" w:type="dxa"/>
            <w:vAlign w:val="bottom"/>
          </w:tcPr>
          <w:p>
            <w:pPr>
              <w:jc w:val="right"/>
              <w:ind w:right="282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60" w:type="dxa"/>
            <w:vAlign w:val="bottom"/>
          </w:tcPr>
          <w:p>
            <w:pPr>
              <w:jc w:val="center"/>
              <w:ind w:right="176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137160</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37" w:lineRule="exact"/>
        <w:rPr>
          <w:sz w:val="24"/>
          <w:szCs w:val="24"/>
          <w:color w:val="auto"/>
        </w:rPr>
      </w:pPr>
    </w:p>
    <w:p>
      <w:pPr>
        <w:ind w:right="120" w:firstLine="449"/>
        <w:spacing w:after="0" w:line="22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10"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18"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99" w:lineRule="exact"/>
        <w:rPr>
          <w:sz w:val="24"/>
          <w:szCs w:val="24"/>
          <w:color w:val="auto"/>
        </w:rPr>
      </w:pPr>
    </w:p>
    <w:p>
      <w:pPr>
        <w:sectPr>
          <w:pgSz w:w="11900" w:h="16838" w:orient="portrait"/>
          <w:cols w:equalWidth="0" w:num="4">
            <w:col w:w="8440" w:space="160"/>
            <w:col w:w="260" w:space="80"/>
            <w:col w:w="160" w:space="180"/>
            <w:col w:w="1960"/>
          </w:cols>
          <w:pgMar w:left="320" w:top="230" w:right="3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January 29, 2009 was 21,068,772.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940" w:type="dxa"/>
            <w:vAlign w:val="bottom"/>
            <w:gridSpan w:val="4"/>
          </w:tcPr>
          <w:p>
            <w:pPr>
              <w:jc w:val="center"/>
              <w:ind w:right="1800"/>
              <w:spacing w:after="0"/>
              <w:rPr>
                <w:rFonts w:ascii="Arial" w:cs="Arial" w:eastAsia="Arial" w:hAnsi="Arial"/>
                <w:sz w:val="18"/>
                <w:szCs w:val="18"/>
                <w:b w:val="1"/>
                <w:bCs w:val="1"/>
                <w:u w:val="single" w:color="auto"/>
                <w:color w:val="0000EE"/>
                <w:w w:val="99"/>
              </w:rPr>
            </w:pPr>
            <w:hyperlink w:anchor="page3">
              <w:r>
                <w:rPr>
                  <w:rFonts w:ascii="Arial" w:cs="Arial" w:eastAsia="Arial" w:hAnsi="Arial"/>
                  <w:sz w:val="18"/>
                  <w:szCs w:val="18"/>
                  <w:b w:val="1"/>
                  <w:bCs w:val="1"/>
                  <w:u w:val="single" w:color="auto"/>
                  <w:color w:val="0000EE"/>
                  <w:w w:val="99"/>
                </w:rPr>
                <w:t>PART I. FINANCIAL INFORMATION</w:t>
              </w:r>
            </w:hyperlink>
          </w:p>
        </w:tc>
        <w:tc>
          <w:tcPr>
            <w:tcW w:w="440" w:type="dxa"/>
            <w:vAlign w:val="bottom"/>
          </w:tcPr>
          <w:p>
            <w:pPr>
              <w:spacing w:after="0"/>
              <w:rPr>
                <w:sz w:val="19"/>
                <w:szCs w:val="19"/>
                <w:color w:val="auto"/>
              </w:rPr>
            </w:pP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440" w:type="dxa"/>
            <w:vAlign w:val="bottom"/>
          </w:tcPr>
          <w:p>
            <w:pPr>
              <w:spacing w:after="0"/>
              <w:rPr>
                <w:sz w:val="24"/>
                <w:szCs w:val="24"/>
                <w:color w:val="auto"/>
              </w:rPr>
            </w:pPr>
          </w:p>
        </w:tc>
        <w:tc>
          <w:tcPr>
            <w:tcW w:w="10360" w:type="dxa"/>
            <w:vAlign w:val="bottom"/>
            <w:gridSpan w:val="8"/>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Assets and Liabilities as of December 31, 2008 (unaudited) and September 30, 2008</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6"/>
        </w:trPr>
        <w:tc>
          <w:tcPr>
            <w:tcW w:w="440" w:type="dxa"/>
            <w:vAlign w:val="bottom"/>
          </w:tcPr>
          <w:p>
            <w:pPr>
              <w:spacing w:after="0"/>
              <w:rPr>
                <w:sz w:val="24"/>
                <w:szCs w:val="24"/>
                <w:color w:val="auto"/>
              </w:rPr>
            </w:pPr>
          </w:p>
        </w:tc>
        <w:tc>
          <w:tcPr>
            <w:tcW w:w="10360" w:type="dxa"/>
            <w:vAlign w:val="bottom"/>
            <w:gridSpan w:val="8"/>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Statements of Operations for the three months ended December 31, 2008 (unaudited) and for the three months ended December 31,</w:t>
              </w:r>
            </w:hyperlink>
          </w:p>
        </w:tc>
        <w:tc>
          <w:tcPr>
            <w:tcW w:w="4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2007(unaudited)</w:t>
              </w:r>
            </w:hyperlink>
          </w:p>
        </w:tc>
        <w:tc>
          <w:tcPr>
            <w:tcW w:w="7880" w:type="dxa"/>
            <w:vAlign w:val="bottom"/>
            <w:tcBorders>
              <w:top w:val="single" w:sz="8" w:color="0000EE"/>
            </w:tcBorders>
            <w:gridSpan w:val="2"/>
          </w:tcPr>
          <w:p>
            <w:pPr>
              <w:spacing w:after="0"/>
              <w:rPr>
                <w:sz w:val="17"/>
                <w:szCs w:val="17"/>
                <w:color w:val="auto"/>
              </w:rPr>
            </w:pPr>
          </w:p>
        </w:tc>
        <w:tc>
          <w:tcPr>
            <w:tcW w:w="110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10360" w:type="dxa"/>
            <w:vAlign w:val="bottom"/>
            <w:gridSpan w:val="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Statements of Changes in Net Assets for the three months ended December 31, 2008 (unaudited) and for the three months ended December 31,</w:t>
              </w:r>
            </w:hyperlink>
          </w:p>
        </w:tc>
        <w:tc>
          <w:tcPr>
            <w:tcW w:w="4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2007 (unaudited)</w:t>
              </w:r>
            </w:hyperlink>
          </w:p>
        </w:tc>
        <w:tc>
          <w:tcPr>
            <w:tcW w:w="8660" w:type="dxa"/>
            <w:vAlign w:val="bottom"/>
            <w:tcBorders>
              <w:top w:val="single" w:sz="8" w:color="0000EE"/>
            </w:tcBorders>
            <w:gridSpan w:val="3"/>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97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Statements of Cash Flows for the three months ended December 31, 2008 (unaudited) and for the three months ended December 31, 2007</w:t>
              </w:r>
            </w:hyperlink>
          </w:p>
        </w:tc>
        <w:tc>
          <w:tcPr>
            <w:tcW w:w="64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3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2"/>
        </w:trPr>
        <w:tc>
          <w:tcPr>
            <w:tcW w:w="440" w:type="dxa"/>
            <w:vAlign w:val="bottom"/>
          </w:tcPr>
          <w:p>
            <w:pPr>
              <w:spacing w:after="0"/>
              <w:rPr>
                <w:sz w:val="24"/>
                <w:szCs w:val="24"/>
                <w:color w:val="auto"/>
              </w:rPr>
            </w:pPr>
          </w:p>
        </w:tc>
        <w:tc>
          <w:tcPr>
            <w:tcW w:w="10360" w:type="dxa"/>
            <w:vAlign w:val="bottom"/>
            <w:gridSpan w:val="8"/>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Schedules of Investments as of December 31, 2008 (unaudited) and September 30, 2008</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40" w:type="dxa"/>
            <w:vAlign w:val="bottom"/>
          </w:tcPr>
          <w:p>
            <w:pPr>
              <w:spacing w:after="0"/>
              <w:rPr>
                <w:sz w:val="24"/>
                <w:szCs w:val="24"/>
                <w:color w:val="auto"/>
              </w:rPr>
            </w:pPr>
          </w:p>
        </w:tc>
        <w:tc>
          <w:tcPr>
            <w:tcW w:w="10360" w:type="dxa"/>
            <w:vAlign w:val="bottom"/>
            <w:gridSpan w:val="8"/>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Notes to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40" w:type="dxa"/>
            <w:vAlign w:val="bottom"/>
          </w:tcPr>
          <w:p>
            <w:pPr>
              <w:spacing w:after="0"/>
              <w:rPr>
                <w:sz w:val="24"/>
                <w:szCs w:val="24"/>
                <w:color w:val="auto"/>
              </w:rPr>
            </w:pPr>
          </w:p>
        </w:tc>
        <w:tc>
          <w:tcPr>
            <w:tcW w:w="10360" w:type="dxa"/>
            <w:vAlign w:val="bottom"/>
            <w:gridSpan w:val="8"/>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Report of Independent Registered Public Accounting Firm</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3. 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4. 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43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40" w:type="dxa"/>
            <w:vAlign w:val="bottom"/>
            <w:gridSpan w:val="4"/>
          </w:tcPr>
          <w:p>
            <w:pPr>
              <w:jc w:val="center"/>
              <w:ind w:right="1800"/>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PART II. OTHER INFORMATION</w:t>
              </w:r>
            </w:hyperlink>
          </w:p>
        </w:tc>
        <w:tc>
          <w:tcPr>
            <w:tcW w:w="440" w:type="dxa"/>
            <w:vAlign w:val="bottom"/>
          </w:tcPr>
          <w:p>
            <w:pPr>
              <w:spacing w:after="0"/>
              <w:rPr>
                <w:sz w:val="24"/>
                <w:szCs w:val="24"/>
                <w:color w:val="auto"/>
              </w:rPr>
            </w:pP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1. Legal Proceedings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1A. Risk Factors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2. 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3. 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4. Submission of Matters to a Vote of Security Holders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5. Other Information</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6. Exhibits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24"/>
        </w:trPr>
        <w:tc>
          <w:tcPr>
            <w:tcW w:w="10800" w:type="dxa"/>
            <w:vAlign w:val="bottom"/>
            <w:gridSpan w:val="9"/>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I—FINANCIAL INFORMATION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filing this Report in compliance with Rule 13a-13 promulgated by the SEC. In this Report, “PennantPark Investment”, “we”, “our” and “us” refer to PennantPark Investment Corporation unless the context otherwise requires.</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320" w:top="459" w:right="6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0" w:type="dxa"/>
            <w:vAlign w:val="bottom"/>
          </w:tcPr>
          <w:p>
            <w:pPr>
              <w:spacing w:after="0"/>
              <w:rPr>
                <w:sz w:val="24"/>
                <w:szCs w:val="24"/>
                <w:color w:val="auto"/>
              </w:rPr>
            </w:pPr>
          </w:p>
        </w:tc>
        <w:tc>
          <w:tcPr>
            <w:tcW w:w="7380" w:type="dxa"/>
            <w:vAlign w:val="bottom"/>
          </w:tcPr>
          <w:p>
            <w:pPr>
              <w:ind w:left="2840"/>
              <w:spacing w:after="0"/>
              <w:rPr>
                <w:sz w:val="20"/>
                <w:szCs w:val="20"/>
                <w:color w:val="auto"/>
              </w:rPr>
            </w:pPr>
            <w:r>
              <w:rPr>
                <w:rFonts w:ascii="Arial" w:cs="Arial" w:eastAsia="Arial" w:hAnsi="Arial"/>
                <w:sz w:val="18"/>
                <w:szCs w:val="18"/>
                <w:b w:val="1"/>
                <w:bCs w:val="1"/>
                <w:color w:val="auto"/>
              </w:rPr>
              <w:t>PENNANTPARK INVESTMENT CORPORATION</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7380" w:type="dxa"/>
            <w:vAlign w:val="bottom"/>
          </w:tcPr>
          <w:p>
            <w:pPr>
              <w:ind w:left="2940"/>
              <w:spacing w:after="0"/>
              <w:rPr>
                <w:sz w:val="20"/>
                <w:szCs w:val="20"/>
                <w:color w:val="auto"/>
              </w:rPr>
            </w:pPr>
            <w:r>
              <w:rPr>
                <w:rFonts w:ascii="Arial" w:cs="Arial" w:eastAsia="Arial" w:hAnsi="Arial"/>
                <w:sz w:val="18"/>
                <w:szCs w:val="18"/>
                <w:b w:val="1"/>
                <w:bCs w:val="1"/>
                <w:color w:val="auto"/>
              </w:rPr>
              <w:t>STATEMENTS OF ASSETS AND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December 31, 2008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(unaudited)</w:t>
            </w:r>
          </w:p>
        </w:tc>
        <w:tc>
          <w:tcPr>
            <w:tcW w:w="2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w w:val="97"/>
              </w:rPr>
              <w:t>September 30, 2008</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0" w:type="dxa"/>
            <w:vAlign w:val="bottom"/>
            <w:shd w:val="clear" w:color="auto" w:fill="CCEEFF"/>
          </w:tcPr>
          <w:p>
            <w:pPr>
              <w:spacing w:after="0"/>
              <w:rPr>
                <w:sz w:val="18"/>
                <w:szCs w:val="18"/>
                <w:color w:val="auto"/>
              </w:rPr>
            </w:pPr>
          </w:p>
        </w:tc>
        <w:tc>
          <w:tcPr>
            <w:tcW w:w="7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Non-controlled, non-affiliated investments, at fair value (cost—$426,340,080 and $427,481,745,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shd w:val="clear" w:color="auto" w:fill="CCEEFF"/>
          </w:tcPr>
          <w:p>
            <w:pPr>
              <w:spacing w:after="0"/>
              <w:rPr>
                <w:sz w:val="19"/>
                <w:szCs w:val="19"/>
                <w:color w:val="auto"/>
              </w:rPr>
            </w:pPr>
          </w:p>
        </w:tc>
        <w:tc>
          <w:tcPr>
            <w:tcW w:w="7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312,457,194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354,261,950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7380" w:type="dxa"/>
            <w:vAlign w:val="bottom"/>
          </w:tcPr>
          <w:p>
            <w:pPr>
              <w:ind w:left="60"/>
              <w:spacing w:after="0"/>
              <w:rPr>
                <w:sz w:val="20"/>
                <w:szCs w:val="20"/>
                <w:color w:val="auto"/>
              </w:rPr>
            </w:pPr>
            <w:r>
              <w:rPr>
                <w:rFonts w:ascii="Arial" w:cs="Arial" w:eastAsia="Arial" w:hAnsi="Arial"/>
                <w:sz w:val="18"/>
                <w:szCs w:val="18"/>
                <w:color w:val="auto"/>
              </w:rPr>
              <w:t>Non-controlled, affiliated investments, at fair value (cost—$16,855,758 and $16,692,261,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0" w:type="dxa"/>
            <w:vAlign w:val="bottom"/>
          </w:tcPr>
          <w:p>
            <w:pPr>
              <w:spacing w:after="0"/>
              <w:rPr>
                <w:sz w:val="20"/>
                <w:szCs w:val="20"/>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16,356,181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17,885,870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328,813,375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372,147,820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Cash equivalents (cost—$601,540 and $40,249,201, respectively)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601,540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40,249,201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5,830,272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336,482,292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419,810,699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20"/>
                <w:szCs w:val="20"/>
                <w:color w:val="auto"/>
              </w:rPr>
            </w:pPr>
            <w:r>
              <w:rPr>
                <w:rFonts w:ascii="Arial" w:cs="Arial" w:eastAsia="Arial" w:hAnsi="Arial"/>
                <w:sz w:val="18"/>
                <w:szCs w:val="18"/>
                <w:b w:val="1"/>
                <w:bCs w:val="1"/>
                <w:color w:val="auto"/>
                <w:w w:val="96"/>
              </w:rPr>
              <w:t>Liabilities</w:t>
            </w:r>
          </w:p>
        </w:tc>
        <w:tc>
          <w:tcPr>
            <w:tcW w:w="7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5,056,505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278,533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Credit facility payable (fair value-$109,885,306 and $160,204,000, respectively) (see note 8) (cost-$157,400,000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109,885,306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$202,000,000, respectively) (see note 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805,359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1,820,188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1,441,982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1,483,388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738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120,771,261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209,082,439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Net Assets</w:t>
            </w:r>
          </w:p>
        </w:tc>
        <w:tc>
          <w:tcPr>
            <w:tcW w:w="7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00" w:type="dxa"/>
            <w:vAlign w:val="bottom"/>
            <w:gridSpan w:val="2"/>
          </w:tcPr>
          <w:p>
            <w:pPr>
              <w:spacing w:after="0"/>
              <w:rPr>
                <w:sz w:val="20"/>
                <w:szCs w:val="20"/>
                <w:color w:val="auto"/>
              </w:rPr>
            </w:pPr>
            <w:r>
              <w:rPr>
                <w:rFonts w:ascii="Arial" w:cs="Arial" w:eastAsia="Arial" w:hAnsi="Arial"/>
                <w:sz w:val="18"/>
                <w:szCs w:val="18"/>
                <w:color w:val="auto"/>
                <w:w w:val="92"/>
              </w:rPr>
              <w:t>Common stock, par value $0.001 per share, 100,000,000 shares authorized and 21,068,772 shares issued and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21,069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ind w:left="22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294,586,604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294,586,604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108,764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 – Cumulative effect of adoption of fair value option (credit facility)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41,796,000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Accumulated net realized loss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(12,137,637)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(11,250,567)</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unrealized depreciation on investments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(114,382,463)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(72,026,186)</w:t>
            </w:r>
          </w:p>
        </w:tc>
        <w:tc>
          <w:tcPr>
            <w:tcW w:w="0" w:type="dxa"/>
            <w:vAlign w:val="bottom"/>
          </w:tcPr>
          <w:p>
            <w:pPr>
              <w:spacing w:after="0"/>
              <w:rPr>
                <w:sz w:val="1"/>
                <w:szCs w:val="1"/>
                <w:color w:val="auto"/>
              </w:rPr>
            </w:pPr>
          </w:p>
        </w:tc>
      </w:tr>
      <w:tr>
        <w:trPr>
          <w:trHeight w:val="223"/>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Net unrealized appreciation on credit facility</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5,718,694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215,711,031</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210,728,260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3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Total liabilities and net assets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336,482,292</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419,810,699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8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jc w:val="right"/>
              <w:ind w:right="86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December 31, 2008</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2"/>
              </w:rPr>
              <w:t>December 31,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9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11,359,547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236,706</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115,757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364,499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12,076,509</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9,003,608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Base management fee (see note 3)</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1,820,188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1,640,365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1,441,982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Interest and other credit facility expenses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1,837,220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1,097,107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620,402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588,788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628,232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Expenses before base management fee waiver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6,308,580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40"/>
              <w:spacing w:after="0"/>
              <w:rPr>
                <w:sz w:val="20"/>
                <w:szCs w:val="20"/>
                <w:color w:val="auto"/>
              </w:rPr>
            </w:pPr>
            <w:r>
              <w:rPr>
                <w:rFonts w:ascii="Arial" w:cs="Arial" w:eastAsia="Arial" w:hAnsi="Arial"/>
                <w:sz w:val="18"/>
                <w:szCs w:val="18"/>
                <w:color w:val="auto"/>
              </w:rPr>
              <w:t>Base management fee waiver</w:t>
            </w: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(205,047)</w:t>
            </w:r>
          </w:p>
        </w:tc>
        <w:tc>
          <w:tcPr>
            <w:tcW w:w="0" w:type="dxa"/>
            <w:vAlign w:val="bottom"/>
          </w:tcPr>
          <w:p>
            <w:pPr>
              <w:spacing w:after="0"/>
              <w:rPr>
                <w:sz w:val="1"/>
                <w:szCs w:val="1"/>
                <w:color w:val="auto"/>
              </w:rPr>
            </w:pPr>
          </w:p>
        </w:tc>
      </w:tr>
      <w:tr>
        <w:trPr>
          <w:trHeight w:val="28"/>
        </w:trPr>
        <w:tc>
          <w:tcPr>
            <w:tcW w:w="7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expenses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6,308,580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5,767,929</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4,731,879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Realized and unrealized gain (loss) on investments, cash equivalents and credit facility:</w:t>
            </w:r>
          </w:p>
        </w:tc>
        <w:tc>
          <w:tcPr>
            <w:tcW w:w="9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realized loss on investments and cash equivalents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(887,070)</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(210,891)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Non-controlled, non-affiliated investments and cash equivalents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(40,663,091)</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5"/>
              </w:rPr>
              <w:t>(15,801,986)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affiliated investments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(1,693,186)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(255,658)</w:t>
            </w: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Credit facility</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5,718,694</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(depreciation)</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(36,637,583)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(16,057,644)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realized and unrealized loss from investments, cash equivalents, and credit facility</w:t>
            </w: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(37,524,653)</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5"/>
              </w:rPr>
              <w:t>(16,268,535)</w:t>
            </w:r>
          </w:p>
        </w:tc>
        <w:tc>
          <w:tcPr>
            <w:tcW w:w="0" w:type="dxa"/>
            <w:vAlign w:val="bottom"/>
          </w:tcPr>
          <w:p>
            <w:pPr>
              <w:spacing w:after="0"/>
              <w:rPr>
                <w:sz w:val="1"/>
                <w:szCs w:val="1"/>
                <w:color w:val="auto"/>
              </w:rPr>
            </w:pPr>
          </w:p>
        </w:tc>
      </w:tr>
      <w:tr>
        <w:trPr>
          <w:trHeight w:val="28"/>
        </w:trPr>
        <w:tc>
          <w:tcPr>
            <w:tcW w:w="7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(31,756,724)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(11,536,656)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Loss per common share (see note 6)</w:t>
            </w: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vMerge w:val="continue"/>
          </w:tcPr>
          <w:p>
            <w:pPr>
              <w:spacing w:after="0"/>
              <w:rPr>
                <w:sz w:val="18"/>
                <w:szCs w:val="18"/>
                <w:color w:val="auto"/>
              </w:rPr>
            </w:pP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82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16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December 31, 2008</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2"/>
              </w:rPr>
              <w:t>December 31,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5,767,929</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4,731,879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(887,070)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(210,891)</w:t>
            </w: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 cash equivalents, and credit facility</w:t>
            </w:r>
          </w:p>
        </w:tc>
        <w:tc>
          <w:tcPr>
            <w:tcW w:w="16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(36,637,583)</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5"/>
              </w:rPr>
              <w:t>(16,057,644)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(31,756,724)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(11,536,656)</w:t>
            </w:r>
          </w:p>
        </w:tc>
        <w:tc>
          <w:tcPr>
            <w:tcW w:w="0" w:type="dxa"/>
            <w:vAlign w:val="bottom"/>
          </w:tcPr>
          <w:p>
            <w:pPr>
              <w:spacing w:after="0"/>
              <w:rPr>
                <w:sz w:val="1"/>
                <w:szCs w:val="1"/>
                <w:color w:val="auto"/>
              </w:rPr>
            </w:pPr>
          </w:p>
        </w:tc>
      </w:tr>
      <w:tr>
        <w:trPr>
          <w:trHeight w:val="323"/>
        </w:trPr>
        <w:tc>
          <w:tcPr>
            <w:tcW w:w="8480" w:type="dxa"/>
            <w:vAlign w:val="bottom"/>
          </w:tcPr>
          <w:p>
            <w:pPr>
              <w:spacing w:after="0"/>
              <w:rPr>
                <w:sz w:val="20"/>
                <w:szCs w:val="20"/>
                <w:color w:val="auto"/>
              </w:rPr>
            </w:pPr>
            <w:r>
              <w:rPr>
                <w:rFonts w:ascii="Arial" w:cs="Arial" w:eastAsia="Arial" w:hAnsi="Arial"/>
                <w:sz w:val="18"/>
                <w:szCs w:val="18"/>
                <w:b w:val="1"/>
                <w:bCs w:val="1"/>
                <w:color w:val="auto"/>
              </w:rPr>
              <w:t>Dividends to Stockholders: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from net investment income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(5,056,505)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(4,635,130)</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dividends</w:t>
            </w: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(5,056,505)</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(4,635,130)</w:t>
            </w:r>
          </w:p>
        </w:tc>
        <w:tc>
          <w:tcPr>
            <w:tcW w:w="0" w:type="dxa"/>
            <w:vAlign w:val="bottom"/>
          </w:tcPr>
          <w:p>
            <w:pPr>
              <w:spacing w:after="0"/>
              <w:rPr>
                <w:sz w:val="1"/>
                <w:szCs w:val="1"/>
                <w:color w:val="auto"/>
              </w:rPr>
            </w:pPr>
          </w:p>
        </w:tc>
      </w:tr>
      <w:tr>
        <w:trPr>
          <w:trHeight w:val="110"/>
        </w:trPr>
        <w:tc>
          <w:tcPr>
            <w:tcW w:w="8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 (credit facility) (see note 8)</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41,796,000</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41,796,000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4,982,771</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5"/>
              </w:rPr>
              <w:t>(16,171,786)</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80" w:type="dxa"/>
            <w:vAlign w:val="bottom"/>
          </w:tcPr>
          <w:p>
            <w:pPr>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210,728,260</w:t>
            </w: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270,393,094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215,711,031</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254,221,308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80" w:type="dxa"/>
            <w:vAlign w:val="bottom"/>
          </w:tcPr>
          <w:p>
            <w:pPr>
              <w:spacing w:after="0"/>
              <w:rPr>
                <w:sz w:val="20"/>
                <w:szCs w:val="20"/>
                <w:color w:val="auto"/>
              </w:rPr>
            </w:pPr>
            <w:r>
              <w:rPr>
                <w:rFonts w:ascii="Arial" w:cs="Arial" w:eastAsia="Arial" w:hAnsi="Arial"/>
                <w:sz w:val="18"/>
                <w:szCs w:val="18"/>
                <w:color w:val="auto"/>
              </w:rPr>
              <w:t>Undistributed (distribution in excess) of net investment income, at period end</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108,764</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(100,020)</w:t>
            </w:r>
          </w:p>
        </w:tc>
        <w:tc>
          <w:tcPr>
            <w:tcW w:w="0" w:type="dxa"/>
            <w:vAlign w:val="bottom"/>
          </w:tcPr>
          <w:p>
            <w:pPr>
              <w:spacing w:after="0"/>
              <w:rPr>
                <w:sz w:val="1"/>
                <w:szCs w:val="1"/>
                <w:color w:val="auto"/>
              </w:rPr>
            </w:pPr>
          </w:p>
        </w:tc>
      </w:tr>
      <w:tr>
        <w:trPr>
          <w:trHeight w:val="378"/>
        </w:trPr>
        <w:tc>
          <w:tcPr>
            <w:tcW w:w="8480" w:type="dxa"/>
            <w:vAlign w:val="bottom"/>
          </w:tcPr>
          <w:p>
            <w:pPr>
              <w:ind w:left="3960"/>
              <w:spacing w:after="0"/>
              <w:rPr>
                <w:sz w:val="20"/>
                <w:szCs w:val="20"/>
                <w:color w:val="auto"/>
              </w:rPr>
            </w:pPr>
            <w:r>
              <w:rPr>
                <w:rFonts w:ascii="Arial" w:cs="Arial" w:eastAsia="Arial" w:hAnsi="Arial"/>
                <w:sz w:val="18"/>
                <w:szCs w:val="18"/>
                <w:color w:val="auto"/>
              </w:rPr>
              <w:t>SEE NOTES TO FINANCIAL STATEMENTS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80" w:type="dxa"/>
            <w:vAlign w:val="bottom"/>
          </w:tcPr>
          <w:p>
            <w:pPr>
              <w:ind w:left="55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jc w:val="right"/>
              <w:ind w:right="84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December 31, 2008</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2"/>
              </w:rPr>
              <w:t>December 31,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Net decrease in net assets resulting from operations</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(31,756,724)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(11,536,656)</w:t>
            </w:r>
          </w:p>
        </w:tc>
        <w:tc>
          <w:tcPr>
            <w:tcW w:w="0" w:type="dxa"/>
            <w:vAlign w:val="bottom"/>
          </w:tcPr>
          <w:p>
            <w:pPr>
              <w:spacing w:after="0"/>
              <w:rPr>
                <w:sz w:val="1"/>
                <w:szCs w:val="1"/>
                <w:color w:val="auto"/>
              </w:rPr>
            </w:pPr>
          </w:p>
        </w:tc>
      </w:tr>
      <w:tr>
        <w:trPr>
          <w:trHeight w:val="208"/>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Adjustments to reconcile net decrease in net assets resulting from operations to net cash provided (used)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by operating activities:</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Change in net unrealized depreciation on investments, cash equivalents, and credit facility</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36,637,583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16,057,644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887,070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(524,615)</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(229,966)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Purchase of investments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(803,896)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(70,955,314)</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Payment-in-kind interest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(860,532)</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(586,297)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2,280,140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Decrease in interest receivable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215,927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130,375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Decrease in payables for cash equivalents purchased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0"/>
              </w:rPr>
              <w:t>(173,353,042)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payables for investments purchased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(16,583,921)</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Increase (decrease) in unfunded investments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278,533</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(898,684)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payable on credit facility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80,042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Increase (decrease) in management fee payable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1,734,292</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(311,280)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1,318,949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Increase (decrease) in accrued 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391,700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(155,186)</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(used) by operating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10,008,844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(253,043,815)</w:t>
            </w:r>
          </w:p>
        </w:tc>
        <w:tc>
          <w:tcPr>
            <w:tcW w:w="0" w:type="dxa"/>
            <w:vAlign w:val="bottom"/>
          </w:tcPr>
          <w:p>
            <w:pPr>
              <w:spacing w:after="0"/>
              <w:rPr>
                <w:sz w:val="1"/>
                <w:szCs w:val="1"/>
                <w:color w:val="auto"/>
              </w:rPr>
            </w:pPr>
          </w:p>
        </w:tc>
      </w:tr>
      <w:tr>
        <w:trPr>
          <w:trHeight w:val="330"/>
        </w:trPr>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and distributions to stockholders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(5,056,505)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(4,635,130)</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140,500,000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(52,100,000)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(59,000,000)</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1300"/>
              <w:spacing w:after="0"/>
              <w:rPr>
                <w:sz w:val="20"/>
                <w:szCs w:val="20"/>
                <w:color w:val="auto"/>
              </w:rPr>
            </w:pPr>
            <w:r>
              <w:rPr>
                <w:rFonts w:ascii="Arial" w:cs="Arial" w:eastAsia="Arial" w:hAnsi="Arial"/>
                <w:sz w:val="18"/>
                <w:szCs w:val="18"/>
                <w:color w:val="auto"/>
              </w:rPr>
              <w:t>Net cash provided (used) by financing activities</w:t>
            </w: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(49,656,505)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76,864,870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8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(39,647,661)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(176,178,945)</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40,249,201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257,959,635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601,540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81,780,690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 and non-cash financing activity:</w:t>
            </w: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1,757,177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 (credit facility)</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41,796,000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97"/>
              </w:rPr>
              <w:t>Current</w:t>
            </w:r>
          </w:p>
        </w:tc>
        <w:tc>
          <w:tcPr>
            <w:tcW w:w="5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2040" w:type="dxa"/>
            <w:vAlign w:val="bottom"/>
            <w:gridSpan w:val="2"/>
          </w:tcPr>
          <w:p>
            <w:pPr>
              <w:spacing w:after="0"/>
              <w:rPr>
                <w:sz w:val="15"/>
                <w:szCs w:val="15"/>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Maturity</w:t>
            </w:r>
          </w:p>
        </w:tc>
        <w:tc>
          <w:tcPr>
            <w:tcW w:w="22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Coupon</w:t>
            </w:r>
          </w:p>
        </w:tc>
        <w:tc>
          <w:tcPr>
            <w:tcW w:w="50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Par</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181"/>
              <w:spacing w:after="0" w:line="176"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60" w:type="dxa"/>
            <w:vAlign w:val="bottom"/>
            <w:gridSpan w:val="7"/>
            <w:shd w:val="clear" w:color="auto" w:fill="CCEEFF"/>
          </w:tcPr>
          <w:p>
            <w:pPr>
              <w:spacing w:after="0" w:line="209" w:lineRule="exact"/>
              <w:rPr>
                <w:sz w:val="20"/>
                <w:szCs w:val="20"/>
                <w:color w:val="auto"/>
              </w:rPr>
            </w:pPr>
            <w:r>
              <w:rPr>
                <w:rFonts w:ascii="Arial" w:cs="Arial" w:eastAsia="Arial" w:hAnsi="Arial"/>
                <w:sz w:val="18"/>
                <w:szCs w:val="18"/>
                <w:b w:val="1"/>
                <w:bCs w:val="1"/>
                <w:color w:val="auto"/>
                <w:w w:val="89"/>
              </w:rPr>
              <w:t>Investments in Non-Controlled, Non-Affiliated Portfolio Companies - 144.9%</w:t>
            </w:r>
            <w:r>
              <w:rPr>
                <w:rFonts w:ascii="Arial" w:cs="Arial" w:eastAsia="Arial" w:hAnsi="Arial"/>
                <w:sz w:val="22"/>
                <w:szCs w:val="22"/>
                <w:b w:val="1"/>
                <w:bCs w:val="1"/>
                <w:color w:val="auto"/>
                <w:w w:val="89"/>
                <w:vertAlign w:val="superscript"/>
              </w:rPr>
              <w:t>(1)</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4"/>
          </w:tcPr>
          <w:p>
            <w:pPr>
              <w:spacing w:after="0"/>
              <w:rPr>
                <w:sz w:val="20"/>
                <w:szCs w:val="20"/>
                <w:color w:val="auto"/>
              </w:rPr>
            </w:pPr>
            <w:r>
              <w:rPr>
                <w:rFonts w:ascii="Arial" w:cs="Arial" w:eastAsia="Arial" w:hAnsi="Arial"/>
                <w:sz w:val="18"/>
                <w:szCs w:val="18"/>
                <w:b w:val="1"/>
                <w:bCs w:val="1"/>
                <w:color w:val="auto"/>
                <w:w w:val="93"/>
              </w:rPr>
              <w:t>Subordinated Debt / Corporate Notes - 68.3%</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Advanstar,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11/30/2015</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Other Media</w:t>
            </w:r>
          </w:p>
        </w:tc>
        <w:tc>
          <w:tcPr>
            <w:tcW w:w="980" w:type="dxa"/>
            <w:vAlign w:val="bottom"/>
            <w:gridSpan w:val="2"/>
            <w:shd w:val="clear" w:color="auto" w:fill="CCEEFF"/>
          </w:tcPr>
          <w:p>
            <w:pPr>
              <w:jc w:val="right"/>
              <w:ind w:right="164"/>
              <w:spacing w:after="0" w:line="216" w:lineRule="exact"/>
              <w:rPr>
                <w:sz w:val="20"/>
                <w:szCs w:val="20"/>
                <w:color w:val="auto"/>
              </w:rPr>
            </w:pPr>
            <w:r>
              <w:rPr>
                <w:rFonts w:ascii="Arial" w:cs="Arial" w:eastAsia="Arial" w:hAnsi="Arial"/>
                <w:sz w:val="18"/>
                <w:szCs w:val="18"/>
                <w:color w:val="auto"/>
              </w:rPr>
              <w:t>8.46%</w:t>
            </w:r>
            <w:r>
              <w:rPr>
                <w:rFonts w:ascii="Arial" w:cs="Arial" w:eastAsia="Arial" w:hAnsi="Arial"/>
                <w:sz w:val="22"/>
                <w:szCs w:val="22"/>
                <w:color w:val="auto"/>
                <w:vertAlign w:val="superscript"/>
              </w:rPr>
              <w:t>(6)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$ 16,716,063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16,716,063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11,199,762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Affinion Group Holdings, Inc.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3/1/2012</w:t>
            </w:r>
          </w:p>
        </w:tc>
        <w:tc>
          <w:tcPr>
            <w:tcW w:w="2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Consumer Products</w:t>
            </w:r>
          </w:p>
        </w:tc>
        <w:tc>
          <w:tcPr>
            <w:tcW w:w="980" w:type="dxa"/>
            <w:vAlign w:val="bottom"/>
            <w:gridSpan w:val="2"/>
          </w:tcPr>
          <w:p>
            <w:pPr>
              <w:jc w:val="right"/>
              <w:ind w:right="164"/>
              <w:spacing w:after="0" w:line="216" w:lineRule="exact"/>
              <w:rPr>
                <w:sz w:val="20"/>
                <w:szCs w:val="20"/>
                <w:color w:val="auto"/>
              </w:rPr>
            </w:pPr>
            <w:r>
              <w:rPr>
                <w:rFonts w:ascii="Arial" w:cs="Arial" w:eastAsia="Arial" w:hAnsi="Arial"/>
                <w:sz w:val="18"/>
                <w:szCs w:val="18"/>
                <w:color w:val="auto"/>
              </w:rPr>
              <w:t>9.37%</w:t>
            </w:r>
            <w:r>
              <w:rPr>
                <w:rFonts w:ascii="Arial" w:cs="Arial" w:eastAsia="Arial" w:hAnsi="Arial"/>
                <w:sz w:val="22"/>
                <w:szCs w:val="22"/>
                <w:color w:val="auto"/>
                <w:vertAlign w:val="superscript"/>
              </w:rPr>
              <w:t>(6)</w:t>
            </w: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L+625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22,500,000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21,654,714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16,492,500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Foundries,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4/17/2015</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Aerospace and Defense</w:t>
            </w:r>
          </w:p>
        </w:tc>
        <w:tc>
          <w:tcPr>
            <w:tcW w:w="980" w:type="dxa"/>
            <w:vAlign w:val="bottom"/>
            <w:gridSpan w:val="2"/>
            <w:shd w:val="clear" w:color="auto" w:fill="CCEEFF"/>
          </w:tcPr>
          <w:p>
            <w:pPr>
              <w:jc w:val="right"/>
              <w:ind w:right="164"/>
              <w:spacing w:after="0" w:line="216" w:lineRule="exact"/>
              <w:rPr>
                <w:sz w:val="20"/>
                <w:szCs w:val="20"/>
                <w:color w:val="auto"/>
              </w:rPr>
            </w:pPr>
            <w:r>
              <w:rPr>
                <w:rFonts w:ascii="Arial" w:cs="Arial" w:eastAsia="Arial" w:hAnsi="Arial"/>
                <w:sz w:val="18"/>
                <w:szCs w:val="18"/>
                <w:color w:val="auto"/>
                <w:w w:val="93"/>
              </w:rPr>
              <w:t>14.25%</w:t>
            </w:r>
            <w:r>
              <w:rPr>
                <w:rFonts w:ascii="Arial" w:cs="Arial" w:eastAsia="Arial" w:hAnsi="Arial"/>
                <w:sz w:val="22"/>
                <w:szCs w:val="22"/>
                <w:color w:val="auto"/>
                <w:w w:val="93"/>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7,838,239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0" w:type="dxa"/>
            <w:vAlign w:val="bottom"/>
            <w:gridSpan w:val="3"/>
          </w:tcPr>
          <w:p>
            <w:pPr>
              <w:spacing w:after="0"/>
              <w:rPr>
                <w:sz w:val="20"/>
                <w:szCs w:val="20"/>
                <w:color w:val="auto"/>
              </w:rPr>
            </w:pPr>
            <w:r>
              <w:rPr>
                <w:rFonts w:ascii="Arial" w:cs="Arial" w:eastAsia="Arial" w:hAnsi="Arial"/>
                <w:sz w:val="18"/>
                <w:szCs w:val="18"/>
                <w:color w:val="auto"/>
              </w:rPr>
              <w:t>CT Technologies Intermediate</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3/19/2014</w:t>
            </w:r>
          </w:p>
        </w:tc>
        <w:tc>
          <w:tcPr>
            <w:tcW w:w="2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Business Services</w:t>
            </w:r>
          </w:p>
        </w:tc>
        <w:tc>
          <w:tcPr>
            <w:tcW w:w="980" w:type="dxa"/>
            <w:vAlign w:val="bottom"/>
            <w:gridSpan w:val="2"/>
          </w:tcPr>
          <w:p>
            <w:pPr>
              <w:jc w:val="right"/>
              <w:ind w:right="164"/>
              <w:spacing w:after="0" w:line="207" w:lineRule="exact"/>
              <w:rPr>
                <w:sz w:val="20"/>
                <w:szCs w:val="20"/>
                <w:color w:val="auto"/>
              </w:rPr>
            </w:pPr>
            <w:r>
              <w:rPr>
                <w:rFonts w:ascii="Arial" w:cs="Arial" w:eastAsia="Arial" w:hAnsi="Arial"/>
                <w:sz w:val="18"/>
                <w:szCs w:val="18"/>
                <w:color w:val="auto"/>
                <w:w w:val="93"/>
              </w:rPr>
              <w:t>14.00%</w:t>
            </w:r>
            <w:r>
              <w:rPr>
                <w:rFonts w:ascii="Arial" w:cs="Arial" w:eastAsia="Arial" w:hAnsi="Arial"/>
                <w:sz w:val="22"/>
                <w:szCs w:val="22"/>
                <w:color w:val="auto"/>
                <w:w w:val="93"/>
                <w:vertAlign w:val="superscript"/>
              </w:rPr>
              <w:t>(6)</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19,525,200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18,872,020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gridSpan w:val="3"/>
          </w:tcPr>
          <w:p>
            <w:pPr>
              <w:ind w:left="220"/>
              <w:spacing w:after="0"/>
              <w:rPr>
                <w:sz w:val="20"/>
                <w:szCs w:val="20"/>
                <w:color w:val="auto"/>
              </w:rPr>
            </w:pPr>
            <w:r>
              <w:rPr>
                <w:rFonts w:ascii="Arial" w:cs="Arial" w:eastAsia="Arial" w:hAnsi="Arial"/>
                <w:sz w:val="18"/>
                <w:szCs w:val="18"/>
                <w:color w:val="auto"/>
              </w:rPr>
              <w:t>Holdings, Inc.</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6/6/2014</w:t>
            </w:r>
          </w:p>
        </w:tc>
        <w:tc>
          <w:tcPr>
            <w:tcW w:w="2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Aerospace and Defense</w:t>
            </w:r>
          </w:p>
        </w:tc>
        <w:tc>
          <w:tcPr>
            <w:tcW w:w="980" w:type="dxa"/>
            <w:vAlign w:val="bottom"/>
            <w:gridSpan w:val="2"/>
            <w:shd w:val="clear" w:color="auto" w:fill="CCEEFF"/>
          </w:tcPr>
          <w:p>
            <w:pPr>
              <w:jc w:val="right"/>
              <w:ind w:right="164"/>
              <w:spacing w:after="0" w:line="231" w:lineRule="exact"/>
              <w:rPr>
                <w:sz w:val="20"/>
                <w:szCs w:val="20"/>
                <w:color w:val="auto"/>
              </w:rPr>
            </w:pPr>
            <w:r>
              <w:rPr>
                <w:rFonts w:ascii="Arial" w:cs="Arial" w:eastAsia="Arial" w:hAnsi="Arial"/>
                <w:sz w:val="18"/>
                <w:szCs w:val="18"/>
                <w:color w:val="auto"/>
                <w:w w:val="93"/>
              </w:rPr>
              <w:t>14.75%</w:t>
            </w:r>
            <w:r>
              <w:rPr>
                <w:rFonts w:ascii="Arial" w:cs="Arial" w:eastAsia="Arial" w:hAnsi="Arial"/>
                <w:sz w:val="22"/>
                <w:szCs w:val="22"/>
                <w:color w:val="auto"/>
                <w:w w:val="93"/>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22,194,219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21,839,760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22,194,219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IDQ Holdings, Inc.</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5/20/2012</w:t>
            </w:r>
          </w:p>
        </w:tc>
        <w:tc>
          <w:tcPr>
            <w:tcW w:w="22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Auto Sector</w:t>
            </w:r>
          </w:p>
        </w:tc>
        <w:tc>
          <w:tcPr>
            <w:tcW w:w="980" w:type="dxa"/>
            <w:vAlign w:val="bottom"/>
            <w:gridSpan w:val="2"/>
          </w:tcPr>
          <w:p>
            <w:pPr>
              <w:jc w:val="right"/>
              <w:ind w:right="304"/>
              <w:spacing w:after="0"/>
              <w:rPr>
                <w:sz w:val="20"/>
                <w:szCs w:val="20"/>
                <w:color w:val="auto"/>
              </w:rPr>
            </w:pPr>
            <w:r>
              <w:rPr>
                <w:rFonts w:ascii="Arial" w:cs="Arial" w:eastAsia="Arial" w:hAnsi="Arial"/>
                <w:sz w:val="18"/>
                <w:szCs w:val="18"/>
                <w:color w:val="auto"/>
                <w:w w:val="98"/>
              </w:rPr>
              <w:t>13.75%</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19,586,579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12/28/2015</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Education</w:t>
            </w:r>
          </w:p>
        </w:tc>
        <w:tc>
          <w:tcPr>
            <w:tcW w:w="980" w:type="dxa"/>
            <w:vAlign w:val="bottom"/>
            <w:gridSpan w:val="2"/>
            <w:shd w:val="clear" w:color="auto" w:fill="CCEEFF"/>
          </w:tcPr>
          <w:p>
            <w:pPr>
              <w:jc w:val="right"/>
              <w:ind w:right="164"/>
              <w:spacing w:after="0" w:line="216" w:lineRule="exact"/>
              <w:rPr>
                <w:sz w:val="20"/>
                <w:szCs w:val="20"/>
                <w:color w:val="auto"/>
              </w:rPr>
            </w:pPr>
            <w:r>
              <w:rPr>
                <w:rFonts w:ascii="Arial" w:cs="Arial" w:eastAsia="Arial" w:hAnsi="Arial"/>
                <w:sz w:val="18"/>
                <w:szCs w:val="18"/>
                <w:color w:val="auto"/>
                <w:w w:val="93"/>
              </w:rPr>
              <w:t>13.50%</w:t>
            </w:r>
            <w:r>
              <w:rPr>
                <w:rFonts w:ascii="Arial" w:cs="Arial" w:eastAsia="Arial" w:hAnsi="Arial"/>
                <w:sz w:val="22"/>
                <w:szCs w:val="22"/>
                <w:color w:val="auto"/>
                <w:w w:val="93"/>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10,131,680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9,992,074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8,890,549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Realogy Corp.</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4/15/2015</w:t>
            </w:r>
          </w:p>
        </w:tc>
        <w:tc>
          <w:tcPr>
            <w:tcW w:w="2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Buildings and Real Estate</w:t>
            </w:r>
          </w:p>
        </w:tc>
        <w:tc>
          <w:tcPr>
            <w:tcW w:w="980" w:type="dxa"/>
            <w:vAlign w:val="bottom"/>
            <w:gridSpan w:val="2"/>
          </w:tcPr>
          <w:p>
            <w:pPr>
              <w:jc w:val="right"/>
              <w:ind w:right="304"/>
              <w:spacing w:after="0"/>
              <w:rPr>
                <w:sz w:val="20"/>
                <w:szCs w:val="20"/>
                <w:color w:val="auto"/>
              </w:rPr>
            </w:pPr>
            <w:r>
              <w:rPr>
                <w:rFonts w:ascii="Arial" w:cs="Arial" w:eastAsia="Arial" w:hAnsi="Arial"/>
                <w:sz w:val="18"/>
                <w:szCs w:val="18"/>
                <w:color w:val="auto"/>
                <w:w w:val="98"/>
              </w:rPr>
              <w:t>12.38%</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28,000,000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26,400,575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TZ Merger Sub,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10/1/2016</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Insurance</w:t>
            </w:r>
          </w:p>
        </w:tc>
        <w:tc>
          <w:tcPr>
            <w:tcW w:w="980" w:type="dxa"/>
            <w:vAlign w:val="bottom"/>
            <w:gridSpan w:val="2"/>
            <w:shd w:val="clear" w:color="auto" w:fill="CCEEFF"/>
          </w:tcPr>
          <w:p>
            <w:pPr>
              <w:jc w:val="right"/>
              <w:ind w:right="164"/>
              <w:spacing w:after="0" w:line="216" w:lineRule="exact"/>
              <w:rPr>
                <w:sz w:val="20"/>
                <w:szCs w:val="20"/>
                <w:color w:val="auto"/>
              </w:rPr>
            </w:pPr>
            <w:r>
              <w:rPr>
                <w:rFonts w:ascii="Arial" w:cs="Arial" w:eastAsia="Arial" w:hAnsi="Arial"/>
                <w:sz w:val="18"/>
                <w:szCs w:val="18"/>
                <w:color w:val="auto"/>
                <w:w w:val="93"/>
              </w:rPr>
              <w:t>13.50%</w:t>
            </w:r>
            <w:r>
              <w:rPr>
                <w:rFonts w:ascii="Arial" w:cs="Arial" w:eastAsia="Arial" w:hAnsi="Arial"/>
                <w:sz w:val="22"/>
                <w:szCs w:val="22"/>
                <w:color w:val="auto"/>
                <w:w w:val="93"/>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20,047,500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19,862,740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18,790,163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0" w:type="dxa"/>
            <w:vAlign w:val="bottom"/>
            <w:gridSpan w:val="3"/>
          </w:tcPr>
          <w:p>
            <w:pPr>
              <w:spacing w:after="0"/>
              <w:rPr>
                <w:sz w:val="20"/>
                <w:szCs w:val="20"/>
                <w:color w:val="auto"/>
              </w:rPr>
            </w:pPr>
            <w:r>
              <w:rPr>
                <w:rFonts w:ascii="Arial" w:cs="Arial" w:eastAsia="Arial" w:hAnsi="Arial"/>
                <w:sz w:val="18"/>
                <w:szCs w:val="18"/>
                <w:color w:val="auto"/>
              </w:rPr>
              <w:t>UP Acquisitions Sub Inc.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2/8/2015</w:t>
            </w:r>
          </w:p>
        </w:tc>
        <w:tc>
          <w:tcPr>
            <w:tcW w:w="220" w:type="dxa"/>
            <w:vAlign w:val="bottom"/>
          </w:tcPr>
          <w:p>
            <w:pPr>
              <w:spacing w:after="0"/>
              <w:rPr>
                <w:sz w:val="19"/>
                <w:szCs w:val="19"/>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Oil and Gas</w:t>
            </w:r>
          </w:p>
        </w:tc>
        <w:tc>
          <w:tcPr>
            <w:tcW w:w="980" w:type="dxa"/>
            <w:vAlign w:val="bottom"/>
            <w:gridSpan w:val="2"/>
          </w:tcPr>
          <w:p>
            <w:pPr>
              <w:jc w:val="right"/>
              <w:ind w:right="304"/>
              <w:spacing w:after="0"/>
              <w:rPr>
                <w:sz w:val="20"/>
                <w:szCs w:val="20"/>
                <w:color w:val="auto"/>
              </w:rPr>
            </w:pPr>
            <w:r>
              <w:rPr>
                <w:rFonts w:ascii="Arial" w:cs="Arial" w:eastAsia="Arial" w:hAnsi="Arial"/>
                <w:sz w:val="18"/>
                <w:szCs w:val="18"/>
                <w:color w:val="auto"/>
                <w:w w:val="98"/>
              </w:rPr>
              <w:t>13.50%</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21,000,000</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20,450,813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19,700,987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8"/>
              </w:rPr>
              <w:t>Total Subordinated Debt / Corporate Notes</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188,589,462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183,866,757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147,292,200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w w:val="94"/>
              </w:rPr>
              <w:t>Second Lien Secured Debt - 41.1%</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Brand Energy and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2/7/2015</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Energy / Utilities</w:t>
            </w:r>
          </w:p>
        </w:tc>
        <w:tc>
          <w:tcPr>
            <w:tcW w:w="98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8.25%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11,695,374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Infrastructure Services, Inc.</w:t>
            </w: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800" w:type="dxa"/>
            <w:vAlign w:val="bottom"/>
            <w:gridSpan w:val="3"/>
          </w:tcPr>
          <w:p>
            <w:pPr>
              <w:spacing w:after="0"/>
              <w:rPr>
                <w:sz w:val="20"/>
                <w:szCs w:val="20"/>
                <w:color w:val="auto"/>
              </w:rPr>
            </w:pPr>
            <w:r>
              <w:rPr>
                <w:rFonts w:ascii="Arial" w:cs="Arial" w:eastAsia="Arial" w:hAnsi="Arial"/>
                <w:sz w:val="18"/>
                <w:szCs w:val="18"/>
                <w:color w:val="auto"/>
              </w:rPr>
              <w:t>Brand Energy and</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2/7/2015</w:t>
            </w:r>
          </w:p>
        </w:tc>
        <w:tc>
          <w:tcPr>
            <w:tcW w:w="22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Energy / Utilities</w:t>
            </w:r>
          </w:p>
        </w:tc>
        <w:tc>
          <w:tcPr>
            <w:tcW w:w="980" w:type="dxa"/>
            <w:vAlign w:val="bottom"/>
            <w:gridSpan w:val="2"/>
          </w:tcPr>
          <w:p>
            <w:pPr>
              <w:jc w:val="right"/>
              <w:ind w:right="304"/>
              <w:spacing w:after="0"/>
              <w:rPr>
                <w:sz w:val="20"/>
                <w:szCs w:val="20"/>
                <w:color w:val="auto"/>
              </w:rPr>
            </w:pPr>
            <w:r>
              <w:rPr>
                <w:rFonts w:ascii="Arial" w:cs="Arial" w:eastAsia="Arial" w:hAnsi="Arial"/>
                <w:sz w:val="18"/>
                <w:szCs w:val="18"/>
                <w:color w:val="auto"/>
              </w:rPr>
              <w:t>8.14%</w:t>
            </w: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13,600,000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13,089,375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11,954,400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gridSpan w:val="3"/>
          </w:tcPr>
          <w:p>
            <w:pPr>
              <w:ind w:left="220"/>
              <w:spacing w:after="0"/>
              <w:rPr>
                <w:sz w:val="20"/>
                <w:szCs w:val="20"/>
                <w:color w:val="auto"/>
              </w:rPr>
            </w:pPr>
            <w:r>
              <w:rPr>
                <w:rFonts w:ascii="Arial" w:cs="Arial" w:eastAsia="Arial" w:hAnsi="Arial"/>
                <w:sz w:val="18"/>
                <w:szCs w:val="18"/>
                <w:color w:val="auto"/>
              </w:rPr>
              <w:t>Infrastructure Services, Inc.</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Generics International (U.S.),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4/30/2015</w:t>
            </w: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Healthcare, Education and</w:t>
            </w:r>
          </w:p>
        </w:tc>
        <w:tc>
          <w:tcPr>
            <w:tcW w:w="98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8.96%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11,949,100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Childcare</w:t>
            </w: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Questex Media Group, Inc.</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11/4/2014</w:t>
            </w:r>
          </w:p>
        </w:tc>
        <w:tc>
          <w:tcPr>
            <w:tcW w:w="2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Other Media</w:t>
            </w:r>
          </w:p>
        </w:tc>
        <w:tc>
          <w:tcPr>
            <w:tcW w:w="980" w:type="dxa"/>
            <w:vAlign w:val="bottom"/>
            <w:gridSpan w:val="2"/>
          </w:tcPr>
          <w:p>
            <w:pPr>
              <w:jc w:val="right"/>
              <w:ind w:right="304"/>
              <w:spacing w:after="0"/>
              <w:rPr>
                <w:sz w:val="20"/>
                <w:szCs w:val="20"/>
                <w:color w:val="auto"/>
              </w:rPr>
            </w:pPr>
            <w:r>
              <w:rPr>
                <w:rFonts w:ascii="Arial" w:cs="Arial" w:eastAsia="Arial" w:hAnsi="Arial"/>
                <w:sz w:val="18"/>
                <w:szCs w:val="18"/>
                <w:color w:val="auto"/>
              </w:rPr>
              <w:t>8.71%</w:t>
            </w: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Saint Acquisition Corp.</w:t>
            </w:r>
            <w:r>
              <w:rPr>
                <w:rFonts w:ascii="Arial" w:cs="Arial" w:eastAsia="Arial" w:hAnsi="Arial"/>
                <w:sz w:val="22"/>
                <w:szCs w:val="22"/>
                <w:color w:val="auto"/>
                <w:vertAlign w:val="superscript"/>
              </w:rPr>
              <w:t>(5)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5/15/2015</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Transportation</w:t>
            </w:r>
          </w:p>
        </w:tc>
        <w:tc>
          <w:tcPr>
            <w:tcW w:w="98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9.90%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9,955,768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line="216" w:lineRule="exact"/>
              <w:rPr>
                <w:sz w:val="20"/>
                <w:szCs w:val="20"/>
                <w:color w:val="auto"/>
              </w:rPr>
            </w:pPr>
            <w:r>
              <w:rPr>
                <w:rFonts w:ascii="Arial" w:cs="Arial" w:eastAsia="Arial" w:hAnsi="Arial"/>
                <w:sz w:val="18"/>
                <w:szCs w:val="18"/>
                <w:color w:val="auto"/>
              </w:rPr>
              <w:t>Saint Acquisition Corp.</w:t>
            </w:r>
            <w:r>
              <w:rPr>
                <w:rFonts w:ascii="Arial" w:cs="Arial" w:eastAsia="Arial" w:hAnsi="Arial"/>
                <w:sz w:val="22"/>
                <w:szCs w:val="22"/>
                <w:color w:val="auto"/>
                <w:vertAlign w:val="superscript"/>
              </w:rPr>
              <w:t>(5)</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5/15/2017</w:t>
            </w:r>
          </w:p>
        </w:tc>
        <w:tc>
          <w:tcPr>
            <w:tcW w:w="2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Transportation</w:t>
            </w:r>
          </w:p>
        </w:tc>
        <w:tc>
          <w:tcPr>
            <w:tcW w:w="980" w:type="dxa"/>
            <w:vAlign w:val="bottom"/>
            <w:gridSpan w:val="2"/>
          </w:tcPr>
          <w:p>
            <w:pPr>
              <w:jc w:val="right"/>
              <w:ind w:right="304"/>
              <w:spacing w:after="0"/>
              <w:rPr>
                <w:sz w:val="20"/>
                <w:szCs w:val="20"/>
                <w:color w:val="auto"/>
              </w:rPr>
            </w:pPr>
            <w:r>
              <w:rPr>
                <w:rFonts w:ascii="Arial" w:cs="Arial" w:eastAsia="Arial" w:hAnsi="Arial"/>
                <w:sz w:val="18"/>
                <w:szCs w:val="18"/>
                <w:color w:val="auto"/>
                <w:w w:val="98"/>
              </w:rPr>
              <w:t>12.50%</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19,000,000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16,658,601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Sheridan Holdings,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6/15/2015</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Healthcare, Education and</w:t>
            </w:r>
          </w:p>
        </w:tc>
        <w:tc>
          <w:tcPr>
            <w:tcW w:w="980" w:type="dxa"/>
            <w:vAlign w:val="bottom"/>
            <w:gridSpan w:val="2"/>
            <w:shd w:val="clear" w:color="auto" w:fill="CCEEFF"/>
          </w:tcPr>
          <w:p>
            <w:pPr>
              <w:jc w:val="right"/>
              <w:ind w:right="164"/>
              <w:spacing w:after="0" w:line="207" w:lineRule="exact"/>
              <w:rPr>
                <w:sz w:val="20"/>
                <w:szCs w:val="20"/>
                <w:color w:val="auto"/>
              </w:rPr>
            </w:pPr>
            <w:r>
              <w:rPr>
                <w:rFonts w:ascii="Arial" w:cs="Arial" w:eastAsia="Arial" w:hAnsi="Arial"/>
                <w:sz w:val="18"/>
                <w:szCs w:val="18"/>
                <w:color w:val="auto"/>
                <w:w w:val="93"/>
              </w:rPr>
              <w:t>10.39%</w:t>
            </w:r>
            <w:r>
              <w:rPr>
                <w:rFonts w:ascii="Arial" w:cs="Arial" w:eastAsia="Arial" w:hAnsi="Arial"/>
                <w:sz w:val="22"/>
                <w:szCs w:val="22"/>
                <w:color w:val="auto"/>
                <w:w w:val="93"/>
                <w:vertAlign w:val="superscript"/>
              </w:rPr>
              <w:t>(6)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11,862,989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Childcare</w:t>
            </w: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800" w:type="dxa"/>
            <w:vAlign w:val="bottom"/>
            <w:gridSpan w:val="3"/>
          </w:tcPr>
          <w:p>
            <w:pPr>
              <w:spacing w:after="0"/>
              <w:rPr>
                <w:sz w:val="20"/>
                <w:szCs w:val="20"/>
                <w:color w:val="auto"/>
              </w:rPr>
            </w:pPr>
            <w:r>
              <w:rPr>
                <w:rFonts w:ascii="Arial" w:cs="Arial" w:eastAsia="Arial" w:hAnsi="Arial"/>
                <w:sz w:val="18"/>
                <w:szCs w:val="18"/>
                <w:color w:val="auto"/>
              </w:rPr>
              <w:t>Specialized Technology</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12/15/2014</w:t>
            </w:r>
          </w:p>
        </w:tc>
        <w:tc>
          <w:tcPr>
            <w:tcW w:w="22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Chemical, Plastics and</w:t>
            </w:r>
          </w:p>
        </w:tc>
        <w:tc>
          <w:tcPr>
            <w:tcW w:w="980" w:type="dxa"/>
            <w:vAlign w:val="bottom"/>
            <w:gridSpan w:val="2"/>
          </w:tcPr>
          <w:p>
            <w:pPr>
              <w:jc w:val="right"/>
              <w:ind w:right="164"/>
              <w:spacing w:after="0" w:line="207" w:lineRule="exact"/>
              <w:rPr>
                <w:sz w:val="20"/>
                <w:szCs w:val="20"/>
                <w:color w:val="auto"/>
              </w:rPr>
            </w:pPr>
            <w:r>
              <w:rPr>
                <w:rFonts w:ascii="Arial" w:cs="Arial" w:eastAsia="Arial" w:hAnsi="Arial"/>
                <w:sz w:val="18"/>
                <w:szCs w:val="18"/>
                <w:color w:val="auto"/>
              </w:rPr>
              <w:t>7.46%</w:t>
            </w:r>
            <w:r>
              <w:rPr>
                <w:rFonts w:ascii="Arial" w:cs="Arial" w:eastAsia="Arial" w:hAnsi="Arial"/>
                <w:sz w:val="22"/>
                <w:szCs w:val="22"/>
                <w:color w:val="auto"/>
                <w:vertAlign w:val="superscript"/>
              </w:rPr>
              <w:t>(6)</w:t>
            </w: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L+700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22,500,000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22,486,468</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21,667,500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gridSpan w:val="3"/>
          </w:tcPr>
          <w:p>
            <w:pPr>
              <w:ind w:left="220"/>
              <w:spacing w:after="0"/>
              <w:rPr>
                <w:sz w:val="20"/>
                <w:szCs w:val="20"/>
                <w:color w:val="auto"/>
              </w:rPr>
            </w:pPr>
            <w:r>
              <w:rPr>
                <w:rFonts w:ascii="Arial" w:cs="Arial" w:eastAsia="Arial" w:hAnsi="Arial"/>
                <w:sz w:val="18"/>
                <w:szCs w:val="18"/>
                <w:color w:val="auto"/>
              </w:rPr>
              <w:t>Resources, Inc.</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Rubber</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TransFirst Holdings,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6/15/2015</w:t>
            </w:r>
          </w:p>
        </w:tc>
        <w:tc>
          <w:tcPr>
            <w:tcW w:w="2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Financial Services</w:t>
            </w:r>
          </w:p>
        </w:tc>
        <w:tc>
          <w:tcPr>
            <w:tcW w:w="980" w:type="dxa"/>
            <w:vAlign w:val="bottom"/>
            <w:gridSpan w:val="2"/>
            <w:shd w:val="clear" w:color="auto" w:fill="CCEEFF"/>
          </w:tcPr>
          <w:p>
            <w:pPr>
              <w:jc w:val="right"/>
              <w:ind w:right="164"/>
              <w:spacing w:after="0" w:line="231" w:lineRule="exact"/>
              <w:rPr>
                <w:sz w:val="20"/>
                <w:szCs w:val="20"/>
                <w:color w:val="auto"/>
              </w:rPr>
            </w:pPr>
            <w:r>
              <w:rPr>
                <w:rFonts w:ascii="Arial" w:cs="Arial" w:eastAsia="Arial" w:hAnsi="Arial"/>
                <w:sz w:val="18"/>
                <w:szCs w:val="18"/>
                <w:color w:val="auto"/>
              </w:rPr>
              <w:t>7.46%</w:t>
            </w:r>
            <w:r>
              <w:rPr>
                <w:rFonts w:ascii="Arial" w:cs="Arial" w:eastAsia="Arial" w:hAnsi="Arial"/>
                <w:sz w:val="22"/>
                <w:szCs w:val="22"/>
                <w:color w:val="auto"/>
                <w:vertAlign w:val="superscript"/>
              </w:rPr>
              <w:t>(6)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L+600</w:t>
            </w:r>
          </w:p>
        </w:tc>
        <w:tc>
          <w:tcPr>
            <w:tcW w:w="2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2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15,889,869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13,777,500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Total Second Lien Secured Debt</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128,100,000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123,587,544</w:t>
            </w:r>
          </w:p>
        </w:tc>
        <w:tc>
          <w:tcPr>
            <w:tcW w:w="10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88,705,150</w:t>
            </w:r>
          </w:p>
        </w:tc>
        <w:tc>
          <w:tcPr>
            <w:tcW w:w="0" w:type="dxa"/>
            <w:vAlign w:val="bottom"/>
          </w:tcPr>
          <w:p>
            <w:pPr>
              <w:spacing w:after="0"/>
              <w:rPr>
                <w:sz w:val="1"/>
                <w:szCs w:val="1"/>
                <w:color w:val="auto"/>
              </w:rPr>
            </w:pPr>
          </w:p>
        </w:tc>
      </w:tr>
      <w:tr>
        <w:trPr>
          <w:trHeight w:val="265"/>
        </w:trPr>
        <w:tc>
          <w:tcPr>
            <w:tcW w:w="36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4"/>
              </w:rPr>
              <w:t>Preferred Equity/Partnership Interests - 4.3%</w:t>
            </w:r>
          </w:p>
        </w:tc>
        <w:tc>
          <w:tcPr>
            <w:tcW w:w="2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6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CFHC Holdings, Inc., Class A</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Aerospace and Defense</w:t>
            </w:r>
          </w:p>
        </w:tc>
        <w:tc>
          <w:tcPr>
            <w:tcW w:w="980" w:type="dxa"/>
            <w:vAlign w:val="bottom"/>
            <w:gridSpan w:val="2"/>
            <w:shd w:val="clear" w:color="auto" w:fill="CCEEFF"/>
          </w:tcPr>
          <w:p>
            <w:pPr>
              <w:jc w:val="right"/>
              <w:ind w:right="164"/>
              <w:spacing w:after="0" w:line="209" w:lineRule="exact"/>
              <w:rPr>
                <w:sz w:val="20"/>
                <w:szCs w:val="20"/>
                <w:color w:val="auto"/>
              </w:rPr>
            </w:pPr>
            <w:r>
              <w:rPr>
                <w:rFonts w:ascii="Arial" w:cs="Arial" w:eastAsia="Arial" w:hAnsi="Arial"/>
                <w:sz w:val="18"/>
                <w:szCs w:val="18"/>
                <w:color w:val="auto"/>
                <w:w w:val="93"/>
              </w:rPr>
              <w:t>12.00%</w:t>
            </w:r>
            <w:r>
              <w:rPr>
                <w:rFonts w:ascii="Arial" w:cs="Arial" w:eastAsia="Arial" w:hAnsi="Arial"/>
                <w:sz w:val="22"/>
                <w:szCs w:val="22"/>
                <w:color w:val="auto"/>
                <w:w w:val="93"/>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797,288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7"/>
              </w:rPr>
              <w:t>(Consolidated Foundries, Inc.)</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i2 Holdings Ltd.</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Aerospace and Defense</w:t>
            </w:r>
          </w:p>
        </w:tc>
        <w:tc>
          <w:tcPr>
            <w:tcW w:w="980" w:type="dxa"/>
            <w:vAlign w:val="bottom"/>
            <w:gridSpan w:val="2"/>
          </w:tcPr>
          <w:p>
            <w:pPr>
              <w:jc w:val="right"/>
              <w:ind w:right="164"/>
              <w:spacing w:after="0" w:line="216" w:lineRule="exact"/>
              <w:rPr>
                <w:sz w:val="20"/>
                <w:szCs w:val="20"/>
                <w:color w:val="auto"/>
              </w:rPr>
            </w:pPr>
            <w:r>
              <w:rPr>
                <w:rFonts w:ascii="Arial" w:cs="Arial" w:eastAsia="Arial" w:hAnsi="Arial"/>
                <w:sz w:val="18"/>
                <w:szCs w:val="18"/>
                <w:color w:val="auto"/>
                <w:w w:val="93"/>
              </w:rPr>
              <w:t>12.00%</w:t>
            </w:r>
            <w:r>
              <w:rPr>
                <w:rFonts w:ascii="Arial" w:cs="Arial" w:eastAsia="Arial" w:hAnsi="Arial"/>
                <w:sz w:val="22"/>
                <w:szCs w:val="22"/>
                <w:color w:val="auto"/>
                <w:w w:val="93"/>
                <w:vertAlign w:val="superscript"/>
              </w:rPr>
              <w:t>(6)</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3,960,000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3,960,000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TZ Holdings, L.P.,</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2"/>
                <w:szCs w:val="12"/>
                <w:color w:val="auto"/>
              </w:rPr>
            </w:pPr>
          </w:p>
        </w:tc>
        <w:tc>
          <w:tcPr>
            <w:tcW w:w="21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8"/>
                <w:szCs w:val="18"/>
                <w:color w:val="auto"/>
                <w:w w:val="85"/>
              </w:rPr>
              <w:t>Insurance</w:t>
            </w:r>
          </w:p>
        </w:tc>
        <w:tc>
          <w:tcPr>
            <w:tcW w:w="4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rPr>
              <w:t>(7)</w:t>
            </w:r>
          </w:p>
        </w:tc>
        <w:tc>
          <w:tcPr>
            <w:tcW w:w="6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685,820</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651,529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58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120" w:type="dxa"/>
            <w:vAlign w:val="bottom"/>
            <w:gridSpan w:val="2"/>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580" w:type="dxa"/>
            <w:vAlign w:val="bottom"/>
            <w:gridSpan w:val="2"/>
            <w:shd w:val="clear" w:color="auto" w:fill="CCEEFF"/>
          </w:tcPr>
          <w:p>
            <w:pPr>
              <w:ind w:left="180"/>
              <w:spacing w:after="0" w:line="184" w:lineRule="exact"/>
              <w:rPr>
                <w:sz w:val="20"/>
                <w:szCs w:val="20"/>
                <w:color w:val="auto"/>
              </w:rPr>
            </w:pPr>
            <w:r>
              <w:rPr>
                <w:rFonts w:ascii="Arial" w:cs="Arial" w:eastAsia="Arial" w:hAnsi="Arial"/>
                <w:sz w:val="18"/>
                <w:szCs w:val="18"/>
                <w:color w:val="auto"/>
              </w:rPr>
              <w:t>Series A</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(TZ Merger Sub, Inc.)</w:t>
            </w: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800" w:type="dxa"/>
            <w:vAlign w:val="bottom"/>
            <w:gridSpan w:val="3"/>
          </w:tcPr>
          <w:p>
            <w:pPr>
              <w:spacing w:after="0"/>
              <w:rPr>
                <w:sz w:val="20"/>
                <w:szCs w:val="20"/>
                <w:color w:val="auto"/>
              </w:rPr>
            </w:pPr>
            <w:r>
              <w:rPr>
                <w:rFonts w:ascii="Arial" w:cs="Arial" w:eastAsia="Arial" w:hAnsi="Arial"/>
                <w:sz w:val="18"/>
                <w:szCs w:val="18"/>
                <w:color w:val="auto"/>
              </w:rPr>
              <w:t>TZ Holdings, L.P., Series B</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Insurance</w:t>
            </w:r>
          </w:p>
        </w:tc>
        <w:tc>
          <w:tcPr>
            <w:tcW w:w="980" w:type="dxa"/>
            <w:vAlign w:val="bottom"/>
            <w:gridSpan w:val="2"/>
          </w:tcPr>
          <w:p>
            <w:pPr>
              <w:jc w:val="right"/>
              <w:ind w:right="164"/>
              <w:spacing w:after="0" w:line="207" w:lineRule="exact"/>
              <w:rPr>
                <w:sz w:val="20"/>
                <w:szCs w:val="20"/>
                <w:color w:val="auto"/>
              </w:rPr>
            </w:pPr>
            <w:r>
              <w:rPr>
                <w:rFonts w:ascii="Arial" w:cs="Arial" w:eastAsia="Arial" w:hAnsi="Arial"/>
                <w:sz w:val="18"/>
                <w:szCs w:val="18"/>
                <w:color w:val="auto"/>
              </w:rPr>
              <w:t>6.50%</w:t>
            </w:r>
            <w:r>
              <w:rPr>
                <w:rFonts w:ascii="Arial" w:cs="Arial" w:eastAsia="Arial" w:hAnsi="Arial"/>
                <w:sz w:val="22"/>
                <w:szCs w:val="22"/>
                <w:color w:val="auto"/>
                <w:vertAlign w:val="superscript"/>
              </w:rPr>
              <w:t>(6)</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1,312,006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1,246,406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gridSpan w:val="3"/>
          </w:tcPr>
          <w:p>
            <w:pPr>
              <w:ind w:left="220"/>
              <w:spacing w:after="0"/>
              <w:rPr>
                <w:sz w:val="20"/>
                <w:szCs w:val="20"/>
                <w:color w:val="auto"/>
              </w:rPr>
            </w:pPr>
            <w:r>
              <w:rPr>
                <w:rFonts w:ascii="Arial" w:cs="Arial" w:eastAsia="Arial" w:hAnsi="Arial"/>
                <w:sz w:val="18"/>
                <w:szCs w:val="18"/>
                <w:color w:val="auto"/>
              </w:rPr>
              <w:t>(TZ Merger Sub, Inc.)</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Holdings Inc., Class A-1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Oil and Gas</w:t>
            </w:r>
          </w:p>
        </w:tc>
        <w:tc>
          <w:tcPr>
            <w:tcW w:w="980" w:type="dxa"/>
            <w:vAlign w:val="bottom"/>
            <w:gridSpan w:val="2"/>
            <w:shd w:val="clear" w:color="auto" w:fill="CCEEFF"/>
          </w:tcPr>
          <w:p>
            <w:pPr>
              <w:jc w:val="right"/>
              <w:ind w:right="164"/>
              <w:spacing w:after="0" w:line="223" w:lineRule="exact"/>
              <w:rPr>
                <w:sz w:val="20"/>
                <w:szCs w:val="20"/>
                <w:color w:val="auto"/>
              </w:rPr>
            </w:pPr>
            <w:r>
              <w:rPr>
                <w:rFonts w:ascii="Arial" w:cs="Arial" w:eastAsia="Arial" w:hAnsi="Arial"/>
                <w:sz w:val="18"/>
                <w:szCs w:val="18"/>
                <w:color w:val="auto"/>
              </w:rPr>
              <w:t>8.00%</w:t>
            </w:r>
            <w:r>
              <w:rPr>
                <w:rFonts w:ascii="Arial" w:cs="Arial" w:eastAsia="Arial" w:hAnsi="Arial"/>
                <w:sz w:val="22"/>
                <w:szCs w:val="22"/>
                <w:color w:val="auto"/>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91,608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2,499,066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(UP Acquisitions Sub Inc.)</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800" w:type="dxa"/>
            <w:vAlign w:val="bottom"/>
            <w:gridSpan w:val="3"/>
          </w:tcPr>
          <w:p>
            <w:pPr>
              <w:spacing w:after="0"/>
              <w:rPr>
                <w:sz w:val="20"/>
                <w:szCs w:val="20"/>
                <w:color w:val="auto"/>
              </w:rPr>
            </w:pPr>
            <w:r>
              <w:rPr>
                <w:rFonts w:ascii="Arial" w:cs="Arial" w:eastAsia="Arial" w:hAnsi="Arial"/>
                <w:sz w:val="18"/>
                <w:szCs w:val="18"/>
                <w:color w:val="auto"/>
              </w:rPr>
              <w:t>VSS - AHC Holdings, L.L.C.</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Other Media</w:t>
            </w:r>
          </w:p>
        </w:tc>
        <w:tc>
          <w:tcPr>
            <w:tcW w:w="980" w:type="dxa"/>
            <w:vAlign w:val="bottom"/>
            <w:gridSpan w:val="2"/>
          </w:tcPr>
          <w:p>
            <w:pPr>
              <w:jc w:val="right"/>
              <w:ind w:right="164"/>
              <w:spacing w:after="0" w:line="207" w:lineRule="exact"/>
              <w:rPr>
                <w:sz w:val="20"/>
                <w:szCs w:val="20"/>
                <w:color w:val="auto"/>
              </w:rPr>
            </w:pPr>
            <w:r>
              <w:rPr>
                <w:rFonts w:ascii="Arial" w:cs="Arial" w:eastAsia="Arial" w:hAnsi="Arial"/>
                <w:sz w:val="18"/>
                <w:szCs w:val="18"/>
                <w:color w:val="auto"/>
                <w:w w:val="93"/>
              </w:rPr>
              <w:t>20.00%</w:t>
            </w:r>
            <w:r>
              <w:rPr>
                <w:rFonts w:ascii="Arial" w:cs="Arial" w:eastAsia="Arial" w:hAnsi="Arial"/>
                <w:sz w:val="22"/>
                <w:szCs w:val="22"/>
                <w:color w:val="auto"/>
                <w:w w:val="93"/>
                <w:vertAlign w:val="superscript"/>
              </w:rPr>
              <w:t>(6)</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318,896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295,499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00" w:type="dxa"/>
            <w:vAlign w:val="bottom"/>
            <w:gridSpan w:val="3"/>
          </w:tcPr>
          <w:p>
            <w:pPr>
              <w:ind w:left="220"/>
              <w:spacing w:after="0"/>
              <w:rPr>
                <w:sz w:val="20"/>
                <w:szCs w:val="20"/>
                <w:color w:val="auto"/>
              </w:rPr>
            </w:pPr>
            <w:r>
              <w:rPr>
                <w:rFonts w:ascii="Arial" w:cs="Arial" w:eastAsia="Arial" w:hAnsi="Arial"/>
                <w:sz w:val="18"/>
                <w:szCs w:val="18"/>
                <w:color w:val="auto"/>
              </w:rPr>
              <w:t>(Advanstar, Inc.)</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Preferred Equity</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4,054,722</w:t>
            </w: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9,573,076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9,260,991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Basis Point</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Spread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b w:val="1"/>
                <w:bCs w:val="1"/>
                <w:color w:val="auto"/>
                <w:w w:val="93"/>
              </w:rPr>
              <w:t>Current</w:t>
            </w:r>
          </w:p>
        </w:tc>
        <w:tc>
          <w:tcPr>
            <w:tcW w:w="4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Above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34"/>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2320" w:type="dxa"/>
            <w:vAlign w:val="bottom"/>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Maturity</w:t>
            </w:r>
          </w:p>
        </w:tc>
        <w:tc>
          <w:tcPr>
            <w:tcW w:w="22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Coupon</w:t>
            </w:r>
          </w:p>
        </w:tc>
        <w:tc>
          <w:tcPr>
            <w:tcW w:w="480" w:type="dxa"/>
            <w:vAlign w:val="bottom"/>
          </w:tcPr>
          <w:p>
            <w:pPr>
              <w:spacing w:after="0"/>
              <w:rPr>
                <w:sz w:val="15"/>
                <w:szCs w:val="15"/>
                <w:color w:val="auto"/>
              </w:rPr>
            </w:pPr>
          </w:p>
        </w:tc>
        <w:tc>
          <w:tcPr>
            <w:tcW w:w="660" w:type="dxa"/>
            <w:vAlign w:val="bottom"/>
            <w:tcBorders>
              <w:bottom w:val="single" w:sz="8" w:color="auto"/>
            </w:tcBorders>
          </w:tcPr>
          <w:p>
            <w:pPr>
              <w:jc w:val="right"/>
              <w:ind w:right="16"/>
              <w:spacing w:after="0" w:line="176"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20"/>
                <w:szCs w:val="20"/>
                <w:b w:val="1"/>
                <w:bCs w:val="1"/>
                <w:color w:val="auto"/>
                <w:vertAlign w:val="superscript"/>
              </w:rPr>
              <w:t>(4)</w:t>
            </w:r>
          </w:p>
        </w:tc>
        <w:tc>
          <w:tcPr>
            <w:tcW w:w="340" w:type="dxa"/>
            <w:vAlign w:val="bottom"/>
          </w:tcPr>
          <w:p>
            <w:pPr>
              <w:spacing w:after="0"/>
              <w:rPr>
                <w:sz w:val="15"/>
                <w:szCs w:val="15"/>
                <w:color w:val="auto"/>
              </w:rPr>
            </w:pPr>
          </w:p>
        </w:tc>
        <w:tc>
          <w:tcPr>
            <w:tcW w:w="8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900" w:type="dxa"/>
            <w:vAlign w:val="bottom"/>
            <w:tcBorders>
              <w:bottom w:val="single" w:sz="8" w:color="auto"/>
            </w:tcBorders>
          </w:tcPr>
          <w:p>
            <w:pPr>
              <w:jc w:val="right"/>
              <w:ind w:right="114"/>
              <w:spacing w:after="0" w:line="176"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9"/>
        </w:trPr>
        <w:tc>
          <w:tcPr>
            <w:tcW w:w="3900" w:type="dxa"/>
            <w:vAlign w:val="bottom"/>
            <w:gridSpan w:val="3"/>
            <w:shd w:val="clear" w:color="auto" w:fill="CCEEFF"/>
          </w:tcPr>
          <w:p>
            <w:pPr>
              <w:spacing w:after="0" w:line="209" w:lineRule="exact"/>
              <w:rPr>
                <w:sz w:val="20"/>
                <w:szCs w:val="20"/>
                <w:color w:val="auto"/>
              </w:rPr>
            </w:pPr>
            <w:r>
              <w:rPr>
                <w:rFonts w:ascii="Arial" w:cs="Arial" w:eastAsia="Arial" w:hAnsi="Arial"/>
                <w:sz w:val="18"/>
                <w:szCs w:val="18"/>
                <w:b w:val="1"/>
                <w:bCs w:val="1"/>
                <w:color w:val="auto"/>
                <w:w w:val="99"/>
              </w:rPr>
              <w:t>Common Equity/Partnership Interest</w:t>
            </w:r>
            <w:r>
              <w:rPr>
                <w:rFonts w:ascii="Arial" w:cs="Arial" w:eastAsia="Arial" w:hAnsi="Arial"/>
                <w:sz w:val="22"/>
                <w:szCs w:val="22"/>
                <w:b w:val="1"/>
                <w:bCs w:val="1"/>
                <w:color w:val="auto"/>
                <w:w w:val="99"/>
                <w:vertAlign w:val="superscript"/>
              </w:rPr>
              <w:t>(7)</w:t>
            </w:r>
            <w:r>
              <w:rPr>
                <w:rFonts w:ascii="Arial" w:cs="Arial" w:eastAsia="Arial" w:hAnsi="Arial"/>
                <w:sz w:val="18"/>
                <w:szCs w:val="18"/>
                <w:b w:val="1"/>
                <w:bCs w:val="1"/>
                <w:color w:val="auto"/>
                <w:w w:val="99"/>
              </w:rPr>
              <w:t xml:space="preserve"> - 3.2%</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80" w:type="dxa"/>
            <w:vAlign w:val="bottom"/>
            <w:gridSpan w:val="2"/>
          </w:tcPr>
          <w:p>
            <w:pPr>
              <w:spacing w:after="0"/>
              <w:rPr>
                <w:sz w:val="20"/>
                <w:szCs w:val="20"/>
                <w:color w:val="auto"/>
              </w:rPr>
            </w:pPr>
            <w:r>
              <w:rPr>
                <w:rFonts w:ascii="Arial" w:cs="Arial" w:eastAsia="Arial" w:hAnsi="Arial"/>
                <w:sz w:val="18"/>
                <w:szCs w:val="18"/>
                <w:color w:val="auto"/>
              </w:rPr>
              <w:t>AHC Mezzanine</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Other Media</w:t>
            </w:r>
          </w:p>
        </w:tc>
        <w:tc>
          <w:tcPr>
            <w:tcW w:w="2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$ 3,000,000</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179,005</w:t>
            </w:r>
          </w:p>
        </w:tc>
        <w:tc>
          <w:tcPr>
            <w:tcW w:w="0" w:type="dxa"/>
            <w:vAlign w:val="bottom"/>
          </w:tcPr>
          <w:p>
            <w:pPr>
              <w:spacing w:after="0"/>
              <w:rPr>
                <w:sz w:val="1"/>
                <w:szCs w:val="1"/>
                <w:color w:val="auto"/>
              </w:rPr>
            </w:pPr>
          </w:p>
        </w:tc>
      </w:tr>
      <w:tr>
        <w:trPr>
          <w:trHeight w:val="222"/>
        </w:trPr>
        <w:tc>
          <w:tcPr>
            <w:tcW w:w="3080" w:type="dxa"/>
            <w:vAlign w:val="bottom"/>
            <w:gridSpan w:val="2"/>
          </w:tcPr>
          <w:p>
            <w:pPr>
              <w:ind w:left="220"/>
              <w:spacing w:after="0"/>
              <w:rPr>
                <w:sz w:val="20"/>
                <w:szCs w:val="20"/>
                <w:color w:val="auto"/>
              </w:rPr>
            </w:pPr>
            <w:r>
              <w:rPr>
                <w:rFonts w:ascii="Arial" w:cs="Arial" w:eastAsia="Arial" w:hAnsi="Arial"/>
                <w:sz w:val="18"/>
                <w:szCs w:val="18"/>
                <w:color w:val="auto"/>
              </w:rPr>
              <w:t>(Advanstar, Inc.)</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CFHC Holdings, Inc.,</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Aerospace and Defense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8"/>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Foundries, Inc.)</w:t>
            </w: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080" w:type="dxa"/>
            <w:vAlign w:val="bottom"/>
            <w:gridSpan w:val="2"/>
          </w:tcPr>
          <w:p>
            <w:pPr>
              <w:spacing w:after="0"/>
              <w:rPr>
                <w:sz w:val="20"/>
                <w:szCs w:val="20"/>
                <w:color w:val="auto"/>
              </w:rPr>
            </w:pPr>
            <w:r>
              <w:rPr>
                <w:rFonts w:ascii="Arial" w:cs="Arial" w:eastAsia="Arial" w:hAnsi="Arial"/>
                <w:sz w:val="18"/>
                <w:szCs w:val="18"/>
                <w:color w:val="auto"/>
              </w:rPr>
              <w:t>CT Technologies Holdings, LLC</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5"/>
              </w:rPr>
              <w:t>Business Services</w:t>
            </w:r>
          </w:p>
        </w:tc>
        <w:tc>
          <w:tcPr>
            <w:tcW w:w="2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5,556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3,200,000</w:t>
            </w:r>
          </w:p>
        </w:tc>
        <w:tc>
          <w:tcPr>
            <w:tcW w:w="900" w:type="dxa"/>
            <w:vAlign w:val="bottom"/>
          </w:tcPr>
          <w:p>
            <w:pPr>
              <w:jc w:val="right"/>
              <w:spacing w:after="0"/>
              <w:rPr>
                <w:sz w:val="20"/>
                <w:szCs w:val="20"/>
                <w:color w:val="auto"/>
              </w:rPr>
            </w:pPr>
            <w:r>
              <w:rPr>
                <w:rFonts w:ascii="Arial" w:cs="Arial" w:eastAsia="Arial" w:hAnsi="Arial"/>
                <w:sz w:val="18"/>
                <w:szCs w:val="18"/>
                <w:color w:val="auto"/>
              </w:rPr>
              <w:t>2,880,000</w:t>
            </w:r>
          </w:p>
        </w:tc>
        <w:tc>
          <w:tcPr>
            <w:tcW w:w="0" w:type="dxa"/>
            <w:vAlign w:val="bottom"/>
          </w:tcPr>
          <w:p>
            <w:pPr>
              <w:spacing w:after="0"/>
              <w:rPr>
                <w:sz w:val="1"/>
                <w:szCs w:val="1"/>
                <w:color w:val="auto"/>
              </w:rPr>
            </w:pPr>
          </w:p>
        </w:tc>
      </w:tr>
      <w:tr>
        <w:trPr>
          <w:trHeight w:val="216"/>
        </w:trPr>
        <w:tc>
          <w:tcPr>
            <w:tcW w:w="3080" w:type="dxa"/>
            <w:vAlign w:val="bottom"/>
            <w:gridSpan w:val="2"/>
          </w:tcPr>
          <w:p>
            <w:pPr>
              <w:ind w:left="220"/>
              <w:spacing w:after="0"/>
              <w:rPr>
                <w:sz w:val="20"/>
                <w:szCs w:val="20"/>
                <w:color w:val="auto"/>
              </w:rPr>
            </w:pPr>
            <w:r>
              <w:rPr>
                <w:rFonts w:ascii="Arial" w:cs="Arial" w:eastAsia="Arial" w:hAnsi="Arial"/>
                <w:sz w:val="18"/>
                <w:szCs w:val="18"/>
                <w:color w:val="auto"/>
              </w:rPr>
              <w:t>(CT Technologies Intermediate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gridSpan w:val="2"/>
          </w:tcPr>
          <w:p>
            <w:pPr>
              <w:ind w:left="220"/>
              <w:spacing w:after="0"/>
              <w:rPr>
                <w:sz w:val="20"/>
                <w:szCs w:val="20"/>
                <w:color w:val="auto"/>
              </w:rPr>
            </w:pPr>
            <w:r>
              <w:rPr>
                <w:rFonts w:ascii="Arial" w:cs="Arial" w:eastAsia="Arial" w:hAnsi="Arial"/>
                <w:sz w:val="18"/>
                <w:szCs w:val="18"/>
                <w:color w:val="auto"/>
              </w:rPr>
              <w:t>Holdings, Inc.)</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Aerospace and Defense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1,308,628</w:t>
            </w:r>
          </w:p>
        </w:tc>
        <w:tc>
          <w:tcPr>
            <w:tcW w:w="0" w:type="dxa"/>
            <w:vAlign w:val="bottom"/>
          </w:tcPr>
          <w:p>
            <w:pPr>
              <w:spacing w:after="0"/>
              <w:rPr>
                <w:sz w:val="1"/>
                <w:szCs w:val="1"/>
                <w:color w:val="auto"/>
              </w:rPr>
            </w:pPr>
          </w:p>
        </w:tc>
      </w:tr>
      <w:tr>
        <w:trPr>
          <w:trHeight w:val="208"/>
        </w:trPr>
        <w:tc>
          <w:tcPr>
            <w:tcW w:w="3080" w:type="dxa"/>
            <w:vAlign w:val="bottom"/>
            <w:gridSpan w:val="2"/>
          </w:tcPr>
          <w:p>
            <w:pPr>
              <w:spacing w:after="0"/>
              <w:rPr>
                <w:sz w:val="20"/>
                <w:szCs w:val="20"/>
                <w:color w:val="auto"/>
              </w:rPr>
            </w:pPr>
            <w:r>
              <w:rPr>
                <w:rFonts w:ascii="Arial" w:cs="Arial" w:eastAsia="Arial" w:hAnsi="Arial"/>
                <w:sz w:val="18"/>
                <w:szCs w:val="18"/>
                <w:color w:val="auto"/>
              </w:rPr>
              <w:t>TZ Holdings, L.P.</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5"/>
              </w:rPr>
              <w:t>Insurance</w:t>
            </w:r>
          </w:p>
        </w:tc>
        <w:tc>
          <w:tcPr>
            <w:tcW w:w="2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2,173</w:t>
            </w:r>
          </w:p>
        </w:tc>
        <w:tc>
          <w:tcPr>
            <w:tcW w:w="900" w:type="dxa"/>
            <w:vAlign w:val="bottom"/>
          </w:tcPr>
          <w:p>
            <w:pPr>
              <w:jc w:val="right"/>
              <w:spacing w:after="0"/>
              <w:rPr>
                <w:sz w:val="20"/>
                <w:szCs w:val="20"/>
                <w:color w:val="auto"/>
              </w:rPr>
            </w:pPr>
            <w:r>
              <w:rPr>
                <w:rFonts w:ascii="Arial" w:cs="Arial" w:eastAsia="Arial" w:hAnsi="Arial"/>
                <w:sz w:val="18"/>
                <w:szCs w:val="18"/>
                <w:color w:val="auto"/>
              </w:rPr>
              <w:t>267,521</w:t>
            </w:r>
          </w:p>
        </w:tc>
        <w:tc>
          <w:tcPr>
            <w:tcW w:w="0" w:type="dxa"/>
            <w:vAlign w:val="bottom"/>
          </w:tcPr>
          <w:p>
            <w:pPr>
              <w:spacing w:after="0"/>
              <w:rPr>
                <w:sz w:val="1"/>
                <w:szCs w:val="1"/>
                <w:color w:val="auto"/>
              </w:rPr>
            </w:pPr>
          </w:p>
        </w:tc>
      </w:tr>
      <w:tr>
        <w:trPr>
          <w:trHeight w:val="222"/>
        </w:trPr>
        <w:tc>
          <w:tcPr>
            <w:tcW w:w="3080" w:type="dxa"/>
            <w:vAlign w:val="bottom"/>
            <w:gridSpan w:val="2"/>
          </w:tcPr>
          <w:p>
            <w:pPr>
              <w:ind w:left="220"/>
              <w:spacing w:after="0"/>
              <w:rPr>
                <w:sz w:val="20"/>
                <w:szCs w:val="20"/>
                <w:color w:val="auto"/>
              </w:rPr>
            </w:pPr>
            <w:r>
              <w:rPr>
                <w:rFonts w:ascii="Arial" w:cs="Arial" w:eastAsia="Arial" w:hAnsi="Arial"/>
                <w:sz w:val="18"/>
                <w:szCs w:val="18"/>
                <w:color w:val="auto"/>
              </w:rPr>
              <w:t>(TZ Merger Sub, Inc.)</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Holdings Inc.</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Oil and Gas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91,608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2,238,863</w:t>
            </w:r>
          </w:p>
        </w:tc>
        <w:tc>
          <w:tcPr>
            <w:tcW w:w="0" w:type="dxa"/>
            <w:vAlign w:val="bottom"/>
          </w:tcPr>
          <w:p>
            <w:pPr>
              <w:spacing w:after="0"/>
              <w:rPr>
                <w:sz w:val="1"/>
                <w:szCs w:val="1"/>
                <w:color w:val="auto"/>
              </w:rPr>
            </w:pPr>
          </w:p>
        </w:tc>
      </w:tr>
      <w:tr>
        <w:trPr>
          <w:trHeight w:val="224"/>
        </w:trPr>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(UP Acquisitions Sub Inc.)</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Total Common Equity/Partnership Interest</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541,793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6,659,360</w:t>
            </w:r>
          </w:p>
        </w:tc>
        <w:tc>
          <w:tcPr>
            <w:tcW w:w="900" w:type="dxa"/>
            <w:vAlign w:val="bottom"/>
          </w:tcPr>
          <w:p>
            <w:pPr>
              <w:jc w:val="right"/>
              <w:spacing w:after="0"/>
              <w:rPr>
                <w:sz w:val="20"/>
                <w:szCs w:val="20"/>
                <w:color w:val="auto"/>
              </w:rPr>
            </w:pPr>
            <w:r>
              <w:rPr>
                <w:rFonts w:ascii="Arial" w:cs="Arial" w:eastAsia="Arial" w:hAnsi="Arial"/>
                <w:sz w:val="18"/>
                <w:szCs w:val="18"/>
                <w:color w:val="auto"/>
              </w:rPr>
              <w:t>6,874,017</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Equity Warrants</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 xml:space="preserve"> - 0.1%</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80" w:type="dxa"/>
            <w:vAlign w:val="bottom"/>
            <w:gridSpan w:val="2"/>
          </w:tcPr>
          <w:p>
            <w:pPr>
              <w:spacing w:after="0"/>
              <w:rPr>
                <w:sz w:val="20"/>
                <w:szCs w:val="20"/>
                <w:color w:val="auto"/>
              </w:rPr>
            </w:pPr>
            <w:r>
              <w:rPr>
                <w:rFonts w:ascii="Arial" w:cs="Arial" w:eastAsia="Arial" w:hAnsi="Arial"/>
                <w:sz w:val="18"/>
                <w:szCs w:val="18"/>
                <w:color w:val="auto"/>
              </w:rPr>
              <w:t>VSS-AHC Holdings, L.L.C., expire</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Other Media</w:t>
            </w:r>
          </w:p>
        </w:tc>
        <w:tc>
          <w:tcPr>
            <w:tcW w:w="1160" w:type="dxa"/>
            <w:vAlign w:val="bottom"/>
            <w:gridSpan w:val="3"/>
          </w:tcPr>
          <w:p>
            <w:pPr>
              <w:jc w:val="right"/>
              <w:ind w:right="284"/>
              <w:spacing w:after="0"/>
              <w:rPr>
                <w:sz w:val="20"/>
                <w:szCs w:val="20"/>
                <w:color w:val="auto"/>
              </w:rPr>
            </w:pPr>
            <w:r>
              <w:rPr>
                <w:rFonts w:ascii="Arial" w:cs="Arial" w:eastAsia="Arial" w:hAnsi="Arial"/>
                <w:sz w:val="18"/>
                <w:szCs w:val="18"/>
                <w:color w:val="auto"/>
              </w:rPr>
              <w:t>20.00%</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119,337</w:t>
            </w:r>
          </w:p>
        </w:tc>
        <w:tc>
          <w:tcPr>
            <w:tcW w:w="0" w:type="dxa"/>
            <w:vAlign w:val="bottom"/>
          </w:tcPr>
          <w:p>
            <w:pPr>
              <w:spacing w:after="0"/>
              <w:rPr>
                <w:sz w:val="1"/>
                <w:szCs w:val="1"/>
                <w:color w:val="auto"/>
              </w:rPr>
            </w:pPr>
          </w:p>
        </w:tc>
      </w:tr>
      <w:tr>
        <w:trPr>
          <w:trHeight w:val="216"/>
        </w:trPr>
        <w:tc>
          <w:tcPr>
            <w:tcW w:w="760" w:type="dxa"/>
            <w:vAlign w:val="bottom"/>
          </w:tcPr>
          <w:p>
            <w:pPr>
              <w:ind w:left="220"/>
              <w:spacing w:after="0"/>
              <w:rPr>
                <w:sz w:val="20"/>
                <w:szCs w:val="20"/>
                <w:color w:val="auto"/>
              </w:rPr>
            </w:pPr>
            <w:r>
              <w:rPr>
                <w:rFonts w:ascii="Arial" w:cs="Arial" w:eastAsia="Arial" w:hAnsi="Arial"/>
                <w:sz w:val="18"/>
                <w:szCs w:val="18"/>
                <w:color w:val="auto"/>
                <w:w w:val="86"/>
              </w:rPr>
              <w:t>11/6/18</w:t>
            </w:r>
          </w:p>
        </w:tc>
        <w:tc>
          <w:tcPr>
            <w:tcW w:w="2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ind w:left="220"/>
              <w:spacing w:after="0"/>
              <w:rPr>
                <w:sz w:val="20"/>
                <w:szCs w:val="20"/>
                <w:color w:val="auto"/>
              </w:rPr>
            </w:pPr>
            <w:r>
              <w:rPr>
                <w:rFonts w:ascii="Arial" w:cs="Arial" w:eastAsia="Arial" w:hAnsi="Arial"/>
                <w:sz w:val="18"/>
                <w:szCs w:val="18"/>
                <w:color w:val="auto"/>
              </w:rPr>
              <w:t>(Advanstar, Inc.)</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Par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- 27.9%</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80" w:type="dxa"/>
            <w:vAlign w:val="bottom"/>
            <w:gridSpan w:val="2"/>
          </w:tcPr>
          <w:p>
            <w:pPr>
              <w:spacing w:after="0"/>
              <w:rPr>
                <w:sz w:val="20"/>
                <w:szCs w:val="20"/>
                <w:color w:val="auto"/>
              </w:rPr>
            </w:pPr>
            <w:r>
              <w:rPr>
                <w:rFonts w:ascii="Arial" w:cs="Arial" w:eastAsia="Arial" w:hAnsi="Arial"/>
                <w:sz w:val="18"/>
                <w:szCs w:val="18"/>
                <w:color w:val="auto"/>
              </w:rPr>
              <w:t>Burlington Coat Factory Warehouse</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5/28/2013</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Retail Store</w:t>
            </w:r>
          </w:p>
        </w:tc>
        <w:tc>
          <w:tcPr>
            <w:tcW w:w="1160" w:type="dxa"/>
            <w:vAlign w:val="bottom"/>
            <w:gridSpan w:val="3"/>
          </w:tcPr>
          <w:p>
            <w:pPr>
              <w:jc w:val="right"/>
              <w:ind w:right="284"/>
              <w:spacing w:after="0"/>
              <w:rPr>
                <w:sz w:val="20"/>
                <w:szCs w:val="20"/>
                <w:color w:val="auto"/>
              </w:rPr>
            </w:pPr>
            <w:r>
              <w:rPr>
                <w:rFonts w:ascii="Arial" w:cs="Arial" w:eastAsia="Arial" w:hAnsi="Arial"/>
                <w:sz w:val="18"/>
                <w:szCs w:val="18"/>
                <w:color w:val="auto"/>
              </w:rPr>
              <w:t>4.45%</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L+225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$ 7,896,473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7,889,518</w:t>
            </w:r>
          </w:p>
        </w:tc>
        <w:tc>
          <w:tcPr>
            <w:tcW w:w="900" w:type="dxa"/>
            <w:vAlign w:val="bottom"/>
          </w:tcPr>
          <w:p>
            <w:pPr>
              <w:jc w:val="right"/>
              <w:spacing w:after="0"/>
              <w:rPr>
                <w:sz w:val="20"/>
                <w:szCs w:val="20"/>
                <w:color w:val="auto"/>
              </w:rPr>
            </w:pPr>
            <w:r>
              <w:rPr>
                <w:rFonts w:ascii="Arial" w:cs="Arial" w:eastAsia="Arial" w:hAnsi="Arial"/>
                <w:sz w:val="18"/>
                <w:szCs w:val="18"/>
                <w:color w:val="auto"/>
              </w:rPr>
              <w:t>3,382,320</w:t>
            </w:r>
          </w:p>
        </w:tc>
        <w:tc>
          <w:tcPr>
            <w:tcW w:w="0" w:type="dxa"/>
            <w:vAlign w:val="bottom"/>
          </w:tcPr>
          <w:p>
            <w:pPr>
              <w:spacing w:after="0"/>
              <w:rPr>
                <w:sz w:val="1"/>
                <w:szCs w:val="1"/>
                <w:color w:val="auto"/>
              </w:rPr>
            </w:pPr>
          </w:p>
        </w:tc>
      </w:tr>
      <w:tr>
        <w:trPr>
          <w:trHeight w:val="222"/>
        </w:trPr>
        <w:tc>
          <w:tcPr>
            <w:tcW w:w="3080" w:type="dxa"/>
            <w:vAlign w:val="bottom"/>
            <w:gridSpan w:val="2"/>
          </w:tcPr>
          <w:p>
            <w:pPr>
              <w:ind w:left="220"/>
              <w:spacing w:after="0"/>
              <w:rPr>
                <w:sz w:val="20"/>
                <w:szCs w:val="20"/>
                <w:color w:val="auto"/>
              </w:rPr>
            </w:pPr>
            <w:r>
              <w:rPr>
                <w:rFonts w:ascii="Arial" w:cs="Arial" w:eastAsia="Arial" w:hAnsi="Arial"/>
                <w:sz w:val="18"/>
                <w:szCs w:val="18"/>
                <w:color w:val="auto"/>
              </w:rPr>
              <w:t>Corp.</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Cohr Holdings,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1/31/2013</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Healthcare, Education and</w:t>
            </w:r>
          </w:p>
        </w:tc>
        <w:tc>
          <w:tcPr>
            <w:tcW w:w="1160" w:type="dxa"/>
            <w:vAlign w:val="bottom"/>
            <w:gridSpan w:val="3"/>
            <w:shd w:val="clear" w:color="auto" w:fill="CCEEFF"/>
          </w:tcPr>
          <w:p>
            <w:pPr>
              <w:jc w:val="right"/>
              <w:ind w:right="284"/>
              <w:spacing w:after="0"/>
              <w:rPr>
                <w:sz w:val="20"/>
                <w:szCs w:val="20"/>
                <w:color w:val="auto"/>
              </w:rPr>
            </w:pPr>
            <w:r>
              <w:rPr>
                <w:rFonts w:ascii="Arial" w:cs="Arial" w:eastAsia="Arial" w:hAnsi="Arial"/>
                <w:sz w:val="18"/>
                <w:szCs w:val="18"/>
                <w:color w:val="auto"/>
              </w:rPr>
              <w:t>3.65%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L+250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2,947,500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2,947,500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1,311,638</w:t>
            </w:r>
          </w:p>
        </w:tc>
        <w:tc>
          <w:tcPr>
            <w:tcW w:w="0" w:type="dxa"/>
            <w:vAlign w:val="bottom"/>
          </w:tcPr>
          <w:p>
            <w:pPr>
              <w:spacing w:after="0"/>
              <w:rPr>
                <w:sz w:val="1"/>
                <w:szCs w:val="1"/>
                <w:color w:val="auto"/>
              </w:rPr>
            </w:pPr>
          </w:p>
        </w:tc>
      </w:tr>
      <w:tr>
        <w:trPr>
          <w:trHeight w:val="238"/>
        </w:trPr>
        <w:tc>
          <w:tcPr>
            <w:tcW w:w="7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Childcare</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EnviroSolutions, Inc.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8/7/2012</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Environmental Services</w:t>
            </w:r>
          </w:p>
        </w:tc>
        <w:tc>
          <w:tcPr>
            <w:tcW w:w="1160" w:type="dxa"/>
            <w:vAlign w:val="bottom"/>
            <w:gridSpan w:val="3"/>
          </w:tcPr>
          <w:p>
            <w:pPr>
              <w:jc w:val="right"/>
              <w:ind w:right="144"/>
              <w:spacing w:after="0" w:line="216" w:lineRule="exact"/>
              <w:rPr>
                <w:sz w:val="20"/>
                <w:szCs w:val="20"/>
                <w:color w:val="auto"/>
              </w:rPr>
            </w:pPr>
            <w:r>
              <w:rPr>
                <w:rFonts w:ascii="Arial" w:cs="Arial" w:eastAsia="Arial" w:hAnsi="Arial"/>
                <w:sz w:val="18"/>
                <w:szCs w:val="18"/>
                <w:color w:val="auto"/>
              </w:rPr>
              <w:t>10.50%</w:t>
            </w:r>
            <w:r>
              <w:rPr>
                <w:rFonts w:ascii="Arial" w:cs="Arial" w:eastAsia="Arial" w:hAnsi="Arial"/>
                <w:sz w:val="22"/>
                <w:szCs w:val="22"/>
                <w:color w:val="auto"/>
                <w:vertAlign w:val="superscript"/>
              </w:rPr>
              <w:t>(6)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L+825</w:t>
            </w:r>
            <w:r>
              <w:rPr>
                <w:rFonts w:ascii="Arial" w:cs="Arial" w:eastAsia="Arial" w:hAnsi="Arial"/>
                <w:sz w:val="11"/>
                <w:szCs w:val="11"/>
                <w:color w:val="auto"/>
              </w:rPr>
              <w:t>(8)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14,049,991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13,071,204</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13,445,841</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8/7/2012</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Environmental Services</w:t>
            </w:r>
          </w:p>
        </w:tc>
        <w:tc>
          <w:tcPr>
            <w:tcW w:w="1160" w:type="dxa"/>
            <w:vAlign w:val="bottom"/>
            <w:gridSpan w:val="3"/>
            <w:shd w:val="clear" w:color="auto" w:fill="CCEEFF"/>
          </w:tcPr>
          <w:p>
            <w:pPr>
              <w:jc w:val="right"/>
              <w:ind w:right="284"/>
              <w:spacing w:after="0"/>
              <w:rPr>
                <w:sz w:val="20"/>
                <w:szCs w:val="20"/>
                <w:color w:val="auto"/>
              </w:rPr>
            </w:pPr>
            <w:r>
              <w:rPr>
                <w:rFonts w:ascii="Arial" w:cs="Arial" w:eastAsia="Arial" w:hAnsi="Arial"/>
                <w:sz w:val="18"/>
                <w:szCs w:val="18"/>
                <w:color w:val="auto"/>
              </w:rPr>
              <w:t>10.50%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P+725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Gatehouse Media Operating, Inc.</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8/28/2014</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Media</w:t>
            </w:r>
          </w:p>
        </w:tc>
        <w:tc>
          <w:tcPr>
            <w:tcW w:w="1160" w:type="dxa"/>
            <w:vAlign w:val="bottom"/>
            <w:gridSpan w:val="3"/>
          </w:tcPr>
          <w:p>
            <w:pPr>
              <w:jc w:val="right"/>
              <w:ind w:right="284"/>
              <w:spacing w:after="0"/>
              <w:rPr>
                <w:sz w:val="20"/>
                <w:szCs w:val="20"/>
                <w:color w:val="auto"/>
              </w:rPr>
            </w:pPr>
            <w:r>
              <w:rPr>
                <w:rFonts w:ascii="Arial" w:cs="Arial" w:eastAsia="Arial" w:hAnsi="Arial"/>
                <w:sz w:val="18"/>
                <w:szCs w:val="18"/>
                <w:color w:val="auto"/>
              </w:rPr>
              <w:t>4.53%</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L+200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7,000,000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7,000,000</w:t>
            </w:r>
          </w:p>
        </w:tc>
        <w:tc>
          <w:tcPr>
            <w:tcW w:w="900" w:type="dxa"/>
            <w:vAlign w:val="bottom"/>
          </w:tcPr>
          <w:p>
            <w:pPr>
              <w:jc w:val="right"/>
              <w:spacing w:after="0"/>
              <w:rPr>
                <w:sz w:val="20"/>
                <w:szCs w:val="20"/>
                <w:color w:val="auto"/>
              </w:rPr>
            </w:pPr>
            <w:r>
              <w:rPr>
                <w:rFonts w:ascii="Arial" w:cs="Arial" w:eastAsia="Arial" w:hAnsi="Arial"/>
                <w:sz w:val="18"/>
                <w:szCs w:val="18"/>
                <w:color w:val="auto"/>
              </w:rPr>
              <w:t>882,000</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Nutrition Centers,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9/16/2013</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Retail Store</w:t>
            </w:r>
          </w:p>
        </w:tc>
        <w:tc>
          <w:tcPr>
            <w:tcW w:w="1160" w:type="dxa"/>
            <w:vAlign w:val="bottom"/>
            <w:gridSpan w:val="3"/>
            <w:shd w:val="clear" w:color="auto" w:fill="CCEEFF"/>
          </w:tcPr>
          <w:p>
            <w:pPr>
              <w:jc w:val="right"/>
              <w:ind w:right="284"/>
              <w:spacing w:after="0"/>
              <w:rPr>
                <w:sz w:val="20"/>
                <w:szCs w:val="20"/>
                <w:color w:val="auto"/>
              </w:rPr>
            </w:pPr>
            <w:r>
              <w:rPr>
                <w:rFonts w:ascii="Arial" w:cs="Arial" w:eastAsia="Arial" w:hAnsi="Arial"/>
                <w:sz w:val="18"/>
                <w:szCs w:val="18"/>
                <w:color w:val="auto"/>
              </w:rPr>
              <w:t>4.89%</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L+225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3,401,440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3,403,138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2,812,991</w:t>
            </w:r>
          </w:p>
        </w:tc>
        <w:tc>
          <w:tcPr>
            <w:tcW w:w="0" w:type="dxa"/>
            <w:vAlign w:val="bottom"/>
          </w:tcPr>
          <w:p>
            <w:pPr>
              <w:spacing w:after="0"/>
              <w:rPr>
                <w:sz w:val="1"/>
                <w:szCs w:val="1"/>
                <w:color w:val="auto"/>
              </w:rPr>
            </w:pPr>
          </w:p>
        </w:tc>
      </w:tr>
      <w:tr>
        <w:trPr>
          <w:trHeight w:val="142"/>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Greatwide Logistics Services, Inc.</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8"/>
              </w:rPr>
              <w:t>12/19/2013</w:t>
            </w:r>
          </w:p>
        </w:tc>
        <w:tc>
          <w:tcPr>
            <w:tcW w:w="22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6"/>
              </w:rPr>
              <w:t>Cargo Transport</w:t>
            </w:r>
          </w:p>
        </w:tc>
        <w:tc>
          <w:tcPr>
            <w:tcW w:w="220" w:type="dxa"/>
            <w:vAlign w:val="bottom"/>
          </w:tcPr>
          <w:p>
            <w:pPr>
              <w:spacing w:after="0"/>
              <w:rPr>
                <w:sz w:val="12"/>
                <w:szCs w:val="12"/>
                <w:color w:val="auto"/>
              </w:rPr>
            </w:pP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44"/>
              <w:spacing w:after="0"/>
              <w:rPr>
                <w:sz w:val="20"/>
                <w:szCs w:val="20"/>
                <w:color w:val="auto"/>
              </w:rPr>
            </w:pPr>
            <w:r>
              <w:rPr>
                <w:rFonts w:ascii="Arial" w:cs="Arial" w:eastAsia="Arial" w:hAnsi="Arial"/>
                <w:sz w:val="11"/>
                <w:szCs w:val="11"/>
                <w:color w:val="auto"/>
              </w:rPr>
              <w:t>(7)</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6,912,500</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6,912,500</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4,087,016</w:t>
            </w:r>
          </w:p>
        </w:tc>
        <w:tc>
          <w:tcPr>
            <w:tcW w:w="0" w:type="dxa"/>
            <w:vAlign w:val="bottom"/>
          </w:tcPr>
          <w:p>
            <w:pPr>
              <w:spacing w:after="0"/>
              <w:rPr>
                <w:sz w:val="1"/>
                <w:szCs w:val="1"/>
                <w:color w:val="auto"/>
              </w:rPr>
            </w:pPr>
          </w:p>
        </w:tc>
      </w:tr>
      <w:tr>
        <w:trPr>
          <w:trHeight w:val="74"/>
        </w:trPr>
        <w:tc>
          <w:tcPr>
            <w:tcW w:w="308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Greatwide Logistics Services,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12/19/2013</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Cargo Transport</w:t>
            </w:r>
          </w:p>
        </w:tc>
        <w:tc>
          <w:tcPr>
            <w:tcW w:w="1160" w:type="dxa"/>
            <w:vAlign w:val="bottom"/>
            <w:gridSpan w:val="3"/>
            <w:shd w:val="clear" w:color="auto" w:fill="CCEEFF"/>
          </w:tcPr>
          <w:p>
            <w:pPr>
              <w:jc w:val="right"/>
              <w:ind w:right="284"/>
              <w:spacing w:after="0"/>
              <w:rPr>
                <w:sz w:val="20"/>
                <w:szCs w:val="20"/>
                <w:color w:val="auto"/>
              </w:rPr>
            </w:pPr>
            <w:r>
              <w:rPr>
                <w:rFonts w:ascii="Arial" w:cs="Arial" w:eastAsia="Arial" w:hAnsi="Arial"/>
                <w:sz w:val="18"/>
                <w:szCs w:val="18"/>
                <w:color w:val="auto"/>
              </w:rPr>
              <w:t>11.25%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P+600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221,467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213,071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212,609</w:t>
            </w:r>
          </w:p>
        </w:tc>
        <w:tc>
          <w:tcPr>
            <w:tcW w:w="0" w:type="dxa"/>
            <w:vAlign w:val="bottom"/>
          </w:tcPr>
          <w:p>
            <w:pPr>
              <w:spacing w:after="0"/>
              <w:rPr>
                <w:sz w:val="1"/>
                <w:szCs w:val="1"/>
                <w:color w:val="auto"/>
              </w:rPr>
            </w:pPr>
          </w:p>
        </w:tc>
      </w:tr>
      <w:tr>
        <w:trPr>
          <w:trHeight w:val="238"/>
        </w:trPr>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(Debtor in Possession)</w:t>
            </w: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080" w:type="dxa"/>
            <w:vAlign w:val="bottom"/>
            <w:gridSpan w:val="2"/>
          </w:tcPr>
          <w:p>
            <w:pPr>
              <w:spacing w:after="0"/>
              <w:rPr>
                <w:sz w:val="20"/>
                <w:szCs w:val="20"/>
                <w:color w:val="auto"/>
              </w:rPr>
            </w:pPr>
            <w:r>
              <w:rPr>
                <w:rFonts w:ascii="Arial" w:cs="Arial" w:eastAsia="Arial" w:hAnsi="Arial"/>
                <w:sz w:val="18"/>
                <w:szCs w:val="18"/>
                <w:color w:val="auto"/>
              </w:rPr>
              <w:t>Greatwide Logistics Services, Inc.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12/19/2013</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6"/>
              </w:rPr>
              <w:t>Cargo Transport</w:t>
            </w:r>
          </w:p>
        </w:tc>
        <w:tc>
          <w:tcPr>
            <w:tcW w:w="2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278,533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278,533</w:t>
            </w:r>
          </w:p>
        </w:tc>
        <w:tc>
          <w:tcPr>
            <w:tcW w:w="900" w:type="dxa"/>
            <w:vAlign w:val="bottom"/>
          </w:tcPr>
          <w:p>
            <w:pPr>
              <w:jc w:val="right"/>
              <w:spacing w:after="0"/>
              <w:rPr>
                <w:sz w:val="20"/>
                <w:szCs w:val="20"/>
                <w:color w:val="auto"/>
              </w:rPr>
            </w:pPr>
            <w:r>
              <w:rPr>
                <w:rFonts w:ascii="Arial" w:cs="Arial" w:eastAsia="Arial" w:hAnsi="Arial"/>
                <w:sz w:val="18"/>
                <w:szCs w:val="18"/>
                <w:color w:val="auto"/>
              </w:rPr>
              <w:t>267,391</w:t>
            </w:r>
          </w:p>
        </w:tc>
        <w:tc>
          <w:tcPr>
            <w:tcW w:w="0" w:type="dxa"/>
            <w:vAlign w:val="bottom"/>
          </w:tcPr>
          <w:p>
            <w:pPr>
              <w:spacing w:after="0"/>
              <w:rPr>
                <w:sz w:val="1"/>
                <w:szCs w:val="1"/>
                <w:color w:val="auto"/>
              </w:rPr>
            </w:pPr>
          </w:p>
        </w:tc>
      </w:tr>
      <w:tr>
        <w:trPr>
          <w:trHeight w:val="224"/>
        </w:trPr>
        <w:tc>
          <w:tcPr>
            <w:tcW w:w="3080" w:type="dxa"/>
            <w:vAlign w:val="bottom"/>
            <w:gridSpan w:val="2"/>
          </w:tcPr>
          <w:p>
            <w:pPr>
              <w:ind w:left="220"/>
              <w:spacing w:after="0" w:line="224" w:lineRule="exact"/>
              <w:rPr>
                <w:sz w:val="20"/>
                <w:szCs w:val="20"/>
                <w:color w:val="auto"/>
              </w:rPr>
            </w:pPr>
            <w:r>
              <w:rPr>
                <w:rFonts w:ascii="Arial" w:cs="Arial" w:eastAsia="Arial" w:hAnsi="Arial"/>
                <w:sz w:val="18"/>
                <w:szCs w:val="18"/>
                <w:color w:val="auto"/>
              </w:rPr>
              <w:t xml:space="preserve">(Debtor in Possession) </w:t>
            </w:r>
            <w:r>
              <w:rPr>
                <w:rFonts w:ascii="Arial" w:cs="Arial" w:eastAsia="Arial" w:hAnsi="Arial"/>
                <w:sz w:val="22"/>
                <w:szCs w:val="22"/>
                <w:color w:val="auto"/>
                <w:vertAlign w:val="superscript"/>
              </w:rPr>
              <w:t>(9)</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Hanley- Wood,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3/8/2014</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Media</w:t>
            </w:r>
          </w:p>
        </w:tc>
        <w:tc>
          <w:tcPr>
            <w:tcW w:w="1160" w:type="dxa"/>
            <w:vAlign w:val="bottom"/>
            <w:gridSpan w:val="3"/>
            <w:shd w:val="clear" w:color="auto" w:fill="CCEEFF"/>
          </w:tcPr>
          <w:p>
            <w:pPr>
              <w:jc w:val="right"/>
              <w:ind w:right="284"/>
              <w:spacing w:after="0"/>
              <w:rPr>
                <w:sz w:val="20"/>
                <w:szCs w:val="20"/>
                <w:color w:val="auto"/>
              </w:rPr>
            </w:pPr>
            <w:r>
              <w:rPr>
                <w:rFonts w:ascii="Arial" w:cs="Arial" w:eastAsia="Arial" w:hAnsi="Arial"/>
                <w:sz w:val="18"/>
                <w:szCs w:val="18"/>
                <w:color w:val="auto"/>
              </w:rPr>
              <w:t>4.08%</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L+225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8,887,500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8,887,500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3,762,372</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Hughes Network Systems, L.L.C.</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4/15/2014</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Telecommunications</w:t>
            </w:r>
          </w:p>
        </w:tc>
        <w:tc>
          <w:tcPr>
            <w:tcW w:w="1160" w:type="dxa"/>
            <w:vAlign w:val="bottom"/>
            <w:gridSpan w:val="3"/>
          </w:tcPr>
          <w:p>
            <w:pPr>
              <w:jc w:val="right"/>
              <w:ind w:right="284"/>
              <w:spacing w:after="0"/>
              <w:rPr>
                <w:sz w:val="20"/>
                <w:szCs w:val="20"/>
                <w:color w:val="auto"/>
              </w:rPr>
            </w:pPr>
            <w:r>
              <w:rPr>
                <w:rFonts w:ascii="Arial" w:cs="Arial" w:eastAsia="Arial" w:hAnsi="Arial"/>
                <w:sz w:val="18"/>
                <w:szCs w:val="18"/>
                <w:color w:val="auto"/>
              </w:rPr>
              <w:t>4.69%</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L+250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5,000,000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5,000,000</w:t>
            </w:r>
          </w:p>
        </w:tc>
        <w:tc>
          <w:tcPr>
            <w:tcW w:w="900" w:type="dxa"/>
            <w:vAlign w:val="bottom"/>
          </w:tcPr>
          <w:p>
            <w:pPr>
              <w:jc w:val="right"/>
              <w:spacing w:after="0"/>
              <w:rPr>
                <w:sz w:val="20"/>
                <w:szCs w:val="20"/>
                <w:color w:val="auto"/>
              </w:rPr>
            </w:pPr>
            <w:r>
              <w:rPr>
                <w:rFonts w:ascii="Arial" w:cs="Arial" w:eastAsia="Arial" w:hAnsi="Arial"/>
                <w:sz w:val="18"/>
                <w:szCs w:val="18"/>
                <w:color w:val="auto"/>
              </w:rPr>
              <w:t>4,150,000</w:t>
            </w:r>
          </w:p>
        </w:tc>
        <w:tc>
          <w:tcPr>
            <w:tcW w:w="0" w:type="dxa"/>
            <w:vAlign w:val="bottom"/>
          </w:tcPr>
          <w:p>
            <w:pPr>
              <w:spacing w:after="0"/>
              <w:rPr>
                <w:sz w:val="1"/>
                <w:szCs w:val="1"/>
                <w:color w:val="auto"/>
              </w:rPr>
            </w:pPr>
          </w:p>
        </w:tc>
      </w:tr>
      <w:tr>
        <w:trPr>
          <w:trHeight w:val="208"/>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Jacuzzi Brands Corp.</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2/7/2014</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Home and Office</w:t>
            </w:r>
          </w:p>
        </w:tc>
        <w:tc>
          <w:tcPr>
            <w:tcW w:w="1160" w:type="dxa"/>
            <w:vAlign w:val="bottom"/>
            <w:gridSpan w:val="3"/>
            <w:shd w:val="clear" w:color="auto" w:fill="CCEEFF"/>
          </w:tcPr>
          <w:p>
            <w:pPr>
              <w:jc w:val="right"/>
              <w:ind w:right="284"/>
              <w:spacing w:after="0"/>
              <w:rPr>
                <w:sz w:val="20"/>
                <w:szCs w:val="20"/>
                <w:color w:val="auto"/>
              </w:rPr>
            </w:pPr>
            <w:r>
              <w:rPr>
                <w:rFonts w:ascii="Arial" w:cs="Arial" w:eastAsia="Arial" w:hAnsi="Arial"/>
                <w:sz w:val="18"/>
                <w:szCs w:val="18"/>
                <w:color w:val="auto"/>
              </w:rPr>
              <w:t>2.98%</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L+225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9,872,298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9,872,298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4,911,468</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Furnishings, Housewares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and Durable Consumer</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Products</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Levlad, L.L.C.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3/8/2014</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6"/>
              </w:rPr>
              <w:t>Consumer Products</w:t>
            </w:r>
          </w:p>
        </w:tc>
        <w:tc>
          <w:tcPr>
            <w:tcW w:w="1160" w:type="dxa"/>
            <w:vAlign w:val="bottom"/>
            <w:gridSpan w:val="3"/>
          </w:tcPr>
          <w:p>
            <w:pPr>
              <w:jc w:val="right"/>
              <w:ind w:right="284"/>
              <w:spacing w:after="0"/>
              <w:rPr>
                <w:sz w:val="20"/>
                <w:szCs w:val="20"/>
                <w:color w:val="auto"/>
              </w:rPr>
            </w:pPr>
            <w:r>
              <w:rPr>
                <w:rFonts w:ascii="Arial" w:cs="Arial" w:eastAsia="Arial" w:hAnsi="Arial"/>
                <w:sz w:val="18"/>
                <w:szCs w:val="18"/>
                <w:color w:val="auto"/>
              </w:rPr>
              <w:t>4.50%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L+225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4,552,978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4,552,978</w:t>
            </w:r>
          </w:p>
        </w:tc>
        <w:tc>
          <w:tcPr>
            <w:tcW w:w="900" w:type="dxa"/>
            <w:vAlign w:val="bottom"/>
          </w:tcPr>
          <w:p>
            <w:pPr>
              <w:jc w:val="right"/>
              <w:spacing w:after="0"/>
              <w:rPr>
                <w:sz w:val="20"/>
                <w:szCs w:val="20"/>
                <w:color w:val="auto"/>
              </w:rPr>
            </w:pPr>
            <w:r>
              <w:rPr>
                <w:rFonts w:ascii="Arial" w:cs="Arial" w:eastAsia="Arial" w:hAnsi="Arial"/>
                <w:sz w:val="18"/>
                <w:szCs w:val="18"/>
                <w:color w:val="auto"/>
              </w:rPr>
              <w:t>1,784,767</w:t>
            </w:r>
          </w:p>
        </w:tc>
        <w:tc>
          <w:tcPr>
            <w:tcW w:w="0" w:type="dxa"/>
            <w:vAlign w:val="bottom"/>
          </w:tcPr>
          <w:p>
            <w:pPr>
              <w:spacing w:after="0"/>
              <w:rPr>
                <w:sz w:val="1"/>
                <w:szCs w:val="1"/>
                <w:color w:val="auto"/>
              </w:rPr>
            </w:pPr>
          </w:p>
        </w:tc>
      </w:tr>
      <w:tr>
        <w:trPr>
          <w:trHeight w:val="208"/>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Mattress Holding Corp.</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1/18/2014</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Home and Office</w:t>
            </w:r>
          </w:p>
        </w:tc>
        <w:tc>
          <w:tcPr>
            <w:tcW w:w="1160" w:type="dxa"/>
            <w:vAlign w:val="bottom"/>
            <w:gridSpan w:val="3"/>
            <w:shd w:val="clear" w:color="auto" w:fill="CCEEFF"/>
          </w:tcPr>
          <w:p>
            <w:pPr>
              <w:jc w:val="right"/>
              <w:ind w:right="284"/>
              <w:spacing w:after="0"/>
              <w:rPr>
                <w:sz w:val="20"/>
                <w:szCs w:val="20"/>
                <w:color w:val="auto"/>
              </w:rPr>
            </w:pPr>
            <w:r>
              <w:rPr>
                <w:rFonts w:ascii="Arial" w:cs="Arial" w:eastAsia="Arial" w:hAnsi="Arial"/>
                <w:sz w:val="18"/>
                <w:szCs w:val="18"/>
                <w:color w:val="auto"/>
              </w:rPr>
              <w:t>2.73%</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L+225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3,940,125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3,940,125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1,477,547</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Furnishings, Housewares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and Durable Consumer</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Products</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080" w:type="dxa"/>
            <w:vAlign w:val="bottom"/>
            <w:gridSpan w:val="2"/>
          </w:tcPr>
          <w:p>
            <w:pPr>
              <w:spacing w:after="0"/>
              <w:rPr>
                <w:sz w:val="20"/>
                <w:szCs w:val="20"/>
                <w:color w:val="auto"/>
              </w:rPr>
            </w:pPr>
            <w:r>
              <w:rPr>
                <w:rFonts w:ascii="Arial" w:cs="Arial" w:eastAsia="Arial" w:hAnsi="Arial"/>
                <w:sz w:val="18"/>
                <w:szCs w:val="18"/>
                <w:color w:val="auto"/>
              </w:rPr>
              <w:t>Mitchell International, Inc.</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3/28/2014</w:t>
            </w:r>
          </w:p>
        </w:tc>
        <w:tc>
          <w:tcPr>
            <w:tcW w:w="2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5"/>
              </w:rPr>
              <w:t>Business Services</w:t>
            </w:r>
          </w:p>
        </w:tc>
        <w:tc>
          <w:tcPr>
            <w:tcW w:w="1160" w:type="dxa"/>
            <w:vAlign w:val="bottom"/>
            <w:gridSpan w:val="3"/>
          </w:tcPr>
          <w:p>
            <w:pPr>
              <w:jc w:val="right"/>
              <w:ind w:right="284"/>
              <w:spacing w:after="0"/>
              <w:rPr>
                <w:sz w:val="20"/>
                <w:szCs w:val="20"/>
                <w:color w:val="auto"/>
              </w:rPr>
            </w:pPr>
            <w:r>
              <w:rPr>
                <w:rFonts w:ascii="Arial" w:cs="Arial" w:eastAsia="Arial" w:hAnsi="Arial"/>
                <w:sz w:val="18"/>
                <w:szCs w:val="18"/>
                <w:color w:val="auto"/>
              </w:rPr>
              <w:t>3.50%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L+200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3,930,000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3,930,000</w:t>
            </w:r>
          </w:p>
        </w:tc>
        <w:tc>
          <w:tcPr>
            <w:tcW w:w="900" w:type="dxa"/>
            <w:vAlign w:val="bottom"/>
          </w:tcPr>
          <w:p>
            <w:pPr>
              <w:jc w:val="right"/>
              <w:spacing w:after="0"/>
              <w:rPr>
                <w:sz w:val="20"/>
                <w:szCs w:val="20"/>
                <w:color w:val="auto"/>
              </w:rPr>
            </w:pPr>
            <w:r>
              <w:rPr>
                <w:rFonts w:ascii="Arial" w:cs="Arial" w:eastAsia="Arial" w:hAnsi="Arial"/>
                <w:sz w:val="18"/>
                <w:szCs w:val="18"/>
                <w:color w:val="auto"/>
              </w:rPr>
              <w:t>3,183,300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7"/>
              </w:rPr>
              <w:t>Current</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2480" w:type="dxa"/>
            <w:vAlign w:val="bottom"/>
            <w:gridSpan w:val="2"/>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Par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4"/>
              <w:spacing w:after="0" w:line="176"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(Continued)</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3"/>
          </w:tcPr>
          <w:p>
            <w:pPr>
              <w:spacing w:after="0"/>
              <w:rPr>
                <w:sz w:val="20"/>
                <w:szCs w:val="20"/>
                <w:color w:val="auto"/>
              </w:rPr>
            </w:pPr>
            <w:r>
              <w:rPr>
                <w:rFonts w:ascii="Arial" w:cs="Arial" w:eastAsia="Arial" w:hAnsi="Arial"/>
                <w:sz w:val="18"/>
                <w:szCs w:val="18"/>
                <w:color w:val="auto"/>
              </w:rPr>
              <w:t>National Bedding Co., L.L.C.</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2/28/2013</w:t>
            </w: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Home and Office</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3.75%</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L+200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6,877,500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6,882,765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3,868,594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Furnishings, Housewares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and Durable Consumer</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Products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2/1/2013</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Media</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L+225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4,912,500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Philosophy, Inc.</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3/16/2014</w:t>
            </w: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Consumer Products</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2.47%</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L+200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1,470,934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1,470,934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867,851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Questex Media Group, Inc.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5/4/2014</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Media</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L+300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4,911,667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4,911,667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Reader’s Digest Association, Inc.</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3/2/2014</w:t>
            </w: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Printing and Publishing</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4.08%</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L+200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982,500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Rexnord , L.L.C.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7/19/2013</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Manufacturing/Basic</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2.46%</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L+200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2,910,152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Industry</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gridSpan w:val="3"/>
          </w:tcPr>
          <w:p>
            <w:pPr>
              <w:spacing w:after="0"/>
              <w:rPr>
                <w:sz w:val="20"/>
                <w:szCs w:val="20"/>
                <w:color w:val="auto"/>
              </w:rPr>
            </w:pPr>
            <w:r>
              <w:rPr>
                <w:rFonts w:ascii="Arial" w:cs="Arial" w:eastAsia="Arial" w:hAnsi="Arial"/>
                <w:sz w:val="18"/>
                <w:szCs w:val="18"/>
                <w:color w:val="auto"/>
              </w:rPr>
              <w:t>Sitel, L.L.C.</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1/30/2014</w:t>
            </w:r>
          </w:p>
        </w:tc>
        <w:tc>
          <w:tcPr>
            <w:tcW w:w="16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5"/>
              </w:rPr>
              <w:t>Business Services</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9.28%</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L+250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2,682,328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2,682,328</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First Lien Secured Debt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103,640,679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102,653,343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60,205,499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6"/>
          </w:tcPr>
          <w:p>
            <w:pPr>
              <w:spacing w:after="0"/>
              <w:rPr>
                <w:sz w:val="20"/>
                <w:szCs w:val="20"/>
                <w:color w:val="auto"/>
              </w:rPr>
            </w:pPr>
            <w:r>
              <w:rPr>
                <w:rFonts w:ascii="Arial" w:cs="Arial" w:eastAsia="Arial" w:hAnsi="Arial"/>
                <w:sz w:val="18"/>
                <w:szCs w:val="18"/>
                <w:b w:val="1"/>
                <w:bCs w:val="1"/>
                <w:color w:val="auto"/>
              </w:rPr>
              <w:t>Investments in Non-Controlled, Non-Affiliated Portfolio Companies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426,340,080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312,457,194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gridSpan w:val="6"/>
            <w:shd w:val="clear" w:color="auto" w:fill="CCEEFF"/>
          </w:tcPr>
          <w:p>
            <w:pPr>
              <w:spacing w:after="0" w:line="216" w:lineRule="exact"/>
              <w:rPr>
                <w:sz w:val="20"/>
                <w:szCs w:val="20"/>
                <w:color w:val="auto"/>
              </w:rPr>
            </w:pPr>
            <w:r>
              <w:rPr>
                <w:rFonts w:ascii="Arial" w:cs="Arial" w:eastAsia="Arial" w:hAnsi="Arial"/>
                <w:sz w:val="18"/>
                <w:szCs w:val="18"/>
                <w:b w:val="1"/>
                <w:bCs w:val="1"/>
                <w:color w:val="auto"/>
                <w:w w:val="98"/>
              </w:rPr>
              <w:t>Investments in Non-Controlled, Affiliated Portfolio Companies - 7.6%</w:t>
            </w:r>
            <w:r>
              <w:rPr>
                <w:rFonts w:ascii="Arial" w:cs="Arial" w:eastAsia="Arial" w:hAnsi="Arial"/>
                <w:sz w:val="22"/>
                <w:szCs w:val="22"/>
                <w:b w:val="1"/>
                <w:bCs w:val="1"/>
                <w:color w:val="auto"/>
                <w:w w:val="98"/>
                <w:vertAlign w:val="superscript"/>
              </w:rPr>
              <w:t>(2)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Subordinated Debt / Corporate Notes - 2.0%</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7/2/2014</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Leisure, Amusement,</w:t>
            </w:r>
          </w:p>
        </w:tc>
        <w:tc>
          <w:tcPr>
            <w:tcW w:w="1080" w:type="dxa"/>
            <w:vAlign w:val="bottom"/>
            <w:gridSpan w:val="3"/>
            <w:shd w:val="clear" w:color="auto" w:fill="CCEEFF"/>
          </w:tcPr>
          <w:p>
            <w:pPr>
              <w:jc w:val="right"/>
              <w:ind w:right="160"/>
              <w:spacing w:after="0" w:line="216" w:lineRule="exact"/>
              <w:rPr>
                <w:sz w:val="20"/>
                <w:szCs w:val="20"/>
                <w:color w:val="auto"/>
              </w:rPr>
            </w:pPr>
            <w:r>
              <w:rPr>
                <w:rFonts w:ascii="Arial" w:cs="Arial" w:eastAsia="Arial" w:hAnsi="Arial"/>
                <w:sz w:val="18"/>
                <w:szCs w:val="18"/>
                <w:color w:val="auto"/>
              </w:rPr>
              <w:t>14.25%</w:t>
            </w:r>
            <w:r>
              <w:rPr>
                <w:rFonts w:ascii="Arial" w:cs="Arial" w:eastAsia="Arial" w:hAnsi="Arial"/>
                <w:sz w:val="22"/>
                <w:szCs w:val="22"/>
                <w:color w:val="auto"/>
                <w:vertAlign w:val="superscript"/>
              </w:rPr>
              <w:t>(6)</w:t>
            </w: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4,571,617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4,355,758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Motion Pictures,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Entertainment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- 3.6%</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3"/>
          </w:tcPr>
          <w:p>
            <w:pPr>
              <w:spacing w:after="0"/>
              <w:rPr>
                <w:sz w:val="20"/>
                <w:szCs w:val="20"/>
                <w:color w:val="auto"/>
              </w:rPr>
            </w:pPr>
            <w:r>
              <w:rPr>
                <w:rFonts w:ascii="Arial" w:cs="Arial" w:eastAsia="Arial" w:hAnsi="Arial"/>
                <w:sz w:val="18"/>
                <w:szCs w:val="18"/>
                <w:color w:val="auto"/>
              </w:rPr>
              <w:t>Performance, Inc.</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7/2/2013</w:t>
            </w: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Leisure, Amusement,</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9.22%</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L+575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8,750,000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7,883,750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Motion Pictures,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Entertainment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Shares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20" w:type="dxa"/>
            <w:vAlign w:val="bottom"/>
            <w:gridSpan w:val="4"/>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Common Equity/Partnership Interest</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 xml:space="preserve"> - 2.0%</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3"/>
          </w:tcPr>
          <w:p>
            <w:pPr>
              <w:spacing w:after="0"/>
              <w:rPr>
                <w:sz w:val="20"/>
                <w:szCs w:val="20"/>
                <w:color w:val="auto"/>
              </w:rPr>
            </w:pPr>
            <w:r>
              <w:rPr>
                <w:rFonts w:ascii="Arial" w:cs="Arial" w:eastAsia="Arial" w:hAnsi="Arial"/>
                <w:sz w:val="18"/>
                <w:szCs w:val="18"/>
                <w:color w:val="auto"/>
                <w:w w:val="94"/>
              </w:rPr>
              <w:t>NCP-Performance (Performance Holdings,</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Leisure, Amusement,</w:t>
            </w:r>
          </w:p>
        </w:tc>
        <w:tc>
          <w:tcPr>
            <w:tcW w:w="16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4,481,409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3"/>
          </w:tcPr>
          <w:p>
            <w:pPr>
              <w:ind w:left="220"/>
              <w:spacing w:after="0"/>
              <w:rPr>
                <w:sz w:val="20"/>
                <w:szCs w:val="20"/>
                <w:color w:val="auto"/>
              </w:rPr>
            </w:pPr>
            <w:r>
              <w:rPr>
                <w:rFonts w:ascii="Arial" w:cs="Arial" w:eastAsia="Arial" w:hAnsi="Arial"/>
                <w:sz w:val="18"/>
                <w:szCs w:val="18"/>
                <w:color w:val="auto"/>
              </w:rPr>
              <w:t>Inc.)</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Motion Pictures,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Entertainment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Investments in Non-Controlled, Affiliated Portfolio Companies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16,855,758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16,356,181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 - 152.5%</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443,195,838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328,813,375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Par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 - 0.3%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gridSpan w:val="3"/>
          </w:tcPr>
          <w:p>
            <w:pPr>
              <w:spacing w:after="0"/>
              <w:rPr>
                <w:sz w:val="20"/>
                <w:szCs w:val="20"/>
                <w:color w:val="auto"/>
              </w:rPr>
            </w:pPr>
            <w:r>
              <w:rPr>
                <w:rFonts w:ascii="Arial" w:cs="Arial" w:eastAsia="Arial" w:hAnsi="Arial"/>
                <w:sz w:val="18"/>
                <w:szCs w:val="18"/>
                <w:color w:val="auto"/>
              </w:rPr>
              <w:t>Money Market - Mutual Funds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601,540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601,540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Cash Equivalents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601,540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601,540</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w w:val="94"/>
              </w:rPr>
              <w:t>Total Investments and Cash Equivalents - 152.8%</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443,797,378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329,414,915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 in Excess of Other Assets - (52.7%)</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(113,703,884)</w:t>
            </w:r>
          </w:p>
        </w:tc>
        <w:tc>
          <w:tcPr>
            <w:tcW w:w="0" w:type="dxa"/>
            <w:vAlign w:val="bottom"/>
          </w:tcPr>
          <w:p>
            <w:pPr>
              <w:spacing w:after="0"/>
              <w:rPr>
                <w:sz w:val="1"/>
                <w:szCs w:val="1"/>
                <w:color w:val="auto"/>
              </w:rPr>
            </w:pPr>
          </w:p>
        </w:tc>
      </w:tr>
      <w:tr>
        <w:trPr>
          <w:trHeight w:val="222"/>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Net Assets - 100.0%</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215,711,031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Investment Company Act of 1940 (the “1940 Act”) “non-controlled” means we own less than 25% of a portfolio company’s voting securities.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31, 2008</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p>
      <w:pPr>
        <w:ind w:left="460" w:right="28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 or Prime Rate (Prime or “P”).</w:t>
      </w: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Coupon payable in cash and/or payment-in-kind (“PIK”).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LIBOR floor applies.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 These securities do not have a basis point spread above index.</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Current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Above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26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Industry</w:t>
            </w:r>
          </w:p>
        </w:tc>
        <w:tc>
          <w:tcPr>
            <w:tcW w:w="18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4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80" w:type="dxa"/>
            <w:vAlign w:val="bottom"/>
          </w:tcPr>
          <w:p>
            <w:pPr>
              <w:spacing w:after="0"/>
              <w:rPr>
                <w:sz w:val="15"/>
                <w:szCs w:val="15"/>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Par</w:t>
            </w:r>
          </w:p>
        </w:tc>
        <w:tc>
          <w:tcPr>
            <w:tcW w:w="180" w:type="dxa"/>
            <w:vAlign w:val="bottom"/>
          </w:tcPr>
          <w:p>
            <w:pPr>
              <w:spacing w:after="0"/>
              <w:rPr>
                <w:sz w:val="15"/>
                <w:szCs w:val="15"/>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40" w:type="dxa"/>
            <w:vAlign w:val="bottom"/>
            <w:gridSpan w:val="5"/>
            <w:shd w:val="clear" w:color="auto" w:fill="CCEEFF"/>
          </w:tcPr>
          <w:p>
            <w:pPr>
              <w:spacing w:after="0" w:line="209" w:lineRule="exact"/>
              <w:rPr>
                <w:sz w:val="20"/>
                <w:szCs w:val="20"/>
                <w:color w:val="auto"/>
              </w:rPr>
            </w:pPr>
            <w:r>
              <w:rPr>
                <w:rFonts w:ascii="Arial" w:cs="Arial" w:eastAsia="Arial" w:hAnsi="Arial"/>
                <w:sz w:val="18"/>
                <w:szCs w:val="18"/>
                <w:b w:val="1"/>
                <w:bCs w:val="1"/>
                <w:color w:val="auto"/>
                <w:w w:val="90"/>
              </w:rPr>
              <w:t>Investments in Non-Controlled, Non-Affiliated Portfolio Companies - 187.2%</w:t>
            </w:r>
            <w:r>
              <w:rPr>
                <w:rFonts w:ascii="Arial" w:cs="Arial" w:eastAsia="Arial" w:hAnsi="Arial"/>
                <w:sz w:val="22"/>
                <w:szCs w:val="22"/>
                <w:b w:val="1"/>
                <w:bCs w:val="1"/>
                <w:color w:val="auto"/>
                <w:w w:val="90"/>
                <w:vertAlign w:val="superscript"/>
              </w:rPr>
              <w:t>(1)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Subordinated Debt / Corporate Notes - 76.8%</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Advanstar,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11/30/2015</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Media</w:t>
            </w:r>
          </w:p>
        </w:tc>
        <w:tc>
          <w:tcPr>
            <w:tcW w:w="110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rPr>
              <w:t>10.76%</w:t>
            </w:r>
            <w:r>
              <w:rPr>
                <w:rFonts w:ascii="Arial" w:cs="Arial" w:eastAsia="Arial" w:hAnsi="Arial"/>
                <w:sz w:val="22"/>
                <w:szCs w:val="22"/>
                <w:color w:val="auto"/>
                <w:vertAlign w:val="superscript"/>
              </w:rPr>
              <w:t>(6)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L+700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$ 16,268,634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$ 16,268,634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$ 12,567,520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rPr>
              <w:t>Affinion Group Holdings, Inc.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03/01/2012</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Consumer</w:t>
            </w:r>
          </w:p>
        </w:tc>
        <w:tc>
          <w:tcPr>
            <w:tcW w:w="1100" w:type="dxa"/>
            <w:vAlign w:val="bottom"/>
            <w:gridSpan w:val="3"/>
          </w:tcPr>
          <w:p>
            <w:pPr>
              <w:jc w:val="right"/>
              <w:ind w:right="180"/>
              <w:spacing w:after="0" w:line="207" w:lineRule="exact"/>
              <w:rPr>
                <w:sz w:val="20"/>
                <w:szCs w:val="20"/>
                <w:color w:val="auto"/>
              </w:rPr>
            </w:pPr>
            <w:r>
              <w:rPr>
                <w:rFonts w:ascii="Arial" w:cs="Arial" w:eastAsia="Arial" w:hAnsi="Arial"/>
                <w:sz w:val="18"/>
                <w:szCs w:val="18"/>
                <w:color w:val="auto"/>
              </w:rPr>
              <w:t>9.37%</w:t>
            </w:r>
            <w:r>
              <w:rPr>
                <w:rFonts w:ascii="Arial" w:cs="Arial" w:eastAsia="Arial" w:hAnsi="Arial"/>
                <w:sz w:val="22"/>
                <w:szCs w:val="22"/>
                <w:color w:val="auto"/>
                <w:vertAlign w:val="superscript"/>
              </w:rPr>
              <w:t>(6)</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L+625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22,500,000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21,587,384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4"/>
              </w:rPr>
              <w:t>Products</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Foundries,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04/17/2015</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Aerospace and</w:t>
            </w:r>
          </w:p>
        </w:tc>
        <w:tc>
          <w:tcPr>
            <w:tcW w:w="1100" w:type="dxa"/>
            <w:vAlign w:val="bottom"/>
            <w:gridSpan w:val="3"/>
            <w:shd w:val="clear" w:color="auto" w:fill="CCEEFF"/>
          </w:tcPr>
          <w:p>
            <w:pPr>
              <w:jc w:val="right"/>
              <w:ind w:right="180"/>
              <w:spacing w:after="0" w:line="218" w:lineRule="exact"/>
              <w:rPr>
                <w:sz w:val="20"/>
                <w:szCs w:val="20"/>
                <w:color w:val="auto"/>
              </w:rPr>
            </w:pPr>
            <w:r>
              <w:rPr>
                <w:rFonts w:ascii="Arial" w:cs="Arial" w:eastAsia="Arial" w:hAnsi="Arial"/>
                <w:sz w:val="18"/>
                <w:szCs w:val="18"/>
                <w:color w:val="auto"/>
              </w:rPr>
              <w:t>14.25%</w:t>
            </w:r>
            <w:r>
              <w:rPr>
                <w:rFonts w:ascii="Arial" w:cs="Arial" w:eastAsia="Arial" w:hAnsi="Arial"/>
                <w:sz w:val="22"/>
                <w:szCs w:val="22"/>
                <w:color w:val="auto"/>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7,831,761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Defense</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rPr>
              <w:t>CT Technologies Intermediate</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03/19/2014</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Business</w:t>
            </w:r>
          </w:p>
        </w:tc>
        <w:tc>
          <w:tcPr>
            <w:tcW w:w="1100" w:type="dxa"/>
            <w:vAlign w:val="bottom"/>
            <w:gridSpan w:val="3"/>
          </w:tcPr>
          <w:p>
            <w:pPr>
              <w:jc w:val="right"/>
              <w:ind w:right="180"/>
              <w:spacing w:after="0" w:line="207" w:lineRule="exact"/>
              <w:rPr>
                <w:sz w:val="20"/>
                <w:szCs w:val="20"/>
                <w:color w:val="auto"/>
              </w:rPr>
            </w:pPr>
            <w:r>
              <w:rPr>
                <w:rFonts w:ascii="Arial" w:cs="Arial" w:eastAsia="Arial" w:hAnsi="Arial"/>
                <w:sz w:val="18"/>
                <w:szCs w:val="18"/>
                <w:color w:val="auto"/>
              </w:rPr>
              <w:t>14.00%</w:t>
            </w:r>
            <w:r>
              <w:rPr>
                <w:rFonts w:ascii="Arial" w:cs="Arial" w:eastAsia="Arial" w:hAnsi="Arial"/>
                <w:sz w:val="22"/>
                <w:szCs w:val="22"/>
                <w:color w:val="auto"/>
                <w:vertAlign w:val="superscript"/>
              </w:rPr>
              <w:t>(6)</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19,502,246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Holdings, Inc.</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Services</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06/06/2014</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Aerospace and</w:t>
            </w:r>
          </w:p>
        </w:tc>
        <w:tc>
          <w:tcPr>
            <w:tcW w:w="1100" w:type="dxa"/>
            <w:vAlign w:val="bottom"/>
            <w:gridSpan w:val="3"/>
            <w:shd w:val="clear" w:color="auto" w:fill="CCEEFF"/>
          </w:tcPr>
          <w:p>
            <w:pPr>
              <w:jc w:val="right"/>
              <w:ind w:right="180"/>
              <w:spacing w:after="0" w:line="218" w:lineRule="exact"/>
              <w:rPr>
                <w:sz w:val="20"/>
                <w:szCs w:val="20"/>
                <w:color w:val="auto"/>
              </w:rPr>
            </w:pPr>
            <w:r>
              <w:rPr>
                <w:rFonts w:ascii="Arial" w:cs="Arial" w:eastAsia="Arial" w:hAnsi="Arial"/>
                <w:sz w:val="18"/>
                <w:szCs w:val="18"/>
                <w:color w:val="auto"/>
              </w:rPr>
              <w:t>14.75%</w:t>
            </w:r>
            <w:r>
              <w:rPr>
                <w:rFonts w:ascii="Arial" w:cs="Arial" w:eastAsia="Arial" w:hAnsi="Arial"/>
                <w:sz w:val="22"/>
                <w:szCs w:val="22"/>
                <w:color w:val="auto"/>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22,041,438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21,649,325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22,041,438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Defense</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IDQ Holdings, Inc.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05/20/2012</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Auto Sector</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13.75%</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19,555,782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12/28/2015</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Education</w:t>
            </w:r>
          </w:p>
        </w:tc>
        <w:tc>
          <w:tcPr>
            <w:tcW w:w="110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rPr>
              <w:t>13.50%</w:t>
            </w:r>
            <w:r>
              <w:rPr>
                <w:rFonts w:ascii="Arial" w:cs="Arial" w:eastAsia="Arial" w:hAnsi="Arial"/>
                <w:sz w:val="22"/>
                <w:szCs w:val="22"/>
                <w:color w:val="auto"/>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10,067,361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9,922,722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rPr>
              <w:t>Realogy Corp.</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04/15/2015</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Buildings and</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12.38%</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28,000,000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26,337,698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5"/>
              </w:rPr>
              <w:t>Real Estate</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Merger Sub,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10/01/2016</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Insurance</w:t>
            </w:r>
          </w:p>
        </w:tc>
        <w:tc>
          <w:tcPr>
            <w:tcW w:w="1100" w:type="dxa"/>
            <w:vAlign w:val="bottom"/>
            <w:gridSpan w:val="3"/>
            <w:shd w:val="clear" w:color="auto" w:fill="CCEEFF"/>
          </w:tcPr>
          <w:p>
            <w:pPr>
              <w:jc w:val="right"/>
              <w:ind w:right="180"/>
              <w:spacing w:after="0" w:line="218" w:lineRule="exact"/>
              <w:rPr>
                <w:sz w:val="20"/>
                <w:szCs w:val="20"/>
                <w:color w:val="auto"/>
              </w:rPr>
            </w:pPr>
            <w:r>
              <w:rPr>
                <w:rFonts w:ascii="Arial" w:cs="Arial" w:eastAsia="Arial" w:hAnsi="Arial"/>
                <w:sz w:val="18"/>
                <w:szCs w:val="18"/>
                <w:color w:val="auto"/>
              </w:rPr>
              <w:t>13.50%</w:t>
            </w:r>
            <w:r>
              <w:rPr>
                <w:rFonts w:ascii="Arial" w:cs="Arial" w:eastAsia="Arial" w:hAnsi="Arial"/>
                <w:sz w:val="22"/>
                <w:szCs w:val="22"/>
                <w:color w:val="auto"/>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19,811,785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UP Acquisitions Sub Inc.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02/08/2015</w:t>
            </w:r>
          </w:p>
        </w:tc>
        <w:tc>
          <w:tcPr>
            <w:tcW w:w="1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Oil and Gas</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13.50%</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21,000,000</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20,428,146</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Total Subordinated Debt / Corporate Notes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187,877,433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182,895,483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161,758,819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Second Lien Secured Debt - 45.5%</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Brand Energy and Infrastructure Services,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02/07/2015</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Energy / Utilities</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L+700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11,682,795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w w:val="99"/>
              </w:rPr>
              <w:t>Brand Energy and Infrastructure Services,</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02/07/2015</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Energy / Utilities</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8.81%</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L+600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13,600,000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13,068,290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12,342,000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Inc.</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Generics International (U.S.),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04/30/2015</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Healthcare, Education</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11.26%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L+750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11,947,073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and Childcare</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Questex Media Group, Inc.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11/04/2014</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Other Media</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9.31%</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L+650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Saint Acquisition Corp.</w:t>
            </w:r>
            <w:r>
              <w:rPr>
                <w:rFonts w:ascii="Arial" w:cs="Arial" w:eastAsia="Arial" w:hAnsi="Arial"/>
                <w:sz w:val="22"/>
                <w:szCs w:val="22"/>
                <w:color w:val="auto"/>
                <w:vertAlign w:val="superscript"/>
              </w:rPr>
              <w:t>(5)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05/15/2015</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Transportation</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L+775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9,951,058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line="216" w:lineRule="exact"/>
              <w:rPr>
                <w:sz w:val="20"/>
                <w:szCs w:val="20"/>
                <w:color w:val="auto"/>
              </w:rPr>
            </w:pPr>
            <w:r>
              <w:rPr>
                <w:rFonts w:ascii="Arial" w:cs="Arial" w:eastAsia="Arial" w:hAnsi="Arial"/>
                <w:sz w:val="18"/>
                <w:szCs w:val="18"/>
                <w:color w:val="auto"/>
              </w:rPr>
              <w:t>Saint Acquisition Corp.</w:t>
            </w:r>
            <w:r>
              <w:rPr>
                <w:rFonts w:ascii="Arial" w:cs="Arial" w:eastAsia="Arial" w:hAnsi="Arial"/>
                <w:sz w:val="22"/>
                <w:szCs w:val="22"/>
                <w:color w:val="auto"/>
                <w:vertAlign w:val="superscript"/>
              </w:rPr>
              <w:t>(5)</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05/15/2017</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Transportation</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12.50%</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16,565,952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Sheridan Holdings,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06/15/2015</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Healthcare,</w:t>
            </w:r>
          </w:p>
        </w:tc>
        <w:tc>
          <w:tcPr>
            <w:tcW w:w="110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rPr>
              <w:t>8.54%</w:t>
            </w:r>
            <w:r>
              <w:rPr>
                <w:rFonts w:ascii="Arial" w:cs="Arial" w:eastAsia="Arial" w:hAnsi="Arial"/>
                <w:sz w:val="22"/>
                <w:szCs w:val="22"/>
                <w:color w:val="auto"/>
                <w:vertAlign w:val="superscript"/>
              </w:rPr>
              <w:t>(6)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L+575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11,838,114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Education and</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Childcare</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rPr>
              <w:t>Specialized Technology</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12/15/2014</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Chemical,</w:t>
            </w:r>
          </w:p>
        </w:tc>
        <w:tc>
          <w:tcPr>
            <w:tcW w:w="1100" w:type="dxa"/>
            <w:vAlign w:val="bottom"/>
            <w:gridSpan w:val="3"/>
          </w:tcPr>
          <w:p>
            <w:pPr>
              <w:jc w:val="right"/>
              <w:ind w:right="180"/>
              <w:spacing w:after="0" w:line="207" w:lineRule="exact"/>
              <w:rPr>
                <w:sz w:val="20"/>
                <w:szCs w:val="20"/>
                <w:color w:val="auto"/>
              </w:rPr>
            </w:pPr>
            <w:r>
              <w:rPr>
                <w:rFonts w:ascii="Arial" w:cs="Arial" w:eastAsia="Arial" w:hAnsi="Arial"/>
                <w:sz w:val="18"/>
                <w:szCs w:val="18"/>
                <w:color w:val="auto"/>
              </w:rPr>
              <w:t>10.70%</w:t>
            </w:r>
            <w:r>
              <w:rPr>
                <w:rFonts w:ascii="Arial" w:cs="Arial" w:eastAsia="Arial" w:hAnsi="Arial"/>
                <w:sz w:val="22"/>
                <w:szCs w:val="22"/>
                <w:color w:val="auto"/>
                <w:vertAlign w:val="superscript"/>
              </w:rPr>
              <w:t>(6)</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L+700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22,500,000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22,485,895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gridSpan w:val="2"/>
          </w:tcPr>
          <w:p>
            <w:pPr>
              <w:ind w:left="180"/>
              <w:spacing w:after="0"/>
              <w:rPr>
                <w:sz w:val="20"/>
                <w:szCs w:val="20"/>
                <w:color w:val="auto"/>
              </w:rPr>
            </w:pPr>
            <w:r>
              <w:rPr>
                <w:rFonts w:ascii="Arial" w:cs="Arial" w:eastAsia="Arial" w:hAnsi="Arial"/>
                <w:sz w:val="18"/>
                <w:szCs w:val="18"/>
                <w:color w:val="auto"/>
              </w:rPr>
              <w:t>Resources, Inc.</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Plastics and Rubber</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TransFirst Holdings,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06/15/2015</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Financial</w:t>
            </w:r>
          </w:p>
        </w:tc>
        <w:tc>
          <w:tcPr>
            <w:tcW w:w="1100" w:type="dxa"/>
            <w:vAlign w:val="bottom"/>
            <w:gridSpan w:val="3"/>
            <w:shd w:val="clear" w:color="auto" w:fill="CCEEFF"/>
          </w:tcPr>
          <w:p>
            <w:pPr>
              <w:jc w:val="right"/>
              <w:ind w:right="180"/>
              <w:spacing w:after="0" w:line="218" w:lineRule="exact"/>
              <w:rPr>
                <w:sz w:val="20"/>
                <w:szCs w:val="20"/>
                <w:color w:val="auto"/>
              </w:rPr>
            </w:pPr>
            <w:r>
              <w:rPr>
                <w:rFonts w:ascii="Arial" w:cs="Arial" w:eastAsia="Arial" w:hAnsi="Arial"/>
                <w:sz w:val="18"/>
                <w:szCs w:val="18"/>
                <w:color w:val="auto"/>
              </w:rPr>
              <w:t>9.77%</w:t>
            </w:r>
            <w:r>
              <w:rPr>
                <w:rFonts w:ascii="Arial" w:cs="Arial" w:eastAsia="Arial" w:hAnsi="Arial"/>
                <w:sz w:val="22"/>
                <w:szCs w:val="22"/>
                <w:color w:val="auto"/>
                <w:vertAlign w:val="superscript"/>
              </w:rPr>
              <w:t>(6)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L+600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15,866,044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Total Second Lien Secured Debt</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128,100,000</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123,405,221</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95,894,500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3"/>
              </w:rPr>
              <w:t>Basis Point</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Current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Above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2860" w:type="dxa"/>
            <w:vAlign w:val="bottom"/>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6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right"/>
              <w:ind w:right="186"/>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Preferred Equity - 4.4%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20" w:type="dxa"/>
            <w:vAlign w:val="bottom"/>
            <w:gridSpan w:val="2"/>
          </w:tcPr>
          <w:p>
            <w:pPr>
              <w:spacing w:after="0"/>
              <w:rPr>
                <w:sz w:val="20"/>
                <w:szCs w:val="20"/>
                <w:color w:val="auto"/>
              </w:rPr>
            </w:pPr>
            <w:r>
              <w:rPr>
                <w:rFonts w:ascii="Arial" w:cs="Arial" w:eastAsia="Arial" w:hAnsi="Arial"/>
                <w:sz w:val="18"/>
                <w:szCs w:val="18"/>
                <w:color w:val="auto"/>
              </w:rPr>
              <w:t>CFHC Holdings, Inc., Class A (Consolidated</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Aerospace and</w:t>
            </w:r>
          </w:p>
        </w:tc>
        <w:tc>
          <w:tcPr>
            <w:tcW w:w="1120" w:type="dxa"/>
            <w:vAlign w:val="bottom"/>
            <w:gridSpan w:val="3"/>
          </w:tcPr>
          <w:p>
            <w:pPr>
              <w:jc w:val="right"/>
              <w:ind w:right="180"/>
              <w:spacing w:after="0" w:line="207" w:lineRule="exact"/>
              <w:rPr>
                <w:sz w:val="20"/>
                <w:szCs w:val="20"/>
                <w:color w:val="auto"/>
              </w:rPr>
            </w:pPr>
            <w:r>
              <w:rPr>
                <w:rFonts w:ascii="Arial" w:cs="Arial" w:eastAsia="Arial" w:hAnsi="Arial"/>
                <w:sz w:val="18"/>
                <w:szCs w:val="18"/>
                <w:color w:val="auto"/>
              </w:rPr>
              <w:t>12.00%</w:t>
            </w:r>
            <w:r>
              <w:rPr>
                <w:rFonts w:ascii="Arial" w:cs="Arial" w:eastAsia="Arial" w:hAnsi="Arial"/>
                <w:sz w:val="22"/>
                <w:szCs w:val="22"/>
                <w:color w:val="auto"/>
                <w:vertAlign w:val="superscript"/>
              </w:rPr>
              <w:t>(6)</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842</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   841,927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841,927</w:t>
            </w: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Foundries, Inc.)</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Defense</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Aerospace and</w:t>
            </w:r>
          </w:p>
        </w:tc>
        <w:tc>
          <w:tcPr>
            <w:tcW w:w="1120" w:type="dxa"/>
            <w:vAlign w:val="bottom"/>
            <w:gridSpan w:val="3"/>
            <w:shd w:val="clear" w:color="auto" w:fill="CCEEFF"/>
          </w:tcPr>
          <w:p>
            <w:pPr>
              <w:jc w:val="right"/>
              <w:ind w:right="180"/>
              <w:spacing w:after="0" w:line="209" w:lineRule="exact"/>
              <w:rPr>
                <w:sz w:val="20"/>
                <w:szCs w:val="20"/>
                <w:color w:val="auto"/>
              </w:rPr>
            </w:pPr>
            <w:r>
              <w:rPr>
                <w:rFonts w:ascii="Arial" w:cs="Arial" w:eastAsia="Arial" w:hAnsi="Arial"/>
                <w:sz w:val="18"/>
                <w:szCs w:val="18"/>
                <w:color w:val="auto"/>
              </w:rPr>
              <w:t>12.00%</w:t>
            </w:r>
            <w:r>
              <w:rPr>
                <w:rFonts w:ascii="Arial" w:cs="Arial" w:eastAsia="Arial" w:hAnsi="Arial"/>
                <w:sz w:val="22"/>
                <w:szCs w:val="22"/>
                <w:color w:val="auto"/>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3,960,000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3,960,000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3,960,000</w:t>
            </w: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Defense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620" w:type="dxa"/>
            <w:vAlign w:val="bottom"/>
            <w:gridSpan w:val="2"/>
          </w:tcPr>
          <w:p>
            <w:pPr>
              <w:spacing w:after="0"/>
              <w:rPr>
                <w:sz w:val="20"/>
                <w:szCs w:val="20"/>
                <w:color w:val="auto"/>
              </w:rPr>
            </w:pPr>
            <w:r>
              <w:rPr>
                <w:rFonts w:ascii="Arial" w:cs="Arial" w:eastAsia="Arial" w:hAnsi="Arial"/>
                <w:sz w:val="18"/>
                <w:szCs w:val="18"/>
                <w:color w:val="auto"/>
              </w:rPr>
              <w:t>TZ Holdings, L.P., Series A</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Insurance</w:t>
            </w:r>
          </w:p>
        </w:tc>
        <w:tc>
          <w:tcPr>
            <w:tcW w:w="2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(7)</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686</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685,820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685,820</w:t>
            </w: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(TZ Merger Sub, Inc.)</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Holdings, L.P., Series B</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Insurance</w:t>
            </w:r>
          </w:p>
        </w:tc>
        <w:tc>
          <w:tcPr>
            <w:tcW w:w="1120" w:type="dxa"/>
            <w:vAlign w:val="bottom"/>
            <w:gridSpan w:val="3"/>
            <w:shd w:val="clear" w:color="auto" w:fill="CCEEFF"/>
          </w:tcPr>
          <w:p>
            <w:pPr>
              <w:jc w:val="right"/>
              <w:ind w:right="180"/>
              <w:spacing w:after="0" w:line="218" w:lineRule="exact"/>
              <w:rPr>
                <w:sz w:val="20"/>
                <w:szCs w:val="20"/>
                <w:color w:val="auto"/>
              </w:rPr>
            </w:pPr>
            <w:r>
              <w:rPr>
                <w:rFonts w:ascii="Arial" w:cs="Arial" w:eastAsia="Arial" w:hAnsi="Arial"/>
                <w:sz w:val="18"/>
                <w:szCs w:val="18"/>
                <w:color w:val="auto"/>
              </w:rPr>
              <w:t>6.50%</w:t>
            </w:r>
            <w:r>
              <w:rPr>
                <w:rFonts w:ascii="Arial" w:cs="Arial" w:eastAsia="Arial" w:hAnsi="Arial"/>
                <w:sz w:val="22"/>
                <w:szCs w:val="22"/>
                <w:color w:val="auto"/>
                <w:vertAlign w:val="superscript"/>
              </w:rPr>
              <w:t>(6)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1,312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1,312,006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1,312,006</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Merger Sub, Inc.)</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UP Holdings Inc., Class A-1</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Oil and Gas</w:t>
            </w:r>
          </w:p>
        </w:tc>
        <w:tc>
          <w:tcPr>
            <w:tcW w:w="1120" w:type="dxa"/>
            <w:vAlign w:val="bottom"/>
            <w:gridSpan w:val="3"/>
          </w:tcPr>
          <w:p>
            <w:pPr>
              <w:jc w:val="right"/>
              <w:ind w:right="180"/>
              <w:spacing w:after="0" w:line="216" w:lineRule="exact"/>
              <w:rPr>
                <w:sz w:val="20"/>
                <w:szCs w:val="20"/>
                <w:color w:val="auto"/>
              </w:rPr>
            </w:pPr>
            <w:r>
              <w:rPr>
                <w:rFonts w:ascii="Arial" w:cs="Arial" w:eastAsia="Arial" w:hAnsi="Arial"/>
                <w:sz w:val="18"/>
                <w:szCs w:val="18"/>
                <w:color w:val="auto"/>
              </w:rPr>
              <w:t>8.00%</w:t>
            </w:r>
            <w:r>
              <w:rPr>
                <w:rFonts w:ascii="Arial" w:cs="Arial" w:eastAsia="Arial" w:hAnsi="Arial"/>
                <w:sz w:val="22"/>
                <w:szCs w:val="22"/>
                <w:color w:val="auto"/>
                <w:vertAlign w:val="superscript"/>
              </w:rPr>
              <w:t>(6)</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91,608</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2,499,066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2,499,066</w:t>
            </w:r>
          </w:p>
        </w:tc>
        <w:tc>
          <w:tcPr>
            <w:tcW w:w="0" w:type="dxa"/>
            <w:vAlign w:val="bottom"/>
          </w:tcPr>
          <w:p>
            <w:pPr>
              <w:spacing w:after="0"/>
              <w:rPr>
                <w:sz w:val="1"/>
                <w:szCs w:val="1"/>
                <w:color w:val="auto"/>
              </w:rPr>
            </w:pPr>
          </w:p>
        </w:tc>
      </w:tr>
      <w:tr>
        <w:trPr>
          <w:trHeight w:val="221"/>
        </w:trPr>
        <w:tc>
          <w:tcPr>
            <w:tcW w:w="3620" w:type="dxa"/>
            <w:vAlign w:val="bottom"/>
            <w:gridSpan w:val="2"/>
          </w:tcPr>
          <w:p>
            <w:pPr>
              <w:spacing w:after="0"/>
              <w:rPr>
                <w:sz w:val="20"/>
                <w:szCs w:val="20"/>
                <w:color w:val="auto"/>
              </w:rPr>
            </w:pPr>
            <w:r>
              <w:rPr>
                <w:rFonts w:ascii="Arial" w:cs="Arial" w:eastAsia="Arial" w:hAnsi="Arial"/>
                <w:sz w:val="18"/>
                <w:szCs w:val="18"/>
                <w:color w:val="auto"/>
              </w:rPr>
              <w:t>(UP Acquisitions Sub Inc.)</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Preferred Equity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4,054,448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9,298,819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9,298,819</w:t>
            </w: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line="223" w:lineRule="exact"/>
              <w:rPr>
                <w:sz w:val="20"/>
                <w:szCs w:val="20"/>
                <w:color w:val="auto"/>
              </w:rPr>
            </w:pPr>
            <w:r>
              <w:rPr>
                <w:rFonts w:ascii="Arial" w:cs="Arial" w:eastAsia="Arial" w:hAnsi="Arial"/>
                <w:sz w:val="18"/>
                <w:szCs w:val="18"/>
                <w:b w:val="1"/>
                <w:bCs w:val="1"/>
                <w:color w:val="auto"/>
                <w:w w:val="92"/>
              </w:rPr>
              <w:t>Common Equity/Partnership Interest</w:t>
            </w:r>
            <w:r>
              <w:rPr>
                <w:rFonts w:ascii="Arial" w:cs="Arial" w:eastAsia="Arial" w:hAnsi="Arial"/>
                <w:sz w:val="22"/>
                <w:szCs w:val="22"/>
                <w:b w:val="1"/>
                <w:bCs w:val="1"/>
                <w:color w:val="auto"/>
                <w:w w:val="92"/>
                <w:vertAlign w:val="superscript"/>
              </w:rPr>
              <w:t>(7)</w:t>
            </w:r>
            <w:r>
              <w:rPr>
                <w:rFonts w:ascii="Arial" w:cs="Arial" w:eastAsia="Arial" w:hAnsi="Arial"/>
                <w:sz w:val="18"/>
                <w:szCs w:val="18"/>
                <w:b w:val="1"/>
                <w:bCs w:val="1"/>
                <w:color w:val="auto"/>
                <w:w w:val="92"/>
              </w:rPr>
              <w:t xml:space="preserve"> - 4.0%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AHC Mezzanine</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Media</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998,883</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(Advanstar Inc.)</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20" w:type="dxa"/>
            <w:vAlign w:val="bottom"/>
            <w:gridSpan w:val="2"/>
          </w:tcPr>
          <w:p>
            <w:pPr>
              <w:spacing w:after="0"/>
              <w:rPr>
                <w:sz w:val="20"/>
                <w:szCs w:val="20"/>
                <w:color w:val="auto"/>
              </w:rPr>
            </w:pPr>
            <w:r>
              <w:rPr>
                <w:rFonts w:ascii="Arial" w:cs="Arial" w:eastAsia="Arial" w:hAnsi="Arial"/>
                <w:sz w:val="18"/>
                <w:szCs w:val="18"/>
                <w:color w:val="auto"/>
                <w:w w:val="95"/>
              </w:rPr>
              <w:t>CFHC Holdings, Inc., (Consolidated Foundries,</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Aerospace and</w:t>
            </w:r>
          </w:p>
        </w:tc>
        <w:tc>
          <w:tcPr>
            <w:tcW w:w="2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1,627</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16,271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149,557</w:t>
            </w: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Inc.)</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Defense</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 Holdings, LLC (CT</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Business Services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5,556</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3,200,000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3,200,000</w:t>
            </w:r>
          </w:p>
        </w:tc>
        <w:tc>
          <w:tcPr>
            <w:tcW w:w="0" w:type="dxa"/>
            <w:vAlign w:val="bottom"/>
          </w:tcPr>
          <w:p>
            <w:pPr>
              <w:spacing w:after="0"/>
              <w:rPr>
                <w:sz w:val="1"/>
                <w:szCs w:val="1"/>
                <w:color w:val="auto"/>
              </w:rPr>
            </w:pPr>
          </w:p>
        </w:tc>
      </w:tr>
      <w:tr>
        <w:trPr>
          <w:trHeight w:val="224"/>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Technologies Intermediate   Holdings, Inc.)</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620" w:type="dxa"/>
            <w:vAlign w:val="bottom"/>
            <w:gridSpan w:val="2"/>
          </w:tcPr>
          <w:p>
            <w:pPr>
              <w:spacing w:after="0"/>
              <w:rPr>
                <w:sz w:val="20"/>
                <w:szCs w:val="20"/>
                <w:color w:val="auto"/>
              </w:rPr>
            </w:pPr>
            <w:r>
              <w:rPr>
                <w:rFonts w:ascii="Arial" w:cs="Arial" w:eastAsia="Arial" w:hAnsi="Arial"/>
                <w:sz w:val="18"/>
                <w:szCs w:val="18"/>
                <w:color w:val="auto"/>
              </w:rPr>
              <w:t>i2 Holdings Ltd.</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Aerospace and</w:t>
            </w:r>
          </w:p>
        </w:tc>
        <w:tc>
          <w:tcPr>
            <w:tcW w:w="2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440,000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440,000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1,545,062</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Defense</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Holdings, L.P.</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Insurance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Merger Sub, Inc.)</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UP Holdings Inc.</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Oil and Gas</w:t>
            </w:r>
          </w:p>
        </w:tc>
        <w:tc>
          <w:tcPr>
            <w:tcW w:w="2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91,608</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2,569,208</w:t>
            </w:r>
          </w:p>
        </w:tc>
        <w:tc>
          <w:tcPr>
            <w:tcW w:w="0" w:type="dxa"/>
            <w:vAlign w:val="bottom"/>
          </w:tcPr>
          <w:p>
            <w:pPr>
              <w:spacing w:after="0"/>
              <w:rPr>
                <w:sz w:val="1"/>
                <w:szCs w:val="1"/>
                <w:color w:val="auto"/>
              </w:rPr>
            </w:pPr>
          </w:p>
        </w:tc>
      </w:tr>
      <w:tr>
        <w:trPr>
          <w:trHeight w:val="221"/>
        </w:trPr>
        <w:tc>
          <w:tcPr>
            <w:tcW w:w="3620" w:type="dxa"/>
            <w:vAlign w:val="bottom"/>
            <w:gridSpan w:val="2"/>
          </w:tcPr>
          <w:p>
            <w:pPr>
              <w:spacing w:after="0"/>
              <w:rPr>
                <w:sz w:val="20"/>
                <w:szCs w:val="20"/>
                <w:color w:val="auto"/>
              </w:rPr>
            </w:pPr>
            <w:r>
              <w:rPr>
                <w:rFonts w:ascii="Arial" w:cs="Arial" w:eastAsia="Arial" w:hAnsi="Arial"/>
                <w:sz w:val="18"/>
                <w:szCs w:val="18"/>
                <w:color w:val="auto"/>
              </w:rPr>
              <w:t>(UP Acquisitions Sub Inc.)</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Common Equity/Partnership Interest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541,793</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6,659,360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8,464,883</w:t>
            </w:r>
          </w:p>
        </w:tc>
        <w:tc>
          <w:tcPr>
            <w:tcW w:w="0" w:type="dxa"/>
            <w:vAlign w:val="bottom"/>
          </w:tcPr>
          <w:p>
            <w:pPr>
              <w:spacing w:after="0"/>
              <w:rPr>
                <w:sz w:val="1"/>
                <w:szCs w:val="1"/>
                <w:color w:val="auto"/>
              </w:rPr>
            </w:pPr>
          </w:p>
        </w:tc>
      </w:tr>
      <w:tr>
        <w:trPr>
          <w:trHeight w:val="453"/>
        </w:trPr>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Par</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- 37.4%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Burlington Coat Factory Warehouse Corp.</w:t>
            </w:r>
          </w:p>
        </w:tc>
        <w:tc>
          <w:tcPr>
            <w:tcW w:w="820" w:type="dxa"/>
            <w:vAlign w:val="bottom"/>
          </w:tcPr>
          <w:p>
            <w:pPr>
              <w:ind w:left="20"/>
              <w:spacing w:after="0"/>
              <w:rPr>
                <w:sz w:val="20"/>
                <w:szCs w:val="20"/>
                <w:color w:val="auto"/>
              </w:rPr>
            </w:pPr>
            <w:r>
              <w:rPr>
                <w:rFonts w:ascii="Arial" w:cs="Arial" w:eastAsia="Arial" w:hAnsi="Arial"/>
                <w:sz w:val="18"/>
                <w:szCs w:val="18"/>
                <w:color w:val="auto"/>
                <w:w w:val="86"/>
              </w:rPr>
              <w:t>05/28/2013</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Retail Store</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5.06%</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L+225</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$ 7,896,473</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7,889,120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5,401,187</w:t>
            </w:r>
          </w:p>
        </w:tc>
        <w:tc>
          <w:tcPr>
            <w:tcW w:w="0" w:type="dxa"/>
            <w:vAlign w:val="bottom"/>
          </w:tcPr>
          <w:p>
            <w:pPr>
              <w:spacing w:after="0"/>
              <w:rPr>
                <w:sz w:val="1"/>
                <w:szCs w:val="1"/>
                <w:color w:val="auto"/>
              </w:rPr>
            </w:pPr>
          </w:p>
        </w:tc>
      </w:tr>
      <w:tr>
        <w:trPr>
          <w:trHeight w:val="20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Cohr Holdings, Inc.</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01/31/2013</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Healthcare, Education</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L+250</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2,955,000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2,955,000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1,484,888</w:t>
            </w: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and Childcare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620" w:type="dxa"/>
            <w:vAlign w:val="bottom"/>
            <w:gridSpan w:val="2"/>
          </w:tcPr>
          <w:p>
            <w:pPr>
              <w:spacing w:after="0"/>
              <w:rPr>
                <w:sz w:val="20"/>
                <w:szCs w:val="20"/>
                <w:color w:val="auto"/>
              </w:rPr>
            </w:pPr>
            <w:r>
              <w:rPr>
                <w:rFonts w:ascii="Arial" w:cs="Arial" w:eastAsia="Arial" w:hAnsi="Arial"/>
                <w:sz w:val="18"/>
                <w:szCs w:val="18"/>
                <w:color w:val="auto"/>
              </w:rPr>
              <w:t>EnviroSolutions, Inc.</w:t>
            </w:r>
          </w:p>
        </w:tc>
        <w:tc>
          <w:tcPr>
            <w:tcW w:w="820" w:type="dxa"/>
            <w:vAlign w:val="bottom"/>
          </w:tcPr>
          <w:p>
            <w:pPr>
              <w:ind w:left="20"/>
              <w:spacing w:after="0"/>
              <w:rPr>
                <w:sz w:val="20"/>
                <w:szCs w:val="20"/>
                <w:color w:val="auto"/>
              </w:rPr>
            </w:pPr>
            <w:r>
              <w:rPr>
                <w:rFonts w:ascii="Arial" w:cs="Arial" w:eastAsia="Arial" w:hAnsi="Arial"/>
                <w:sz w:val="18"/>
                <w:szCs w:val="18"/>
                <w:color w:val="auto"/>
                <w:w w:val="86"/>
              </w:rPr>
              <w:t>08/07/2012</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Environmental</w:t>
            </w:r>
          </w:p>
        </w:tc>
        <w:tc>
          <w:tcPr>
            <w:tcW w:w="1120" w:type="dxa"/>
            <w:vAlign w:val="bottom"/>
            <w:gridSpan w:val="3"/>
          </w:tcPr>
          <w:p>
            <w:pPr>
              <w:jc w:val="right"/>
              <w:ind w:right="180"/>
              <w:spacing w:after="0" w:line="207" w:lineRule="exact"/>
              <w:rPr>
                <w:sz w:val="20"/>
                <w:szCs w:val="20"/>
                <w:color w:val="auto"/>
              </w:rPr>
            </w:pPr>
            <w:r>
              <w:rPr>
                <w:rFonts w:ascii="Arial" w:cs="Arial" w:eastAsia="Arial" w:hAnsi="Arial"/>
                <w:sz w:val="18"/>
                <w:szCs w:val="18"/>
                <w:color w:val="auto"/>
              </w:rPr>
              <w:t>12.04%</w:t>
            </w:r>
            <w:r>
              <w:rPr>
                <w:rFonts w:ascii="Arial" w:cs="Arial" w:eastAsia="Arial" w:hAnsi="Arial"/>
                <w:sz w:val="22"/>
                <w:szCs w:val="22"/>
                <w:color w:val="auto"/>
                <w:vertAlign w:val="superscript"/>
              </w:rPr>
              <w:t>(6)</w:t>
            </w:r>
          </w:p>
        </w:tc>
        <w:tc>
          <w:tcPr>
            <w:tcW w:w="660" w:type="dxa"/>
            <w:vAlign w:val="bottom"/>
          </w:tcPr>
          <w:p>
            <w:pPr>
              <w:jc w:val="center"/>
              <w:spacing w:after="0" w:line="207" w:lineRule="exact"/>
              <w:rPr>
                <w:sz w:val="20"/>
                <w:szCs w:val="20"/>
                <w:color w:val="auto"/>
              </w:rPr>
            </w:pPr>
            <w:r>
              <w:rPr>
                <w:rFonts w:ascii="Arial" w:cs="Arial" w:eastAsia="Arial" w:hAnsi="Arial"/>
                <w:sz w:val="18"/>
                <w:szCs w:val="18"/>
                <w:color w:val="auto"/>
                <w:w w:val="87"/>
              </w:rPr>
              <w:t>L+825</w:t>
            </w:r>
            <w:r>
              <w:rPr>
                <w:rFonts w:ascii="Arial" w:cs="Arial" w:eastAsia="Arial" w:hAnsi="Arial"/>
                <w:sz w:val="22"/>
                <w:szCs w:val="22"/>
                <w:color w:val="auto"/>
                <w:w w:val="87"/>
                <w:vertAlign w:val="superscript"/>
              </w:rPr>
              <w:t>(8)</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14,014,177</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12,965,204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12,192,334</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Services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08/07/2012</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Environmental</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12.25%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P+725</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2,293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Services</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Gatehouse Media Operating, Inc.</w:t>
            </w:r>
          </w:p>
        </w:tc>
        <w:tc>
          <w:tcPr>
            <w:tcW w:w="820" w:type="dxa"/>
            <w:vAlign w:val="bottom"/>
          </w:tcPr>
          <w:p>
            <w:pPr>
              <w:ind w:left="20"/>
              <w:spacing w:after="0"/>
              <w:rPr>
                <w:sz w:val="20"/>
                <w:szCs w:val="20"/>
                <w:color w:val="auto"/>
              </w:rPr>
            </w:pPr>
            <w:r>
              <w:rPr>
                <w:rFonts w:ascii="Arial" w:cs="Arial" w:eastAsia="Arial" w:hAnsi="Arial"/>
                <w:sz w:val="18"/>
                <w:szCs w:val="18"/>
                <w:color w:val="auto"/>
                <w:w w:val="86"/>
              </w:rPr>
              <w:t>08/28/2014</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Media</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4.81%</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L+200</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7,000,000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3,336,690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Nutrition Centers, Inc.</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09/16/2013</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Retail Store</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L+225</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3,410,095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3,411,892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2,821,854</w:t>
            </w:r>
          </w:p>
        </w:tc>
        <w:tc>
          <w:tcPr>
            <w:tcW w:w="0" w:type="dxa"/>
            <w:vAlign w:val="bottom"/>
          </w:tcPr>
          <w:p>
            <w:pPr>
              <w:spacing w:after="0"/>
              <w:rPr>
                <w:sz w:val="1"/>
                <w:szCs w:val="1"/>
                <w:color w:val="auto"/>
              </w:rPr>
            </w:pPr>
          </w:p>
        </w:tc>
      </w:tr>
      <w:tr>
        <w:trPr>
          <w:trHeight w:val="384"/>
        </w:trPr>
        <w:tc>
          <w:tcPr>
            <w:tcW w:w="3620" w:type="dxa"/>
            <w:vAlign w:val="bottom"/>
            <w:gridSpan w:val="2"/>
          </w:tcPr>
          <w:p>
            <w:pPr>
              <w:spacing w:after="0"/>
              <w:rPr>
                <w:sz w:val="20"/>
                <w:szCs w:val="20"/>
                <w:color w:val="auto"/>
              </w:rPr>
            </w:pPr>
            <w:r>
              <w:rPr>
                <w:rFonts w:ascii="Arial" w:cs="Arial" w:eastAsia="Arial" w:hAnsi="Arial"/>
                <w:sz w:val="18"/>
                <w:szCs w:val="18"/>
                <w:color w:val="auto"/>
              </w:rPr>
              <w:t>Greatwide Logistics Services, Inc.</w:t>
            </w:r>
          </w:p>
        </w:tc>
        <w:tc>
          <w:tcPr>
            <w:tcW w:w="820" w:type="dxa"/>
            <w:vAlign w:val="bottom"/>
          </w:tcPr>
          <w:p>
            <w:pPr>
              <w:ind w:left="20"/>
              <w:spacing w:after="0"/>
              <w:rPr>
                <w:sz w:val="20"/>
                <w:szCs w:val="20"/>
                <w:color w:val="auto"/>
              </w:rPr>
            </w:pPr>
            <w:r>
              <w:rPr>
                <w:rFonts w:ascii="Arial" w:cs="Arial" w:eastAsia="Arial" w:hAnsi="Arial"/>
                <w:sz w:val="18"/>
                <w:szCs w:val="18"/>
                <w:color w:val="auto"/>
                <w:w w:val="86"/>
              </w:rPr>
              <w:t>12/19/2013</w:t>
            </w:r>
          </w:p>
        </w:tc>
        <w:tc>
          <w:tcPr>
            <w:tcW w:w="1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Cargo Transport</w:t>
            </w:r>
          </w:p>
        </w:tc>
        <w:tc>
          <w:tcPr>
            <w:tcW w:w="200" w:type="dxa"/>
            <w:vAlign w:val="bottom"/>
          </w:tcPr>
          <w:p>
            <w:pPr>
              <w:spacing w:after="0"/>
              <w:rPr>
                <w:sz w:val="24"/>
                <w:szCs w:val="24"/>
                <w:color w:val="auto"/>
              </w:rPr>
            </w:pPr>
          </w:p>
        </w:tc>
        <w:tc>
          <w:tcPr>
            <w:tcW w:w="920" w:type="dxa"/>
            <w:vAlign w:val="bottom"/>
            <w:gridSpan w:val="2"/>
          </w:tcPr>
          <w:p>
            <w:pPr>
              <w:jc w:val="right"/>
              <w:ind w:right="320"/>
              <w:spacing w:after="0" w:line="383"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 xml:space="preserve">  (7)</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6,912,500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6,912,500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5,149,813</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Basis Point</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Spread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7"/>
              </w:rPr>
              <w:t>Current</w:t>
            </w:r>
          </w:p>
        </w:tc>
        <w:tc>
          <w:tcPr>
            <w:tcW w:w="3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2680" w:type="dxa"/>
            <w:vAlign w:val="bottom"/>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4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Coupon</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(Continued)</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Hanley- Wood, L.L.C.</w:t>
            </w:r>
          </w:p>
        </w:tc>
        <w:tc>
          <w:tcPr>
            <w:tcW w:w="800" w:type="dxa"/>
            <w:vAlign w:val="bottom"/>
          </w:tcPr>
          <w:p>
            <w:pPr>
              <w:spacing w:after="0"/>
              <w:rPr>
                <w:sz w:val="20"/>
                <w:szCs w:val="20"/>
                <w:color w:val="auto"/>
              </w:rPr>
            </w:pPr>
            <w:r>
              <w:rPr>
                <w:rFonts w:ascii="Arial" w:cs="Arial" w:eastAsia="Arial" w:hAnsi="Arial"/>
                <w:sz w:val="18"/>
                <w:szCs w:val="18"/>
                <w:color w:val="auto"/>
                <w:w w:val="86"/>
              </w:rPr>
              <w:t>03/08/2014</w:t>
            </w:r>
          </w:p>
        </w:tc>
        <w:tc>
          <w:tcPr>
            <w:tcW w:w="16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Other Media</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3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L+225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8,932,500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8,932,500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  6,327,185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Hughes Network Systems, L.L.C.</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04/15/2014</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Telecommunications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L+250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Jacuzzi Brands Corp.</w:t>
            </w:r>
          </w:p>
        </w:tc>
        <w:tc>
          <w:tcPr>
            <w:tcW w:w="800" w:type="dxa"/>
            <w:vAlign w:val="bottom"/>
          </w:tcPr>
          <w:p>
            <w:pPr>
              <w:spacing w:after="0"/>
              <w:rPr>
                <w:sz w:val="20"/>
                <w:szCs w:val="20"/>
                <w:color w:val="auto"/>
              </w:rPr>
            </w:pPr>
            <w:r>
              <w:rPr>
                <w:rFonts w:ascii="Arial" w:cs="Arial" w:eastAsia="Arial" w:hAnsi="Arial"/>
                <w:sz w:val="18"/>
                <w:szCs w:val="18"/>
                <w:color w:val="auto"/>
                <w:w w:val="86"/>
              </w:rPr>
              <w:t>02/07/2014</w:t>
            </w:r>
          </w:p>
        </w:tc>
        <w:tc>
          <w:tcPr>
            <w:tcW w:w="16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Home and Office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L+225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9,890,541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9,890,541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6,156,861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Furnishings,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Housewares and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Durable Consumer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Products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Levlad, L.L.C.</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03/08/2014</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Consumer Products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L+225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4,564,563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4,564,563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Longview Power, L.L.C.</w:t>
            </w:r>
          </w:p>
        </w:tc>
        <w:tc>
          <w:tcPr>
            <w:tcW w:w="800" w:type="dxa"/>
            <w:vAlign w:val="bottom"/>
          </w:tcPr>
          <w:p>
            <w:pPr>
              <w:spacing w:after="0"/>
              <w:rPr>
                <w:sz w:val="20"/>
                <w:szCs w:val="20"/>
                <w:color w:val="auto"/>
              </w:rPr>
            </w:pPr>
            <w:r>
              <w:rPr>
                <w:rFonts w:ascii="Arial" w:cs="Arial" w:eastAsia="Arial" w:hAnsi="Arial"/>
                <w:sz w:val="18"/>
                <w:szCs w:val="18"/>
                <w:color w:val="auto"/>
                <w:w w:val="86"/>
              </w:rPr>
              <w:t>02/28/2014</w:t>
            </w:r>
          </w:p>
        </w:tc>
        <w:tc>
          <w:tcPr>
            <w:tcW w:w="160" w:type="dxa"/>
            <w:vAlign w:val="bottom"/>
          </w:tcPr>
          <w:p>
            <w:pPr>
              <w:spacing w:after="0"/>
              <w:rPr>
                <w:sz w:val="18"/>
                <w:szCs w:val="18"/>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Utilities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3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L+225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3,000,000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2,630,001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Mattress Holding Corp.</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01/18/2014</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Home and Office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L+225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3,950,100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3,950,100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Furnishings,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Housewares and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Durable Consumer</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Products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Mitchell International, Inc.</w:t>
            </w:r>
          </w:p>
        </w:tc>
        <w:tc>
          <w:tcPr>
            <w:tcW w:w="800" w:type="dxa"/>
            <w:vAlign w:val="bottom"/>
          </w:tcPr>
          <w:p>
            <w:pPr>
              <w:spacing w:after="0"/>
              <w:rPr>
                <w:sz w:val="20"/>
                <w:szCs w:val="20"/>
                <w:color w:val="auto"/>
              </w:rPr>
            </w:pPr>
            <w:r>
              <w:rPr>
                <w:rFonts w:ascii="Arial" w:cs="Arial" w:eastAsia="Arial" w:hAnsi="Arial"/>
                <w:sz w:val="18"/>
                <w:szCs w:val="18"/>
                <w:color w:val="auto"/>
                <w:w w:val="86"/>
              </w:rPr>
              <w:t>03/28/2014</w:t>
            </w:r>
          </w:p>
        </w:tc>
        <w:tc>
          <w:tcPr>
            <w:tcW w:w="16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Business Services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3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L+200</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3,940,000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3,940,000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Bedding Co., L.L.C.</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02/28/2013</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Home and Office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L+200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6,900,583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Furnishings,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Housewares and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Durable Consumer</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Products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Penton Media, Inc.</w:t>
            </w:r>
          </w:p>
        </w:tc>
        <w:tc>
          <w:tcPr>
            <w:tcW w:w="800" w:type="dxa"/>
            <w:vAlign w:val="bottom"/>
          </w:tcPr>
          <w:p>
            <w:pPr>
              <w:spacing w:after="0"/>
              <w:rPr>
                <w:sz w:val="20"/>
                <w:szCs w:val="20"/>
                <w:color w:val="auto"/>
              </w:rPr>
            </w:pPr>
            <w:r>
              <w:rPr>
                <w:rFonts w:ascii="Arial" w:cs="Arial" w:eastAsia="Arial" w:hAnsi="Arial"/>
                <w:sz w:val="18"/>
                <w:szCs w:val="18"/>
                <w:color w:val="auto"/>
                <w:w w:val="86"/>
              </w:rPr>
              <w:t>02/01/2013</w:t>
            </w:r>
          </w:p>
        </w:tc>
        <w:tc>
          <w:tcPr>
            <w:tcW w:w="16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Other Media</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L+225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4,925,000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4,925,000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3,558,313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Philosophy, Inc.</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03/16/2014</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Consumer Products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L+200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1,474,667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1,474,667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Questex Media Group, Inc.</w:t>
            </w:r>
          </w:p>
        </w:tc>
        <w:tc>
          <w:tcPr>
            <w:tcW w:w="800" w:type="dxa"/>
            <w:vAlign w:val="bottom"/>
          </w:tcPr>
          <w:p>
            <w:pPr>
              <w:spacing w:after="0"/>
              <w:rPr>
                <w:sz w:val="20"/>
                <w:szCs w:val="20"/>
                <w:color w:val="auto"/>
              </w:rPr>
            </w:pPr>
            <w:r>
              <w:rPr>
                <w:rFonts w:ascii="Arial" w:cs="Arial" w:eastAsia="Arial" w:hAnsi="Arial"/>
                <w:sz w:val="18"/>
                <w:szCs w:val="18"/>
                <w:color w:val="auto"/>
                <w:w w:val="86"/>
              </w:rPr>
              <w:t>05/04/2014</w:t>
            </w:r>
          </w:p>
        </w:tc>
        <w:tc>
          <w:tcPr>
            <w:tcW w:w="16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Other Media</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3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L+300</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4,924,167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4,924,167</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4,825,683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Reader’s Digest Association, Inc.</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03/02/2014</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Printing and Publishing</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L+200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Rexnord , L.L.C.</w:t>
            </w:r>
          </w:p>
        </w:tc>
        <w:tc>
          <w:tcPr>
            <w:tcW w:w="800" w:type="dxa"/>
            <w:vAlign w:val="bottom"/>
          </w:tcPr>
          <w:p>
            <w:pPr>
              <w:spacing w:after="0"/>
              <w:rPr>
                <w:sz w:val="20"/>
                <w:szCs w:val="20"/>
                <w:color w:val="auto"/>
              </w:rPr>
            </w:pPr>
            <w:r>
              <w:rPr>
                <w:rFonts w:ascii="Arial" w:cs="Arial" w:eastAsia="Arial" w:hAnsi="Arial"/>
                <w:sz w:val="18"/>
                <w:szCs w:val="18"/>
                <w:color w:val="auto"/>
                <w:w w:val="86"/>
              </w:rPr>
              <w:t>07/19/2013</w:t>
            </w:r>
          </w:p>
        </w:tc>
        <w:tc>
          <w:tcPr>
            <w:tcW w:w="160" w:type="dxa"/>
            <w:vAlign w:val="bottom"/>
          </w:tcPr>
          <w:p>
            <w:pPr>
              <w:spacing w:after="0"/>
              <w:rPr>
                <w:sz w:val="18"/>
                <w:szCs w:val="18"/>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Manufacturing /Basic</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3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L+200</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2,917,576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2,917,576</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2,625,819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Industry</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Sitel, L.L.C.</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01/30/2014</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Business Services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L+250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2,592,017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2,592,017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Sitel, L.L.C.</w:t>
            </w:r>
          </w:p>
        </w:tc>
        <w:tc>
          <w:tcPr>
            <w:tcW w:w="800" w:type="dxa"/>
            <w:vAlign w:val="bottom"/>
          </w:tcPr>
          <w:p>
            <w:pPr>
              <w:spacing w:after="0"/>
              <w:rPr>
                <w:sz w:val="20"/>
                <w:szCs w:val="20"/>
                <w:color w:val="auto"/>
              </w:rPr>
            </w:pPr>
            <w:r>
              <w:rPr>
                <w:rFonts w:ascii="Arial" w:cs="Arial" w:eastAsia="Arial" w:hAnsi="Arial"/>
                <w:sz w:val="18"/>
                <w:szCs w:val="18"/>
                <w:color w:val="auto"/>
                <w:w w:val="86"/>
              </w:rPr>
              <w:t>01/30/2014</w:t>
            </w:r>
          </w:p>
        </w:tc>
        <w:tc>
          <w:tcPr>
            <w:tcW w:w="160" w:type="dxa"/>
            <w:vAlign w:val="bottom"/>
          </w:tcPr>
          <w:p>
            <w:pPr>
              <w:spacing w:after="0"/>
              <w:rPr>
                <w:sz w:val="19"/>
                <w:szCs w:val="19"/>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Business Services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P+150</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90,311</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First Lien Secured Debt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106,271,980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105,222,862</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6"/>
          </w:tcPr>
          <w:p>
            <w:pPr>
              <w:spacing w:after="0"/>
              <w:rPr>
                <w:sz w:val="20"/>
                <w:szCs w:val="20"/>
                <w:color w:val="auto"/>
              </w:rPr>
            </w:pPr>
            <w:r>
              <w:rPr>
                <w:rFonts w:ascii="Arial" w:cs="Arial" w:eastAsia="Arial" w:hAnsi="Arial"/>
                <w:sz w:val="18"/>
                <w:szCs w:val="18"/>
                <w:b w:val="1"/>
                <w:bCs w:val="1"/>
                <w:color w:val="auto"/>
              </w:rPr>
              <w:t>Investments in Non-Controlled, Non-Affiliated Portfolio Companies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427,481,745</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354,261,950</w:t>
            </w:r>
          </w:p>
        </w:tc>
        <w:tc>
          <w:tcPr>
            <w:tcW w:w="0" w:type="dxa"/>
            <w:vAlign w:val="bottom"/>
          </w:tcPr>
          <w:p>
            <w:pPr>
              <w:spacing w:after="0"/>
              <w:rPr>
                <w:sz w:val="1"/>
                <w:szCs w:val="1"/>
                <w:color w:val="auto"/>
              </w:rPr>
            </w:pPr>
          </w:p>
        </w:tc>
      </w:tr>
      <w:tr>
        <w:trPr>
          <w:trHeight w:val="216"/>
        </w:trPr>
        <w:tc>
          <w:tcPr>
            <w:tcW w:w="6280" w:type="dxa"/>
            <w:vAlign w:val="bottom"/>
            <w:gridSpan w:val="6"/>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Investments in Non-Controlled, Affiliated Portfolio Companies - 8.5%</w:t>
            </w:r>
            <w:r>
              <w:rPr>
                <w:rFonts w:ascii="Arial" w:cs="Arial" w:eastAsia="Arial" w:hAnsi="Arial"/>
                <w:sz w:val="22"/>
                <w:szCs w:val="22"/>
                <w:b w:val="1"/>
                <w:bCs w:val="1"/>
                <w:color w:val="auto"/>
                <w:vertAlign w:val="superscript"/>
              </w:rPr>
              <w:t>(2)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w w:val="91"/>
              </w:rPr>
              <w:t>Subordinated Debt / Corporate Notes - 2.1%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07/02/2014</w:t>
            </w:r>
          </w:p>
        </w:tc>
        <w:tc>
          <w:tcPr>
            <w:tcW w:w="1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Leisure, Amusement,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14.25%</w:t>
            </w:r>
          </w:p>
        </w:tc>
        <w:tc>
          <w:tcPr>
            <w:tcW w:w="32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(6)</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4,414,356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4,192,261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Motion Pictures,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Entertainment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97"/>
              </w:rPr>
              <w:t>Current</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360" w:type="dxa"/>
            <w:vAlign w:val="bottom"/>
            <w:gridSpan w:val="3"/>
          </w:tcPr>
          <w:p>
            <w:pPr>
              <w:spacing w:after="0"/>
              <w:rPr>
                <w:sz w:val="20"/>
                <w:szCs w:val="20"/>
                <w:color w:val="auto"/>
              </w:rPr>
            </w:pPr>
            <w:r>
              <w:rPr>
                <w:rFonts w:ascii="Arial" w:cs="Arial" w:eastAsia="Arial" w:hAnsi="Arial"/>
                <w:sz w:val="13"/>
                <w:szCs w:val="13"/>
                <w:b w:val="1"/>
                <w:bCs w:val="1"/>
                <w:color w:val="auto"/>
              </w:rPr>
              <w:t>Issuer Name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93"/>
              </w:rPr>
              <w:t>Coupon</w:t>
            </w:r>
          </w:p>
        </w:tc>
        <w:tc>
          <w:tcPr>
            <w:tcW w:w="2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75"/>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Entertainment</w:t>
            </w:r>
          </w:p>
        </w:tc>
        <w:tc>
          <w:tcPr>
            <w:tcW w:w="200" w:type="dxa"/>
            <w:vAlign w:val="bottom"/>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Second Lien Secured Debt - 4.0%</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 Inc.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07/02/2013</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Leisure, Amusement,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8.55%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8,750,000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Motion Pictures,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Entertainment</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60" w:type="dxa"/>
            <w:vAlign w:val="bottom"/>
            <w:gridSpan w:val="4"/>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Common Equity/Partnership Interest</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 xml:space="preserve"> - 2.4%</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60" w:type="dxa"/>
            <w:vAlign w:val="bottom"/>
            <w:gridSpan w:val="3"/>
          </w:tcPr>
          <w:p>
            <w:pPr>
              <w:spacing w:after="0"/>
              <w:rPr>
                <w:sz w:val="20"/>
                <w:szCs w:val="20"/>
                <w:color w:val="auto"/>
              </w:rPr>
            </w:pPr>
            <w:r>
              <w:rPr>
                <w:rFonts w:ascii="Arial" w:cs="Arial" w:eastAsia="Arial" w:hAnsi="Arial"/>
                <w:sz w:val="18"/>
                <w:szCs w:val="18"/>
                <w:color w:val="auto"/>
                <w:w w:val="97"/>
              </w:rPr>
              <w:t>NCP-Performance (Performance Holdings,</w:t>
            </w:r>
          </w:p>
        </w:tc>
        <w:tc>
          <w:tcPr>
            <w:tcW w:w="80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Leisure, Amusement,</w:t>
            </w:r>
          </w:p>
        </w:tc>
        <w:tc>
          <w:tcPr>
            <w:tcW w:w="20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5,124,014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Arial" w:cs="Arial" w:eastAsia="Arial" w:hAnsi="Arial"/>
                <w:sz w:val="18"/>
                <w:szCs w:val="18"/>
                <w:color w:val="auto"/>
              </w:rPr>
              <w:t>Inc.)</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Motion Pictures,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Entertainment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Investments in Non-Controlled, Affiliated Portfolio Companies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16,692,261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17,885,870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 - 176.6%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444,174,006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372,147,820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 - 19.1%</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gridSpan w:val="3"/>
          </w:tcPr>
          <w:p>
            <w:pPr>
              <w:spacing w:after="0"/>
              <w:rPr>
                <w:sz w:val="20"/>
                <w:szCs w:val="20"/>
                <w:color w:val="auto"/>
              </w:rPr>
            </w:pPr>
            <w:r>
              <w:rPr>
                <w:rFonts w:ascii="Arial" w:cs="Arial" w:eastAsia="Arial" w:hAnsi="Arial"/>
                <w:sz w:val="18"/>
                <w:szCs w:val="18"/>
                <w:color w:val="auto"/>
              </w:rPr>
              <w:t>Money Market - Mutual Funds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40,249,201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40,249,201</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Cash Equivalents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40,249,201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40,249,201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w w:val="98"/>
              </w:rPr>
              <w:t>Total Investments and Cash Equivalents - 195.7%</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484,423,207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412,397,021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 in Excess of Other Assets - (95.7%)</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(201,668,761)</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Assets - 100.0%</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210,728,260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Investment Company Act of 1940 (the “1940 Act”) “non-controlled” means we own less than 25% of a portfolio company’s voting securities.</w:t>
      </w:r>
    </w:p>
    <w:p>
      <w:pPr>
        <w:ind w:left="460" w:right="4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 or Prime Rate (Prime or “P”).</w:t>
      </w:r>
    </w:p>
    <w:p>
      <w:pPr>
        <w:ind w:left="460" w:right="1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Coupon payable in cash and/or payment-in-kind (“PIK”).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LIBOR floor applies.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340" w:firstLine="449"/>
        <w:spacing w:after="0" w:line="306" w:lineRule="auto"/>
        <w:rPr>
          <w:sz w:val="20"/>
          <w:szCs w:val="20"/>
          <w:color w:val="auto"/>
        </w:rPr>
      </w:pPr>
      <w:r>
        <w:rPr>
          <w:rFonts w:ascii="Arial" w:cs="Arial" w:eastAsia="Arial" w:hAnsi="Arial"/>
          <w:sz w:val="16"/>
          <w:szCs w:val="16"/>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w:t>
      </w:r>
    </w:p>
    <w:p>
      <w:pPr>
        <w:spacing w:after="0" w:line="106"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Securities Exchange Act of 1934, as amended, we are providing a Statement of Changes in Net Assets in lieu of a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80" w:hanging="447"/>
        <w:spacing w:after="0" w:line="28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expect that there will not be readily available market values for most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49"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are deemed not to represent fair value, our board of directors undertakes a multi-step valuation process each quarter, as described below:</w:t>
      </w:r>
    </w:p>
    <w:p>
      <w:pPr>
        <w:spacing w:after="0" w:line="51" w:lineRule="exact"/>
        <w:rPr>
          <w:sz w:val="20"/>
          <w:szCs w:val="20"/>
          <w:color w:val="auto"/>
        </w:rPr>
      </w:pPr>
    </w:p>
    <w:p>
      <w:pPr>
        <w:ind w:left="1460" w:hanging="561"/>
        <w:spacing w:after="0" w:line="268"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460" w:right="100" w:hanging="561"/>
        <w:spacing w:after="0" w:line="256"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1460" w:hanging="561"/>
        <w:spacing w:after="0" w:line="259"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right="140" w:hanging="561"/>
        <w:spacing w:after="0" w:line="331" w:lineRule="auto"/>
        <w:tabs>
          <w:tab w:leader="none" w:pos="1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right="280" w:hanging="447"/>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purchased within 60 days of maturity are valued at cost plus accreted discount, or minus amortized premium, which approximates value.</w:t>
      </w:r>
    </w:p>
    <w:p>
      <w:pPr>
        <w:spacing w:after="0" w:line="50" w:lineRule="exact"/>
        <w:rPr>
          <w:rFonts w:ascii="Arial" w:cs="Arial" w:eastAsia="Arial" w:hAnsi="Arial"/>
          <w:sz w:val="18"/>
          <w:szCs w:val="18"/>
          <w:color w:val="auto"/>
        </w:rPr>
      </w:pPr>
    </w:p>
    <w:p>
      <w:pPr>
        <w:ind w:left="900" w:right="320" w:hanging="447"/>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payable values during the reporting period, including any reversal of previously recorded unrealized appreciation or depreciation, when gains or losses are realized.</w:t>
      </w:r>
    </w:p>
    <w:p>
      <w:pPr>
        <w:spacing w:after="0" w:line="34" w:lineRule="exact"/>
        <w:rPr>
          <w:rFonts w:ascii="Arial" w:cs="Arial" w:eastAsia="Arial" w:hAnsi="Arial"/>
          <w:sz w:val="16"/>
          <w:szCs w:val="16"/>
          <w:color w:val="auto"/>
        </w:rPr>
      </w:pPr>
    </w:p>
    <w:p>
      <w:pPr>
        <w:ind w:left="900" w:right="60" w:hanging="447"/>
        <w:spacing w:after="0" w:line="290"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Payment-In-Kind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amounts.</w:t>
      </w:r>
    </w:p>
    <w:p>
      <w:pPr>
        <w:spacing w:after="0" w:line="36" w:lineRule="exact"/>
        <w:rPr>
          <w:rFonts w:ascii="Arial" w:cs="Arial" w:eastAsia="Arial" w:hAnsi="Arial"/>
          <w:sz w:val="16"/>
          <w:szCs w:val="16"/>
          <w:color w:val="auto"/>
        </w:rPr>
      </w:pPr>
    </w:p>
    <w:p>
      <w:pPr>
        <w:ind w:left="900" w:right="60" w:hanging="447"/>
        <w:spacing w:after="0" w:line="308"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2008. Although we file federal and state tax returns, our major tax jurisdiction is federal. Our 2008 and 2007 federal tax year remains subject to examination by the IRS.</w:t>
      </w:r>
    </w:p>
    <w:p>
      <w:pPr>
        <w:spacing w:after="0" w:line="27" w:lineRule="exact"/>
        <w:rPr>
          <w:rFonts w:ascii="Arial" w:cs="Arial" w:eastAsia="Arial" w:hAnsi="Arial"/>
          <w:sz w:val="15"/>
          <w:szCs w:val="15"/>
          <w:color w:val="auto"/>
        </w:rPr>
      </w:pPr>
    </w:p>
    <w:p>
      <w:pPr>
        <w:ind w:left="900" w:hanging="447"/>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220" w:hanging="447"/>
        <w:spacing w:after="0" w:line="323"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6" w:lineRule="exact"/>
        <w:rPr>
          <w:rFonts w:ascii="Arial" w:cs="Arial" w:eastAsia="Arial" w:hAnsi="Arial"/>
          <w:sz w:val="15"/>
          <w:szCs w:val="15"/>
          <w:color w:val="auto"/>
        </w:rPr>
      </w:pPr>
    </w:p>
    <w:p>
      <w:pPr>
        <w:ind w:left="900" w:right="60" w:hanging="447"/>
        <w:spacing w:after="0" w:line="314"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23" w:lineRule="exact"/>
        <w:rPr>
          <w:rFonts w:ascii="Arial" w:cs="Arial" w:eastAsia="Arial" w:hAnsi="Arial"/>
          <w:sz w:val="15"/>
          <w:szCs w:val="15"/>
          <w:color w:val="auto"/>
        </w:rPr>
      </w:pPr>
    </w:p>
    <w:p>
      <w:pPr>
        <w:ind w:left="900" w:hanging="447"/>
        <w:spacing w:after="0" w:line="28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w:t>
      </w:r>
    </w:p>
    <w:p>
      <w:pPr>
        <w:spacing w:after="0" w:line="45" w:lineRule="exact"/>
        <w:rPr>
          <w:rFonts w:ascii="Arial" w:cs="Arial" w:eastAsia="Arial" w:hAnsi="Arial"/>
          <w:sz w:val="16"/>
          <w:szCs w:val="16"/>
          <w:color w:val="auto"/>
        </w:rPr>
      </w:pPr>
    </w:p>
    <w:p>
      <w:pPr>
        <w:ind w:left="900" w:right="20" w:hanging="447"/>
        <w:spacing w:after="0" w:line="25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October 2008, the FASB issued FASB Staff Position No. 157-3, </w:t>
      </w:r>
      <w:r>
        <w:rPr>
          <w:rFonts w:ascii="Arial" w:cs="Arial" w:eastAsia="Arial" w:hAnsi="Arial"/>
          <w:sz w:val="18"/>
          <w:szCs w:val="18"/>
          <w:i w:val="1"/>
          <w:iCs w:val="1"/>
          <w:color w:val="auto"/>
        </w:rPr>
        <w:t>Determining the Fair Value of a Financial Asset When the Market for That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 is Not Active </w:t>
      </w:r>
      <w:r>
        <w:rPr>
          <w:rFonts w:ascii="Arial" w:cs="Arial" w:eastAsia="Arial" w:hAnsi="Arial"/>
          <w:sz w:val="18"/>
          <w:szCs w:val="18"/>
          <w:color w:val="auto"/>
        </w:rPr>
        <w:t>(“FSP 157-3”), which clarifies the application of SFAS 157 in a market that is not active and provides an example to illustrate</w:t>
      </w:r>
      <w:r>
        <w:rPr>
          <w:rFonts w:ascii="Arial" w:cs="Arial" w:eastAsia="Arial" w:hAnsi="Arial"/>
          <w:sz w:val="18"/>
          <w:szCs w:val="18"/>
          <w:i w:val="1"/>
          <w:iCs w:val="1"/>
          <w:color w:val="auto"/>
        </w:rPr>
        <w:t xml:space="preserve"> </w:t>
      </w:r>
      <w:r>
        <w:rPr>
          <w:rFonts w:ascii="Arial" w:cs="Arial" w:eastAsia="Arial" w:hAnsi="Arial"/>
          <w:sz w:val="18"/>
          <w:szCs w:val="18"/>
          <w:color w:val="auto"/>
        </w:rPr>
        <w:t>key considerations in determining the fair value of a financial instrument when the market for that financial asset or liability is not active. The FSP 157-3 was effective upon issuance, including prior periods for which financial statements have not been issued. FSP 157-3 does not change the fair value measurement principles set forth in SFAS 157.</w:t>
      </w:r>
    </w:p>
    <w:p>
      <w:pPr>
        <w:spacing w:after="0" w:line="65" w:lineRule="exact"/>
        <w:rPr>
          <w:rFonts w:ascii="Arial" w:cs="Arial" w:eastAsia="Arial" w:hAnsi="Arial"/>
          <w:sz w:val="18"/>
          <w:szCs w:val="18"/>
          <w:color w:val="auto"/>
        </w:rPr>
      </w:pPr>
    </w:p>
    <w:p>
      <w:pPr>
        <w:ind w:left="900" w:hanging="447"/>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20" w:firstLine="449"/>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2"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9).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after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month periods ended December 31, 2008 and December 31, 2007, the Investment Adviser received a net base management fee of $1.8 million and $1.4 million, respectively, from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49"/>
        <w:spacing w:after="0" w:line="307" w:lineRule="auto"/>
        <w:rPr>
          <w:sz w:val="20"/>
          <w:szCs w:val="20"/>
          <w:color w:val="auto"/>
        </w:rPr>
      </w:pPr>
      <w:r>
        <w:rPr>
          <w:rFonts w:ascii="Arial" w:cs="Arial" w:eastAsia="Arial" w:hAnsi="Arial"/>
          <w:sz w:val="15"/>
          <w:szCs w:val="15"/>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30" w:lineRule="exact"/>
        <w:rPr>
          <w:sz w:val="20"/>
          <w:szCs w:val="20"/>
          <w:color w:val="auto"/>
        </w:rPr>
      </w:pPr>
    </w:p>
    <w:p>
      <w:pPr>
        <w:ind w:firstLine="457"/>
        <w:spacing w:after="0" w:line="294" w:lineRule="auto"/>
        <w:tabs>
          <w:tab w:leader="none" w:pos="6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5" w:lineRule="exact"/>
        <w:rPr>
          <w:sz w:val="20"/>
          <w:szCs w:val="20"/>
          <w:color w:val="auto"/>
        </w:rPr>
      </w:pPr>
    </w:p>
    <w:p>
      <w:pPr>
        <w:ind w:right="140" w:firstLine="449"/>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month periods ended December 31, 2008 and December 31, 2007, the Investment Adviser received an incentive fee of $1.4 million and approximately $447,000, respectively, from the Company.</w:t>
      </w:r>
    </w:p>
    <w:p>
      <w:pPr>
        <w:spacing w:after="0" w:line="118"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three month periods ended December 31, 2008 and December 31, 2007, the Investment Adviser was reimbursed approximately $329,000 and $594,000, respectively, from the Company, including expenses it incurred on behalf of the Administrator, for services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 portion of the net proceeds of the Company’s initial public offering was used for organizational, offering and other expenses. Organizational expenses were treated as expenses incurred. Offering costs of $21.3 million were charged to net assets after the completion of the initial public offering on April 24, 2007.</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right="600" w:firstLine="449"/>
        <w:spacing w:after="0" w:line="331" w:lineRule="auto"/>
        <w:rPr>
          <w:sz w:val="20"/>
          <w:szCs w:val="20"/>
          <w:color w:val="auto"/>
        </w:rPr>
      </w:pPr>
      <w:r>
        <w:rPr>
          <w:rFonts w:ascii="Arial" w:cs="Arial" w:eastAsia="Arial" w:hAnsi="Arial"/>
          <w:sz w:val="16"/>
          <w:szCs w:val="16"/>
          <w:color w:val="auto"/>
        </w:rPr>
        <w:t>On December 31, 2008, PennantPark Investment’s total net assets and net asset value per share were $215.7 million and $10.24, respectively. On September 30, 2008, PennantPark Investment’s total net assets and net asset value per share were $210.7 million and $10.00,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jc w:val="right"/>
              <w:ind w:right="860"/>
              <w:spacing w:after="0"/>
              <w:rPr>
                <w:sz w:val="20"/>
                <w:szCs w:val="20"/>
                <w:color w:val="auto"/>
              </w:rPr>
            </w:pPr>
            <w:r>
              <w:rPr>
                <w:rFonts w:ascii="Arial" w:cs="Arial" w:eastAsia="Arial" w:hAnsi="Arial"/>
                <w:sz w:val="13"/>
                <w:szCs w:val="13"/>
                <w:b w:val="1"/>
                <w:bCs w:val="1"/>
                <w:color w:val="auto"/>
              </w:rPr>
              <w:t>Three months ended</w:t>
            </w:r>
          </w:p>
        </w:tc>
      </w:tr>
      <w:tr>
        <w:trPr>
          <w:trHeight w:val="142"/>
        </w:trPr>
        <w:tc>
          <w:tcPr>
            <w:tcW w:w="7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December 31, 2008</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2"/>
              </w:rPr>
              <w:t>December 31, 2007</w:t>
            </w:r>
          </w:p>
        </w:tc>
        <w:tc>
          <w:tcPr>
            <w:tcW w:w="60" w:type="dxa"/>
            <w:vAlign w:val="bottom"/>
          </w:tcPr>
          <w:p>
            <w:pPr>
              <w:spacing w:after="0"/>
              <w:rPr>
                <w:sz w:val="12"/>
                <w:szCs w:val="12"/>
                <w:color w:val="auto"/>
              </w:rPr>
            </w:pPr>
          </w:p>
        </w:tc>
      </w:tr>
      <w:tr>
        <w:trPr>
          <w:trHeight w:val="20"/>
        </w:trPr>
        <w:tc>
          <w:tcPr>
            <w:tcW w:w="7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2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(31,756,724)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(11,536,656)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21,068,772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21,068,772</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2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380" w:firstLine="449"/>
        <w:spacing w:after="0" w:line="268" w:lineRule="auto"/>
        <w:rPr>
          <w:sz w:val="20"/>
          <w:szCs w:val="20"/>
          <w:color w:val="auto"/>
        </w:rPr>
      </w:pPr>
      <w:r>
        <w:rPr>
          <w:rFonts w:ascii="Arial" w:cs="Arial" w:eastAsia="Arial" w:hAnsi="Arial"/>
          <w:sz w:val="18"/>
          <w:szCs w:val="18"/>
          <w:color w:val="auto"/>
        </w:rPr>
        <w:t>Purchases/PIK and sales/repayments of long-term investments for the three months ended December 31, 2008 totaled $1.7 million and $2.3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6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December 31, 2008</w:t>
            </w:r>
          </w:p>
        </w:tc>
        <w:tc>
          <w:tcPr>
            <w:tcW w:w="100" w:type="dxa"/>
            <w:vAlign w:val="bottom"/>
          </w:tcPr>
          <w:p>
            <w:pPr>
              <w:spacing w:after="0"/>
              <w:rPr>
                <w:sz w:val="14"/>
                <w:szCs w:val="14"/>
                <w:color w:val="auto"/>
              </w:rPr>
            </w:pPr>
          </w:p>
        </w:tc>
        <w:tc>
          <w:tcPr>
            <w:tcW w:w="2300" w:type="dxa"/>
            <w:vAlign w:val="bottom"/>
            <w:gridSpan w:val="4"/>
          </w:tcPr>
          <w:p>
            <w:pPr>
              <w:ind w:left="580"/>
              <w:spacing w:after="0"/>
              <w:rPr>
                <w:sz w:val="20"/>
                <w:szCs w:val="20"/>
                <w:color w:val="auto"/>
              </w:rPr>
            </w:pPr>
            <w:r>
              <w:rPr>
                <w:rFonts w:ascii="Arial" w:cs="Arial" w:eastAsia="Arial" w:hAnsi="Arial"/>
                <w:sz w:val="13"/>
                <w:szCs w:val="13"/>
                <w:b w:val="1"/>
                <w:bCs w:val="1"/>
                <w:color w:val="auto"/>
              </w:rPr>
              <w:t>September 30, 2008</w:t>
            </w:r>
          </w:p>
        </w:tc>
      </w:tr>
      <w:tr>
        <w:trPr>
          <w:trHeight w:val="142"/>
        </w:trPr>
        <w:tc>
          <w:tcPr>
            <w:tcW w:w="4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6"/>
              <w:spacing w:after="0" w:line="142" w:lineRule="exact"/>
              <w:rPr>
                <w:sz w:val="20"/>
                <w:szCs w:val="20"/>
                <w:color w:val="auto"/>
              </w:rPr>
            </w:pPr>
            <w:r>
              <w:rPr>
                <w:rFonts w:ascii="Arial" w:cs="Arial" w:eastAsia="Arial" w:hAnsi="Arial"/>
                <w:sz w:val="13"/>
                <w:szCs w:val="13"/>
                <w:b w:val="1"/>
                <w:bCs w:val="1"/>
                <w:color w:val="auto"/>
              </w:rPr>
              <w:t>Cost</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6"/>
              <w:spacing w:after="0" w:line="142" w:lineRule="exact"/>
              <w:rPr>
                <w:sz w:val="20"/>
                <w:szCs w:val="20"/>
                <w:color w:val="auto"/>
              </w:rPr>
            </w:pPr>
            <w:r>
              <w:rPr>
                <w:rFonts w:ascii="Arial" w:cs="Arial" w:eastAsia="Arial" w:hAnsi="Arial"/>
                <w:sz w:val="13"/>
                <w:szCs w:val="13"/>
                <w:b w:val="1"/>
                <w:bCs w:val="1"/>
                <w:color w:val="auto"/>
              </w:rPr>
              <w:t>Cost</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2"/>
                <w:szCs w:val="12"/>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3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$ 132,337,544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96,588,900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$ 132,155,221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$ 104,242,000</w:t>
            </w:r>
          </w:p>
        </w:tc>
        <w:tc>
          <w:tcPr>
            <w:tcW w:w="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Subordinated debt / corporate notes</w:t>
            </w:r>
          </w:p>
        </w:tc>
        <w:tc>
          <w:tcPr>
            <w:tcW w:w="3220" w:type="dxa"/>
            <w:vAlign w:val="bottom"/>
            <w:gridSpan w:val="3"/>
          </w:tcPr>
          <w:p>
            <w:pPr>
              <w:jc w:val="right"/>
              <w:ind w:right="200"/>
              <w:spacing w:after="0"/>
              <w:rPr>
                <w:sz w:val="20"/>
                <w:szCs w:val="20"/>
                <w:color w:val="auto"/>
              </w:rPr>
            </w:pPr>
            <w:r>
              <w:rPr>
                <w:rFonts w:ascii="Arial" w:cs="Arial" w:eastAsia="Arial" w:hAnsi="Arial"/>
                <w:sz w:val="18"/>
                <w:szCs w:val="18"/>
                <w:color w:val="auto"/>
              </w:rPr>
              <w:t>188,222,515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151,283,222</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187,087,744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166,173,175</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3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9,573,076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9,260,991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9,298,819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Common equity</w:t>
            </w:r>
          </w:p>
        </w:tc>
        <w:tc>
          <w:tcPr>
            <w:tcW w:w="3220" w:type="dxa"/>
            <w:vAlign w:val="bottom"/>
            <w:gridSpan w:val="3"/>
          </w:tcPr>
          <w:p>
            <w:pPr>
              <w:jc w:val="right"/>
              <w:ind w:right="200"/>
              <w:spacing w:after="0"/>
              <w:rPr>
                <w:sz w:val="20"/>
                <w:szCs w:val="20"/>
                <w:color w:val="auto"/>
              </w:rPr>
            </w:pPr>
            <w:r>
              <w:rPr>
                <w:rFonts w:ascii="Arial" w:cs="Arial" w:eastAsia="Arial" w:hAnsi="Arial"/>
                <w:sz w:val="18"/>
                <w:szCs w:val="18"/>
                <w:color w:val="auto"/>
              </w:rPr>
              <w:t>10,409,360</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11,474,763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10,409,360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13,588,897</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3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102,653,343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60,205,499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105,222,862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Cash equivalents</w:t>
            </w:r>
          </w:p>
        </w:tc>
        <w:tc>
          <w:tcPr>
            <w:tcW w:w="20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601,540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2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$ 443,797,378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329,414,915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$ 484,423,207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$ 412,397,021</w:t>
            </w:r>
          </w:p>
        </w:tc>
        <w:tc>
          <w:tcPr>
            <w:tcW w:w="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represents the original cost adjusted for the accretion of discounts and amortization of premiums on debt investments, if any.</w:t>
      </w:r>
    </w:p>
    <w:p>
      <w:pPr>
        <w:spacing w:after="0" w:line="171"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December 31, 2008 and September 30, 2008.</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gridSpan w:val="3"/>
          </w:tcPr>
          <w:p>
            <w:pPr>
              <w:spacing w:after="0"/>
              <w:rPr>
                <w:sz w:val="20"/>
                <w:szCs w:val="20"/>
                <w:color w:val="auto"/>
              </w:rPr>
            </w:pPr>
            <w:r>
              <w:rPr>
                <w:rFonts w:ascii="Arial" w:cs="Arial" w:eastAsia="Arial" w:hAnsi="Arial"/>
                <w:sz w:val="13"/>
                <w:szCs w:val="13"/>
                <w:b w:val="1"/>
                <w:bCs w:val="1"/>
                <w:color w:val="auto"/>
              </w:rPr>
              <w:t>Industry Classification</w:t>
            </w:r>
          </w:p>
        </w:tc>
        <w:tc>
          <w:tcPr>
            <w:tcW w:w="4680" w:type="dxa"/>
            <w:vAlign w:val="bottom"/>
            <w:gridSpan w:val="3"/>
          </w:tcPr>
          <w:p>
            <w:pPr>
              <w:jc w:val="right"/>
              <w:ind w:right="680"/>
              <w:spacing w:after="0"/>
              <w:rPr>
                <w:sz w:val="20"/>
                <w:szCs w:val="20"/>
                <w:color w:val="auto"/>
              </w:rPr>
            </w:pPr>
            <w:r>
              <w:rPr>
                <w:rFonts w:ascii="Arial" w:cs="Arial" w:eastAsia="Arial" w:hAnsi="Arial"/>
                <w:sz w:val="13"/>
                <w:szCs w:val="13"/>
                <w:b w:val="1"/>
                <w:bCs w:val="1"/>
                <w:color w:val="auto"/>
              </w:rPr>
              <w:t>December 31, 2008</w:t>
            </w:r>
          </w:p>
        </w:tc>
        <w:tc>
          <w:tcPr>
            <w:tcW w:w="18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4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00" w:type="dxa"/>
            <w:vAlign w:val="bottom"/>
          </w:tcPr>
          <w:p>
            <w:pPr>
              <w:jc w:val="right"/>
              <w:ind w:right="1374"/>
              <w:spacing w:after="0"/>
              <w:rPr>
                <w:sz w:val="20"/>
                <w:szCs w:val="20"/>
                <w:color w:val="auto"/>
              </w:rPr>
            </w:pPr>
            <w:r>
              <w:rPr>
                <w:rFonts w:ascii="Arial" w:cs="Arial" w:eastAsia="Arial" w:hAnsi="Arial"/>
                <w:sz w:val="18"/>
                <w:szCs w:val="18"/>
                <w:color w:val="auto"/>
              </w:rPr>
              <w:t>18</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gridSpan w:val="3"/>
          </w:tcPr>
          <w:p>
            <w:pPr>
              <w:spacing w:after="0"/>
              <w:rPr>
                <w:sz w:val="20"/>
                <w:szCs w:val="20"/>
                <w:color w:val="auto"/>
              </w:rPr>
            </w:pPr>
            <w:r>
              <w:rPr>
                <w:rFonts w:ascii="Arial" w:cs="Arial" w:eastAsia="Arial" w:hAnsi="Arial"/>
                <w:sz w:val="13"/>
                <w:szCs w:val="13"/>
                <w:b w:val="1"/>
                <w:bCs w:val="1"/>
                <w:color w:val="auto"/>
              </w:rPr>
              <w:t>Industry Classification</w:t>
            </w:r>
          </w:p>
        </w:tc>
        <w:tc>
          <w:tcPr>
            <w:tcW w:w="2440" w:type="dxa"/>
            <w:vAlign w:val="bottom"/>
            <w:gridSpan w:val="3"/>
          </w:tcPr>
          <w:p>
            <w:pPr>
              <w:jc w:val="right"/>
              <w:ind w:right="700"/>
              <w:spacing w:after="0"/>
              <w:rPr>
                <w:sz w:val="20"/>
                <w:szCs w:val="20"/>
                <w:color w:val="auto"/>
              </w:rPr>
            </w:pPr>
            <w:r>
              <w:rPr>
                <w:rFonts w:ascii="Arial" w:cs="Arial" w:eastAsia="Arial" w:hAnsi="Arial"/>
                <w:sz w:val="13"/>
                <w:szCs w:val="13"/>
                <w:b w:val="1"/>
                <w:bCs w:val="1"/>
                <w:color w:val="auto"/>
              </w:rPr>
              <w:t>December 31, 2008</w:t>
            </w:r>
          </w:p>
        </w:tc>
        <w:tc>
          <w:tcPr>
            <w:tcW w:w="1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Home and Office Furnishings, Housewares, and Durable Consumer Products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Retail Store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Media</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6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Effective October 1, 2008, the Company adopted SFAS 157 for cash and cash equivalents, investments and our long term credit facility. SFAS 157 defines fair value as the price that the Company would receive upon selling an investment or pay to transfer a liability in an orderly transaction to a market participant in the principal or most advantageous market for the investment. SFAS 157 emphasizes that valuation techniques maximize the use of observable market inputs and minimize the use of unobservable inputs. Inputs refer broadly to the assumptions that market participants would use in pricing an asset or liability, including</w:t>
      </w:r>
    </w:p>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320" w:top="459" w:right="5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that are quoted prices (unadjusted) in active markets for identical assets or liabilities, accessible by the Company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51"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the Company’s own assumptions about how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price the asset or liability.</w:t>
      </w:r>
    </w:p>
    <w:p>
      <w:pPr>
        <w:spacing w:after="0" w:line="132" w:lineRule="exact"/>
        <w:rPr>
          <w:sz w:val="20"/>
          <w:szCs w:val="20"/>
          <w:color w:val="auto"/>
        </w:rPr>
      </w:pPr>
    </w:p>
    <w:p>
      <w:pPr>
        <w:ind w:right="760" w:firstLine="449"/>
        <w:spacing w:after="0" w:line="331"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All of the Company’s investments (other than cash and cash equivalents) and long term credit facility are classified as Level 3.</w:t>
      </w:r>
    </w:p>
    <w:p>
      <w:pPr>
        <w:spacing w:after="0" w:line="87"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addition to using the above inputs in cash and cash equivalents, investments and long term credit facility valuations, the Company employs the valuation policy approved by its Board of Directors that is consistent with SFAS 157 (see Note 2). Consistent with this valuation policy, the Company evaluates the source of inputs, including any markets in which its investments are trading, in determining fair value.</w:t>
      </w:r>
    </w:p>
    <w:p>
      <w:pPr>
        <w:spacing w:after="0" w:line="140" w:lineRule="exact"/>
        <w:rPr>
          <w:sz w:val="20"/>
          <w:szCs w:val="20"/>
          <w:color w:val="auto"/>
        </w:rPr>
      </w:pPr>
    </w:p>
    <w:p>
      <w:pPr>
        <w:ind w:right="660" w:firstLine="449"/>
        <w:spacing w:after="0" w:line="268" w:lineRule="auto"/>
        <w:rPr>
          <w:sz w:val="20"/>
          <w:szCs w:val="20"/>
          <w:color w:val="auto"/>
        </w:rPr>
      </w:pPr>
      <w:r>
        <w:rPr>
          <w:rFonts w:ascii="Arial" w:cs="Arial" w:eastAsia="Arial" w:hAnsi="Arial"/>
          <w:sz w:val="18"/>
          <w:szCs w:val="18"/>
          <w:color w:val="auto"/>
        </w:rPr>
        <w:t>At December 31, 2008, our cash and cash equivalents, investments and our long term credit facility were categorized as follows in the fair value hierarchy for SFAS No. 157 purposes: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8"/>
          </w:tcPr>
          <w:p>
            <w:pPr>
              <w:ind w:left="680"/>
              <w:spacing w:after="0"/>
              <w:rPr>
                <w:sz w:val="20"/>
                <w:szCs w:val="20"/>
                <w:color w:val="auto"/>
              </w:rPr>
            </w:pPr>
            <w:r>
              <w:rPr>
                <w:rFonts w:ascii="Arial" w:cs="Arial" w:eastAsia="Arial" w:hAnsi="Arial"/>
                <w:sz w:val="13"/>
                <w:szCs w:val="13"/>
                <w:b w:val="1"/>
                <w:bCs w:val="1"/>
                <w:color w:val="auto"/>
              </w:rPr>
              <w:t>Fair Value Measurement Using:</w:t>
            </w:r>
          </w:p>
        </w:tc>
      </w:tr>
      <w:tr>
        <w:trPr>
          <w:trHeight w:val="129"/>
        </w:trPr>
        <w:tc>
          <w:tcPr>
            <w:tcW w:w="70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2"/>
              </w:rPr>
              <w:t>Quoted Prices</w:t>
            </w:r>
          </w:p>
        </w:tc>
        <w:tc>
          <w:tcPr>
            <w:tcW w:w="4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93"/>
              </w:rPr>
              <w:t>Significant</w:t>
            </w: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7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4"/>
              <w:spacing w:after="0"/>
              <w:rPr>
                <w:sz w:val="20"/>
                <w:szCs w:val="20"/>
                <w:color w:val="auto"/>
              </w:rPr>
            </w:pPr>
            <w:r>
              <w:rPr>
                <w:rFonts w:ascii="Arial" w:cs="Arial" w:eastAsia="Arial" w:hAnsi="Arial"/>
                <w:sz w:val="13"/>
                <w:szCs w:val="13"/>
                <w:b w:val="1"/>
                <w:bCs w:val="1"/>
                <w:color w:val="auto"/>
                <w:w w:val="92"/>
              </w:rPr>
              <w:t>in Active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0"/>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Significant</w:t>
            </w:r>
          </w:p>
        </w:tc>
      </w:tr>
      <w:tr>
        <w:trPr>
          <w:trHeight w:val="148"/>
        </w:trPr>
        <w:tc>
          <w:tcPr>
            <w:tcW w:w="7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4"/>
              <w:spacing w:after="0"/>
              <w:rPr>
                <w:sz w:val="20"/>
                <w:szCs w:val="20"/>
                <w:color w:val="auto"/>
              </w:rPr>
            </w:pPr>
            <w:r>
              <w:rPr>
                <w:rFonts w:ascii="Arial" w:cs="Arial" w:eastAsia="Arial" w:hAnsi="Arial"/>
                <w:sz w:val="13"/>
                <w:szCs w:val="13"/>
                <w:b w:val="1"/>
                <w:bCs w:val="1"/>
                <w:color w:val="auto"/>
                <w:w w:val="99"/>
              </w:rPr>
              <w:t>Markets for</w:t>
            </w:r>
          </w:p>
        </w:tc>
        <w:tc>
          <w:tcPr>
            <w:tcW w:w="40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w w:val="90"/>
              </w:rPr>
              <w:t>Observable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Unobservable</w:t>
            </w:r>
          </w:p>
        </w:tc>
      </w:tr>
      <w:tr>
        <w:trPr>
          <w:trHeight w:val="148"/>
        </w:trPr>
        <w:tc>
          <w:tcPr>
            <w:tcW w:w="7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Identical Assets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0"/>
              <w:spacing w:after="0"/>
              <w:rPr>
                <w:sz w:val="20"/>
                <w:szCs w:val="20"/>
                <w:color w:val="auto"/>
              </w:rPr>
            </w:pPr>
            <w:r>
              <w:rPr>
                <w:rFonts w:ascii="Arial" w:cs="Arial" w:eastAsia="Arial" w:hAnsi="Arial"/>
                <w:sz w:val="13"/>
                <w:szCs w:val="13"/>
                <w:b w:val="1"/>
                <w:bCs w:val="1"/>
                <w:color w:val="auto"/>
                <w:w w:val="97"/>
              </w:rPr>
              <w:t>Inputs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Inputs</w:t>
            </w: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5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Fair Value</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4"/>
              </w:rPr>
              <w:t>(Level 1)</w:t>
            </w:r>
          </w:p>
        </w:tc>
        <w:tc>
          <w:tcPr>
            <w:tcW w:w="4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(Level 2)</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4"/>
              </w:rPr>
              <w:t>(Level 3)</w:t>
            </w:r>
          </w:p>
        </w:tc>
        <w:tc>
          <w:tcPr>
            <w:tcW w:w="60" w:type="dxa"/>
            <w:vAlign w:val="bottom"/>
          </w:tcPr>
          <w:p>
            <w:pPr>
              <w:spacing w:after="0"/>
              <w:rPr>
                <w:sz w:val="14"/>
                <w:szCs w:val="14"/>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601,540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328,813,375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328,813,375</w:t>
            </w:r>
          </w:p>
        </w:tc>
        <w:tc>
          <w:tcPr>
            <w:tcW w:w="6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(109,885,306)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(109,885,306)</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realized no gain or loss as a result of the adoption of SFAS No. 157.</w:t>
      </w:r>
    </w:p>
    <w:p>
      <w:pPr>
        <w:spacing w:after="0" w:line="171"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assets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Investments</w:t>
            </w:r>
          </w:p>
        </w:tc>
        <w:tc>
          <w:tcPr>
            <w:tcW w:w="60" w:type="dxa"/>
            <w:vAlign w:val="bottom"/>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$372,147,820</w:t>
            </w:r>
          </w:p>
        </w:tc>
        <w:tc>
          <w:tcPr>
            <w:tcW w:w="60" w:type="dxa"/>
            <w:vAlign w:val="bottom"/>
            <w:shd w:val="clear" w:color="auto" w:fill="CCEEFF"/>
          </w:tcPr>
          <w:p>
            <w:pPr>
              <w:spacing w:after="0"/>
              <w:rPr>
                <w:sz w:val="18"/>
                <w:szCs w:val="18"/>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Total realized loss included in earnings</w:t>
            </w:r>
          </w:p>
        </w:tc>
        <w:tc>
          <w:tcPr>
            <w:tcW w:w="4460" w:type="dxa"/>
            <w:vAlign w:val="bottom"/>
            <w:gridSpan w:val="3"/>
          </w:tcPr>
          <w:p>
            <w:pPr>
              <w:jc w:val="right"/>
              <w:spacing w:after="0"/>
              <w:rPr>
                <w:sz w:val="20"/>
                <w:szCs w:val="20"/>
                <w:color w:val="auto"/>
              </w:rPr>
            </w:pPr>
            <w:r>
              <w:rPr>
                <w:rFonts w:ascii="Arial" w:cs="Arial" w:eastAsia="Arial" w:hAnsi="Arial"/>
                <w:sz w:val="18"/>
                <w:szCs w:val="18"/>
                <w:color w:val="auto"/>
              </w:rPr>
              <w:t>(887,070)</w:t>
            </w: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loss included in earnings</w:t>
            </w:r>
          </w:p>
        </w:tc>
        <w:tc>
          <w:tcPr>
            <w:tcW w:w="4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(42,356,277)</w:t>
            </w:r>
          </w:p>
        </w:tc>
      </w:tr>
      <w:tr>
        <w:trPr>
          <w:trHeight w:val="216"/>
        </w:trPr>
        <w:tc>
          <w:tcPr>
            <w:tcW w:w="6780" w:type="dxa"/>
            <w:vAlign w:val="bottom"/>
          </w:tcPr>
          <w:p>
            <w:pPr>
              <w:ind w:left="440"/>
              <w:spacing w:after="0" w:line="216" w:lineRule="exact"/>
              <w:rPr>
                <w:sz w:val="20"/>
                <w:szCs w:val="20"/>
                <w:color w:val="auto"/>
              </w:rPr>
            </w:pPr>
            <w:r>
              <w:rPr>
                <w:rFonts w:ascii="Arial" w:cs="Arial" w:eastAsia="Arial" w:hAnsi="Arial"/>
                <w:sz w:val="18"/>
                <w:szCs w:val="18"/>
                <w:color w:val="auto"/>
              </w:rPr>
              <w:t xml:space="preserve">Purchases and PIK interest </w:t>
            </w:r>
            <w:r>
              <w:rPr>
                <w:rFonts w:ascii="Arial" w:cs="Arial" w:eastAsia="Arial" w:hAnsi="Arial"/>
                <w:sz w:val="22"/>
                <w:szCs w:val="22"/>
                <w:color w:val="auto"/>
                <w:vertAlign w:val="superscript"/>
              </w:rPr>
              <w:t>(1)</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2,189,042</w:t>
            </w:r>
          </w:p>
        </w:tc>
        <w:tc>
          <w:tcPr>
            <w:tcW w:w="60" w:type="dxa"/>
            <w:vAlign w:val="bottom"/>
          </w:tcPr>
          <w:p>
            <w:pPr>
              <w:spacing w:after="0"/>
              <w:rPr>
                <w:sz w:val="18"/>
                <w:szCs w:val="18"/>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w:t>
            </w:r>
          </w:p>
        </w:tc>
        <w:tc>
          <w:tcPr>
            <w:tcW w:w="4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(2,280,140)</w:t>
            </w:r>
          </w:p>
        </w:tc>
      </w:tr>
      <w:tr>
        <w:trPr>
          <w:trHeight w:val="223"/>
        </w:trPr>
        <w:tc>
          <w:tcPr>
            <w:tcW w:w="6780" w:type="dxa"/>
            <w:vAlign w:val="bottom"/>
          </w:tcPr>
          <w:p>
            <w:pPr>
              <w:ind w:left="440"/>
              <w:spacing w:after="0"/>
              <w:rPr>
                <w:sz w:val="20"/>
                <w:szCs w:val="20"/>
                <w:color w:val="auto"/>
              </w:rPr>
            </w:pPr>
            <w:r>
              <w:rPr>
                <w:rFonts w:ascii="Arial" w:cs="Arial" w:eastAsia="Arial" w:hAnsi="Arial"/>
                <w:sz w:val="18"/>
                <w:szCs w:val="18"/>
                <w:color w:val="auto"/>
              </w:rPr>
              <w:t>Transfers in and/or out of Level 3</w:t>
            </w:r>
          </w:p>
        </w:tc>
        <w:tc>
          <w:tcPr>
            <w:tcW w:w="3420" w:type="dxa"/>
            <w:vAlign w:val="bottom"/>
          </w:tcPr>
          <w:p>
            <w:pPr>
              <w:spacing w:after="0"/>
              <w:rPr>
                <w:sz w:val="19"/>
                <w:szCs w:val="19"/>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2008</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$328,813,375</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net amortization of approximately $525,000.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rPr>
              <w:t>Long Term Credit</w:t>
            </w:r>
          </w:p>
        </w:tc>
      </w:tr>
      <w:tr>
        <w:trPr>
          <w:trHeight w:val="161"/>
        </w:trPr>
        <w:tc>
          <w:tcPr>
            <w:tcW w:w="70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Facility</w:t>
            </w:r>
          </w:p>
        </w:tc>
        <w:tc>
          <w:tcPr>
            <w:tcW w:w="60" w:type="dxa"/>
            <w:vAlign w:val="bottom"/>
          </w:tcPr>
          <w:p>
            <w:pPr>
              <w:spacing w:after="0"/>
              <w:rPr>
                <w:sz w:val="14"/>
                <w:szCs w:val="14"/>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322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162,000,000</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4"/>
              </w:rPr>
              <w:t>(41,796,000)</w:t>
            </w: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gain included in earnings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(5,718,694)</w:t>
            </w: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4,400,000</w:t>
            </w:r>
          </w:p>
        </w:tc>
        <w:tc>
          <w:tcPr>
            <w:tcW w:w="6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(9,000,000)</w:t>
            </w:r>
          </w:p>
        </w:tc>
      </w:tr>
      <w:tr>
        <w:trPr>
          <w:trHeight w:val="223"/>
        </w:trPr>
        <w:tc>
          <w:tcPr>
            <w:tcW w:w="7040" w:type="dxa"/>
            <w:vAlign w:val="bottom"/>
          </w:tcPr>
          <w:p>
            <w:pPr>
              <w:ind w:left="440"/>
              <w:spacing w:after="0"/>
              <w:rPr>
                <w:sz w:val="20"/>
                <w:szCs w:val="20"/>
                <w:color w:val="auto"/>
              </w:rPr>
            </w:pPr>
            <w:r>
              <w:rPr>
                <w:rFonts w:ascii="Arial" w:cs="Arial" w:eastAsia="Arial" w:hAnsi="Arial"/>
                <w:sz w:val="18"/>
                <w:szCs w:val="18"/>
                <w:color w:val="auto"/>
              </w:rPr>
              <w:t>Transfers in and/or out of Level 3</w:t>
            </w:r>
          </w:p>
        </w:tc>
        <w:tc>
          <w:tcPr>
            <w:tcW w:w="3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2008</w:t>
            </w:r>
          </w:p>
        </w:tc>
        <w:tc>
          <w:tcPr>
            <w:tcW w:w="322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109,885,306</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The carrying value of the Company’s financial instruments approximates fair value. Effective October 1, 2008, the Company adopted Statement of Financial Accounting Standards No. 159, the Fair Value Option for Financial Assets and Liabilities (“SFAS 159”), which provides companies with an option to report selected financial assets and liabilities at fair value, and made and irrevocable election to apply SFAS 159 to its credit facility. The fair value option was elected for the credit facility to align the measurement attributes of both the assets and liabilities while mitigating volatility in earnings from using different measurement attributes. SFAS 159 establishes presentation and disclosure requirements designed to facilitate comparisons between companies that choose different measurement attributes for similar types of assets and liabilities and to more easily understand the effect of the company’s choice to use fair value on its earnings. SFAS 159 also requires entities to display the fair value of the selected assets and liabilities on the face of the balance sheet, changes in fair value of the credit facility are recorded in the Statement of Operations. We have elected not to apply SFAS 159 to any other financial assets or liabilities. We have used a nationally recognized independent valuation service to measure the fair value of our credit facility in a manner consistent with the valuation process that our board of directors uses to value our investments.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instruments for which the Company elected the fair value option under SFAS 159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and for which a transition adjustment was recorded as of October 1,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380" w:type="dxa"/>
            <w:vAlign w:val="bottom"/>
            <w:gridSpan w:val="4"/>
          </w:tcPr>
          <w:p>
            <w:pPr>
              <w:ind w:left="540"/>
              <w:spacing w:after="0"/>
              <w:rPr>
                <w:sz w:val="20"/>
                <w:szCs w:val="20"/>
                <w:color w:val="auto"/>
              </w:rPr>
            </w:pPr>
            <w:r>
              <w:rPr>
                <w:rFonts w:ascii="Arial" w:cs="Arial" w:eastAsia="Arial" w:hAnsi="Arial"/>
                <w:sz w:val="13"/>
                <w:szCs w:val="13"/>
                <w:b w:val="1"/>
                <w:bCs w:val="1"/>
                <w:color w:val="auto"/>
              </w:rPr>
              <w:t>December 31, 2008</w:t>
            </w:r>
          </w:p>
        </w:tc>
        <w:tc>
          <w:tcPr>
            <w:tcW w:w="10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Carrying Value on</w:t>
            </w:r>
          </w:p>
        </w:tc>
        <w:tc>
          <w:tcPr>
            <w:tcW w:w="2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Transition</w:t>
            </w:r>
          </w:p>
        </w:tc>
        <w:tc>
          <w:tcPr>
            <w:tcW w:w="200" w:type="dxa"/>
            <w:vAlign w:val="bottom"/>
          </w:tcPr>
          <w:p>
            <w:pPr>
              <w:spacing w:after="0"/>
              <w:rPr>
                <w:sz w:val="14"/>
                <w:szCs w:val="14"/>
                <w:color w:val="auto"/>
              </w:rPr>
            </w:pP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95"/>
              </w:rPr>
              <w:t>Carrying Value on</w:t>
            </w:r>
          </w:p>
        </w:tc>
        <w:tc>
          <w:tcPr>
            <w:tcW w:w="0" w:type="dxa"/>
            <w:vAlign w:val="bottom"/>
          </w:tcPr>
          <w:p>
            <w:pPr>
              <w:spacing w:after="0"/>
              <w:rPr>
                <w:sz w:val="1"/>
                <w:szCs w:val="1"/>
                <w:color w:val="auto"/>
              </w:rPr>
            </w:pPr>
          </w:p>
        </w:tc>
      </w:tr>
      <w:tr>
        <w:trPr>
          <w:trHeight w:val="129"/>
        </w:trPr>
        <w:tc>
          <w:tcPr>
            <w:tcW w:w="53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w w:val="99"/>
              </w:rPr>
              <w:t>October 1, 2008</w:t>
            </w:r>
          </w:p>
        </w:tc>
        <w:tc>
          <w:tcPr>
            <w:tcW w:w="2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3"/>
              </w:rPr>
              <w:t>Adjustment to</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October 1, 2008</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w w:val="91"/>
              </w:rPr>
              <w:t>before adoption of</w:t>
            </w:r>
          </w:p>
        </w:tc>
        <w:tc>
          <w:tcPr>
            <w:tcW w:w="2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Retained</w:t>
            </w:r>
          </w:p>
        </w:tc>
        <w:tc>
          <w:tcPr>
            <w:tcW w:w="200" w:type="dxa"/>
            <w:vAlign w:val="bottom"/>
          </w:tcPr>
          <w:p>
            <w:pPr>
              <w:spacing w:after="0"/>
              <w:rPr>
                <w:sz w:val="12"/>
                <w:szCs w:val="12"/>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after adoption of</w:t>
            </w:r>
          </w:p>
        </w:tc>
        <w:tc>
          <w:tcPr>
            <w:tcW w:w="0" w:type="dxa"/>
            <w:vAlign w:val="bottom"/>
          </w:tcPr>
          <w:p>
            <w:pPr>
              <w:spacing w:after="0"/>
              <w:rPr>
                <w:sz w:val="1"/>
                <w:szCs w:val="1"/>
                <w:color w:val="auto"/>
              </w:rPr>
            </w:pPr>
          </w:p>
        </w:tc>
      </w:tr>
      <w:tr>
        <w:trPr>
          <w:trHeight w:val="161"/>
        </w:trPr>
        <w:tc>
          <w:tcPr>
            <w:tcW w:w="53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Carrying Value</w:t>
            </w:r>
          </w:p>
        </w:tc>
        <w:tc>
          <w:tcPr>
            <w:tcW w:w="2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SFAS 159</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Earnings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SFAS 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(long term)</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$109,885,306</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$109,885,306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162,000,000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41,796,000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line="216" w:lineRule="exact"/>
              <w:rPr>
                <w:sz w:val="20"/>
                <w:szCs w:val="20"/>
                <w:color w:val="auto"/>
              </w:rPr>
            </w:pPr>
            <w:r>
              <w:rPr>
                <w:rFonts w:ascii="Arial" w:cs="Arial" w:eastAsia="Arial" w:hAnsi="Arial"/>
                <w:sz w:val="18"/>
                <w:szCs w:val="18"/>
                <w:color w:val="auto"/>
              </w:rPr>
              <w:t>Revolving Credit Facility (temporary draw)</w:t>
            </w:r>
            <w:r>
              <w:rPr>
                <w:rFonts w:ascii="Arial" w:cs="Arial" w:eastAsia="Arial" w:hAnsi="Arial"/>
                <w:sz w:val="22"/>
                <w:szCs w:val="22"/>
                <w:color w:val="auto"/>
                <w:vertAlign w:val="superscript"/>
              </w:rPr>
              <w:t>(1)</w:t>
            </w: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40,000,000</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109,885,306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109,885,306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202,000,000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41,796,000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Temporary draw includes credit facility borrowings at the end of each quarter to maximize investment flexibility under the 1940 Act (See note 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right="200" w:firstLine="449"/>
        <w:spacing w:after="0" w:line="288"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AGREEMENTS</w:t>
      </w:r>
    </w:p>
    <w:p>
      <w:pPr>
        <w:spacing w:after="0" w:line="96"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December 31, 2008 or September 30, 2008.</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96"/>
              </w:rPr>
              <w:t>Three Months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88"/>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2"/>
                <w:szCs w:val="12"/>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96"/>
              </w:rPr>
              <w:t>2008</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89"/>
              </w:rPr>
              <w:t>2008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change in realized and unrealized loss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line="216" w:lineRule="exact"/>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22"/>
                <w:szCs w:val="22"/>
                <w:color w:val="auto"/>
                <w:vertAlign w:val="superscript"/>
              </w:rPr>
              <w:t>(1)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line="216" w:lineRule="exact"/>
              <w:rPr>
                <w:sz w:val="20"/>
                <w:szCs w:val="20"/>
                <w:color w:val="auto"/>
              </w:rPr>
            </w:pPr>
            <w:r>
              <w:rPr>
                <w:rFonts w:ascii="Arial" w:cs="Arial" w:eastAsia="Arial" w:hAnsi="Arial"/>
                <w:sz w:val="18"/>
                <w:szCs w:val="18"/>
                <w:color w:val="auto"/>
              </w:rPr>
              <w:t>Cumulative effect of adoption of fair value option (credit facility)</w:t>
            </w:r>
            <w:r>
              <w:rPr>
                <w:rFonts w:ascii="Arial" w:cs="Arial" w:eastAsia="Arial" w:hAnsi="Arial"/>
                <w:sz w:val="22"/>
                <w:szCs w:val="22"/>
                <w:color w:val="auto"/>
                <w:vertAlign w:val="superscript"/>
              </w:rPr>
              <w:t>(4)</w:t>
            </w: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4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10.24</w:t>
            </w:r>
          </w:p>
        </w:tc>
        <w:tc>
          <w:tcPr>
            <w:tcW w:w="6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line="216"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(48.44)%*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Ratio/Supplemental Data:</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22"/>
                <w:szCs w:val="22"/>
                <w:color w:val="auto"/>
                <w:vertAlign w:val="superscript"/>
              </w:rPr>
              <w:t>(3)</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3.51%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22"/>
                <w:szCs w:val="22"/>
                <w:color w:val="auto"/>
                <w:vertAlign w:val="superscript"/>
              </w:rPr>
              <w:t>(3)</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12.06%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11.03%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215,711,031</w:t>
            </w: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164,316,304</w:t>
            </w: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119,472,732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0.48%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12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9" w:lineRule="exact"/>
        <w:rPr>
          <w:sz w:val="20"/>
          <w:szCs w:val="20"/>
          <w:color w:val="auto"/>
        </w:rPr>
      </w:pPr>
    </w:p>
    <w:p>
      <w:pPr>
        <w:ind w:left="460" w:right="5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2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ind w:left="460" w:right="1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fiscal year ended September 30, 2008, the ratio of operating expenses before management fee waiver to average net assets was 6.47%, and the ratio of total expenses before management fee waiver to average net assets was 9.13%.</w:t>
      </w:r>
    </w:p>
    <w:p>
      <w:pPr>
        <w:ind w:left="460" w:hanging="452"/>
        <w:spacing w:after="0" w:line="323"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October 1, 2008, the Company adopted SFAS 159 and made an irrevocable election to apply the fair value option to our credit facility liability. Upon our adoption our Net Asset Value increased by $41.8 million, or $1.99 per share, due to the fair value adjustment related to our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96"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On June 25, 2007, PennantPark Investment entered into a Senior Secured Revolving Credit Agreement (the “Credit Agreement”, “Revolving Credit Facility”, or “credit facility”) among PennantPark Investment, various lenders and SunTrust Bank, as administrative agent for the lenders. SunTrust Robinson Humphrey Capital Markets acted as the joint lead arranger and book-runner. As of December 31, 2008, there was $157.4 million in outstanding borrowings under the Credit Agreement, with an average interest rate of 3.62%.</w:t>
      </w:r>
    </w:p>
    <w:p>
      <w:pPr>
        <w:spacing w:after="0" w:line="143" w:lineRule="exact"/>
        <w:rPr>
          <w:sz w:val="20"/>
          <w:szCs w:val="20"/>
          <w:color w:val="auto"/>
        </w:rPr>
      </w:pPr>
    </w:p>
    <w:p>
      <w:pPr>
        <w:ind w:right="40" w:firstLine="449"/>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106"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The Credit Agreement contains customary affirmative and negative covenants, including the maintenance of a minimum stockholders’ equity, the maintenance of a ratio not less than 200% of our total assets less liabilities other than indebtedness to our total outstanding indebtedness, maintenance of a blended percentage of the values of our portfolio companies, and restrictions on certain payments and issuance of debt. For a complete list of such covenants, see our current report on Form 8-K, filed June 28, 2007.</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Subsequent to December 31, 2008 and through the date of this report, conditions in the public debt and equity markets have continued to be volatile and our net asset value may decline. The Credit Agreement requires the Company to maintain a minimum amount of shareholder’s equity and requires that the Company’s outstanding borrowings under the Credit Agreement not exceed a blended percentage of the values of its portfolio companies. The Company’s continued compliance with these covenants depends on many factors, some of which are beyond the Company’s control. For example, during the quarter ended December 31, 2008, net unrealized depreciation in the Company’s portfolio increased and, given the further deterioration in public capital markets and pricing levels subsequent to this period, net unrealized depreciation in the portfolio may continue to increase in the future. Further material net asset devaluation could have a material adverse effect on the Company’s operations, and could require the Company to reduce its borrowings under the Credit Agreement in order to comply with certain of the Credit Agreement covenants, including the ratio of total assets to total indebtedness.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reviewed the accompanying statement of assets and liabilities of PennantPark Investment Corporation (the “Company”) as of December 31, 2008 and as of September 30, 2008, including the schedules of investments, the related statements of operations, changes in net assets, and cash flows for the three month periods ended December 31, 2008 and 2007. These interim financial statements are the responsibility of the Company’s management.</w:t>
      </w:r>
    </w:p>
    <w:p>
      <w:pPr>
        <w:spacing w:after="0" w:line="10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 xml:space="preserve">As discussed in Note 2 to the financial statements, the Company has adopted Statement of Financial Accounting Standards No. 159, </w:t>
      </w:r>
      <w:r>
        <w:rPr>
          <w:rFonts w:ascii="Arial" w:cs="Arial" w:eastAsia="Arial" w:hAnsi="Arial"/>
          <w:sz w:val="16"/>
          <w:szCs w:val="16"/>
          <w:i w:val="1"/>
          <w:iCs w:val="1"/>
          <w:color w:val="auto"/>
        </w:rPr>
        <w:t>The Fair Value Option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Assets and Financial Liabilities, </w:t>
      </w:r>
      <w:r>
        <w:rPr>
          <w:rFonts w:ascii="Arial" w:cs="Arial" w:eastAsia="Arial" w:hAnsi="Arial"/>
          <w:sz w:val="16"/>
          <w:szCs w:val="16"/>
          <w:color w:val="auto"/>
        </w:rPr>
        <w:t>and made an irrevocable election to apply the fair value option to their credit facility liability.</w:t>
      </w:r>
    </w:p>
    <w:p>
      <w:pPr>
        <w:spacing w:after="0" w:line="8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2008; and in our report dated November 20, 2008,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89979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9979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2009</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report.</w:t>
      </w:r>
    </w:p>
    <w:p>
      <w:pPr>
        <w:spacing w:after="0" w:line="14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annual reports on Form 10-K, Reports on Form 10-Q and current reports on Form 8-K.</w:t>
      </w:r>
    </w:p>
    <w:p>
      <w:pPr>
        <w:spacing w:after="0" w:line="147"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color w:val="auto"/>
        </w:rPr>
        <w:t>invest at least 70% of our total assets in “qualifying assets,” including securities of U.S. private or thinly traded public companies with a market capitalization of less than $250 million, cash, cash equivalents, U.S. government securities and high-quality debt investments that mature in one year or less.</w:t>
      </w:r>
    </w:p>
    <w:p>
      <w:pPr>
        <w:spacing w:after="0" w:line="87" w:lineRule="exact"/>
        <w:rPr>
          <w:sz w:val="20"/>
          <w:szCs w:val="20"/>
          <w:color w:val="auto"/>
        </w:rPr>
      </w:pPr>
    </w:p>
    <w:p>
      <w:pPr>
        <w:ind w:right="200" w:firstLine="449"/>
        <w:spacing w:after="0" w:line="290"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8"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 For the foreseeable future, we also intend to focus on senior secured investments, which we believe, offer attractive risk adjusted returns at the present time.</w:t>
      </w:r>
    </w:p>
    <w:p>
      <w:pPr>
        <w:spacing w:after="0" w:line="112" w:lineRule="exact"/>
        <w:rPr>
          <w:sz w:val="20"/>
          <w:szCs w:val="20"/>
          <w:color w:val="auto"/>
        </w:rPr>
      </w:pPr>
    </w:p>
    <w:p>
      <w:pPr>
        <w:ind w:right="260" w:firstLine="449"/>
        <w:spacing w:after="0" w:line="306" w:lineRule="auto"/>
        <w:rPr>
          <w:sz w:val="20"/>
          <w:szCs w:val="20"/>
          <w:color w:val="auto"/>
        </w:rPr>
      </w:pPr>
      <w:r>
        <w:rPr>
          <w:rFonts w:ascii="Arial" w:cs="Arial" w:eastAsia="Arial" w:hAnsi="Arial"/>
          <w:sz w:val="16"/>
          <w:szCs w:val="16"/>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06"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120" w:firstLine="449"/>
        <w:spacing w:after="0" w:line="253" w:lineRule="auto"/>
        <w:rPr>
          <w:sz w:val="20"/>
          <w:szCs w:val="20"/>
          <w:color w:val="auto"/>
        </w:rPr>
      </w:pPr>
      <w:r>
        <w:rPr>
          <w:rFonts w:ascii="Arial" w:cs="Arial" w:eastAsia="Arial" w:hAnsi="Arial"/>
          <w:sz w:val="18"/>
          <w:szCs w:val="18"/>
          <w:color w:val="auto"/>
        </w:rPr>
        <w:t>We are currently operating in a severely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is adversely affecting each of these factors and has resulted in broad-based reduction in the demand for, and valuation of, high-risk debt instruments. These conditions may present us with attractive investment opportunities, as we believe that there are many middle-market companies that need senior secured and mezzanine debt financing. However, these market conditions are also adversely affecting our portfolio valuations and increase the risk of default among our portfolio companies, which could negatively impact our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31" w:lineRule="exact"/>
        <w:rPr>
          <w:sz w:val="20"/>
          <w:szCs w:val="20"/>
          <w:color w:val="auto"/>
        </w:rPr>
      </w:pPr>
    </w:p>
    <w:p>
      <w:pPr>
        <w:ind w:left="5540" w:right="3480" w:hanging="4979"/>
        <w:spacing w:after="0" w:line="440" w:lineRule="auto"/>
        <w:tabs>
          <w:tab w:leader="none" w:pos="8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 26</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500" w:hanging="319"/>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880" w:right="140" w:hanging="319"/>
        <w:spacing w:after="0" w:line="25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As of December 31, 2008, our portfolio totaled $328.8 million and consisted of $151.3 million of subordinated debt, $96.6 million of second lien secured debt, $20.7 million of equity investments and $60.2 million of senior secured loans. Our core assets totaled $282.0 million and consisted of investments in nineteen different companies with an average investment size of $14.8 million per company and a weighted average yield of 11.9% on debt investments. Our non-core senior secured loan portfolio totaled $46.8 million and consisted of eighteen different companies (including one company also in our core portfolio) with an average investment size of $2.6 million, and a weighted average yield of 4.3% on debt investments. Of our debt portfolio, 44% was in fixed-rate investments (or contained a LIBOR floor) and 56% in variable-rate investments. Overall, the portfolio had an unrealized depreciation of $114.4 million as of December 31, 2008. Our overall portfolio consisted of thirty-six companies with an average investment size of $9.1 million and a weighted average yield on debt investments of 10.4%, and was invested 46% in subordinated debt, 30% in second lien secured debt, 6% in preferred and common equity investments and 18% in senior secured loans.</w:t>
      </w:r>
    </w:p>
    <w:p>
      <w:pPr>
        <w:spacing w:after="0" w:line="119"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For the three months ended December 31, 2008, we invested approximately $804,000, in two existing portfolio companies. Sales and repayments of long term investments for the three months ended December 31, 2008 totaled $2.3 million.</w:t>
      </w:r>
    </w:p>
    <w:p>
      <w:pPr>
        <w:spacing w:after="0" w:line="13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of September 30, 2008, our portfolio totaled $372.1 million and consisted of $166.2 million of subordinated debt, $104.2 million of second lien secured debt, $22.9 million of equity investments and $78.8 million of senior secured loans.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with an average investment size of $3.5 million, and a weighted average yield of 5.2% on debt investments. Of our debt portfolio, 45% was in fixed-rate investments and 55% in variable-rate investments. Overall, the portfolio had an unrealized depreciation of $72.0 million as of September 30, 2008. Our overall portfolio consisted of thirty-seven companies with an average investment size of $10.1 million and a weighted average yield on debt investments of 11.1%, and was invested 45% in subordinated debt, 28% in second lien secured debt, 6% in preferred and common equity investments and 21% in senior secured loans.</w:t>
      </w:r>
    </w:p>
    <w:p>
      <w:pPr>
        <w:spacing w:after="0" w:line="97" w:lineRule="exact"/>
        <w:rPr>
          <w:sz w:val="20"/>
          <w:szCs w:val="20"/>
          <w:color w:val="auto"/>
        </w:rPr>
      </w:pPr>
    </w:p>
    <w:p>
      <w:pPr>
        <w:ind w:right="100" w:firstLine="449"/>
        <w:spacing w:after="0" w:line="331" w:lineRule="auto"/>
        <w:rPr>
          <w:sz w:val="20"/>
          <w:szCs w:val="20"/>
          <w:color w:val="auto"/>
        </w:rPr>
      </w:pPr>
      <w:r>
        <w:rPr>
          <w:rFonts w:ascii="Arial" w:cs="Arial" w:eastAsia="Arial" w:hAnsi="Arial"/>
          <w:sz w:val="16"/>
          <w:szCs w:val="16"/>
          <w:color w:val="auto"/>
        </w:rPr>
        <w:t>For the three months ended December 31, 2007, we invested $71.0 million across three new and two existing portfolio companies with an average yield of 12.9% on the debt investments. Sales and repayments of long term investments for the three months ended December 31, 2007 totaled $4.3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discussion of our financial condition and results of operation is based upon our financial statements, which have been prepared in accordance with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6"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47"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300" w:hanging="447"/>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right="400" w:hanging="447"/>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60" w:hanging="447"/>
        <w:spacing w:after="0" w:line="331"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127" w:lineRule="exact"/>
        <w:rPr>
          <w:rFonts w:ascii="Arial" w:cs="Arial" w:eastAsia="Arial" w:hAnsi="Arial"/>
          <w:sz w:val="16"/>
          <w:szCs w:val="16"/>
          <w:color w:val="auto"/>
        </w:rPr>
      </w:pPr>
    </w:p>
    <w:p>
      <w:pPr>
        <w:ind w:left="900" w:right="120" w:hanging="447"/>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that are quoted prices (unadjusted) in active markets for identical assets or liabilities, accessible by the Company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5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the Company’s own assumptions about how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price the asset or liability.</w:t>
      </w:r>
    </w:p>
    <w:p>
      <w:pPr>
        <w:spacing w:after="0" w:line="132" w:lineRule="exact"/>
        <w:rPr>
          <w:sz w:val="20"/>
          <w:szCs w:val="20"/>
          <w:color w:val="auto"/>
        </w:rPr>
      </w:pPr>
    </w:p>
    <w:p>
      <w:pPr>
        <w:ind w:right="700" w:firstLine="449"/>
        <w:spacing w:after="0" w:line="331"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All of the Company’s investments (other than cash and cash equivalents) and long term credit facility are classified as Level 3.</w:t>
      </w:r>
    </w:p>
    <w:p>
      <w:pPr>
        <w:spacing w:after="0" w:line="87"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w:t>
      </w:r>
    </w:p>
    <w:p>
      <w:pPr>
        <w:spacing w:after="0" w:line="122"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 xml:space="preserve">In October 2008, the FASB issued FASB Staff Position No. 157-3, </w:t>
      </w:r>
      <w:r>
        <w:rPr>
          <w:rFonts w:ascii="Arial" w:cs="Arial" w:eastAsia="Arial" w:hAnsi="Arial"/>
          <w:sz w:val="18"/>
          <w:szCs w:val="18"/>
          <w:i w:val="1"/>
          <w:iCs w:val="1"/>
          <w:color w:val="auto"/>
        </w:rPr>
        <w:t>Determining the Fair Value of a Financial Asset When the Market for That Asset 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 Active </w:t>
      </w:r>
      <w:r>
        <w:rPr>
          <w:rFonts w:ascii="Arial" w:cs="Arial" w:eastAsia="Arial" w:hAnsi="Arial"/>
          <w:sz w:val="18"/>
          <w:szCs w:val="18"/>
          <w:color w:val="auto"/>
        </w:rPr>
        <w:t>(“FSP 157-3”), which clarifies the application of SFAS 157 in a market that is not active and provides an example to illustrate key considerations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the fair value of a financial instrument when the market for that financial asset or liability is not active. The FSP 157-3 was effective upon issuance, including prior periods for which financial statements have not been issued. FSP 157-3 does not change the fair value measurement principles set forth in SFAS 157.</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32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We record prepayment premiums on loans and debt securities as interest income. Dividend income, if any, is recognized on an accrual basis to the extent that we expect to collect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9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PennantPark Investment to maintain its status as a RIC, this income must be paid out to stockholders in the form of dividends, even though PennantPark Investment has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40" w:firstLine="449"/>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60" w:firstLine="449"/>
        <w:spacing w:after="0" w:line="259" w:lineRule="auto"/>
        <w:rPr>
          <w:sz w:val="20"/>
          <w:szCs w:val="20"/>
          <w:color w:val="auto"/>
        </w:rPr>
      </w:pPr>
      <w:r>
        <w:rPr>
          <w:rFonts w:ascii="Arial" w:cs="Arial" w:eastAsia="Arial" w:hAnsi="Arial"/>
          <w:sz w:val="18"/>
          <w:szCs w:val="18"/>
          <w:color w:val="auto"/>
        </w:rPr>
        <w:t>The overall leveraged finance market has continued to experience pressure which has resulted in depreciation on some of our existing assets and an improved risk/reward environment for new investments. We have not experienced compromised liquidity during the turmoil in the global credit markets because of our ability to sell our senior secured loans and availability under our credit facility.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 periods ended December 31, 2008 and December 31,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220" w:firstLine="449"/>
        <w:spacing w:after="0" w:line="254" w:lineRule="auto"/>
        <w:rPr>
          <w:sz w:val="20"/>
          <w:szCs w:val="20"/>
          <w:color w:val="auto"/>
        </w:rPr>
      </w:pPr>
      <w:r>
        <w:rPr>
          <w:rFonts w:ascii="Arial" w:cs="Arial" w:eastAsia="Arial" w:hAnsi="Arial"/>
          <w:sz w:val="18"/>
          <w:szCs w:val="18"/>
          <w:color w:val="auto"/>
        </w:rPr>
        <w:t>Investment income for the three month period ended December 31, 2008, was $12.1 million: $5.0 million from senior secured loan investments; $3.9 million from second lien secured debt investments; and $2.5 million from subordinated debt investments. The remaining investment income was primarily attributed to interest income from short-term investments and to net accretion of discount and amortization of premium. The increase in investment income compared with the same period in the prior year is due to the growth of our portfolio and the transition of the portfolio from temporary to long-term core investments.</w:t>
      </w:r>
    </w:p>
    <w:p>
      <w:pPr>
        <w:spacing w:after="0" w:line="147" w:lineRule="exact"/>
        <w:rPr>
          <w:sz w:val="20"/>
          <w:szCs w:val="20"/>
          <w:color w:val="auto"/>
        </w:rPr>
      </w:pPr>
    </w:p>
    <w:p>
      <w:pPr>
        <w:jc w:val="both"/>
        <w:ind w:right="300" w:firstLine="449"/>
        <w:spacing w:after="0" w:line="306" w:lineRule="auto"/>
        <w:rPr>
          <w:sz w:val="20"/>
          <w:szCs w:val="20"/>
          <w:color w:val="auto"/>
        </w:rPr>
      </w:pPr>
      <w:r>
        <w:rPr>
          <w:rFonts w:ascii="Arial" w:cs="Arial" w:eastAsia="Arial" w:hAnsi="Arial"/>
          <w:sz w:val="16"/>
          <w:szCs w:val="16"/>
          <w:color w:val="auto"/>
        </w:rPr>
        <w:t>Investment income for the three month period ended December 31, 2007, was $9.0 million: $4.2 million from senior secured loan investments; $2.8 million from second lien secured debt investments; and $1.7 million from subordinated debt investments. The remaining investment income was primarily attributed to interest income from short-term investments and to net accretion of discount and amortization of premium.</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32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expenses for the three month period ended December 31, 2008, totaled $ 6.3 million. Net base management fee for the same period totaled $</w:t>
      </w:r>
    </w:p>
    <w:p>
      <w:pPr>
        <w:spacing w:after="0" w:line="3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1.8 million, performance-based incentive fee totaled $ 1.5 million, credit facility related expense totaled $ 1.8 million and general and administrative expenses totaled $ 1.2 million.</w:t>
      </w:r>
    </w:p>
    <w:p>
      <w:pPr>
        <w:spacing w:after="0" w:line="13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Net expenses totaled $4.3 million for the three month period ended December 31, 2007. Of these totals, $1.1 million was attributable to credit facility related expenses, and $1.3 million to general and administrative expenses. Net base management fee totaled $1.4 million, and performance-based incentive fee totaled approximately $447,000 for the same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Net investment income totaled $5.8 million or $0.27 per share, for the three month period ended December 31, 2008, and $4.7 million or $0.23 per share for the three month period ended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w:t>
      </w:r>
    </w:p>
    <w:p>
      <w:pPr>
        <w:spacing w:after="0" w:line="96" w:lineRule="exact"/>
        <w:rPr>
          <w:sz w:val="20"/>
          <w:szCs w:val="20"/>
          <w:color w:val="auto"/>
        </w:rPr>
      </w:pPr>
    </w:p>
    <w:p>
      <w:pPr>
        <w:ind w:right="360" w:firstLine="449"/>
        <w:spacing w:after="0" w:line="259" w:lineRule="auto"/>
        <w:rPr>
          <w:sz w:val="20"/>
          <w:szCs w:val="20"/>
          <w:color w:val="auto"/>
        </w:rPr>
      </w:pPr>
      <w:r>
        <w:rPr>
          <w:rFonts w:ascii="Arial" w:cs="Arial" w:eastAsia="Arial" w:hAnsi="Arial"/>
          <w:sz w:val="18"/>
          <w:szCs w:val="18"/>
          <w:color w:val="auto"/>
        </w:rPr>
        <w:t>Sales and repayments of long-term investments for the three month period ended December 31, 2008 totaled $2.3 million and realized losses totaled approximately $887,000 due to sale of a senior secured loan. Sales and repayments of long-term investments totaled $4.3 million, and net realized losses totaled approximately $211,000 for the three month period ended December 31,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on Investments, cash equivalents and credit facility</w:t>
      </w:r>
    </w:p>
    <w:p>
      <w:pPr>
        <w:spacing w:after="0" w:line="96" w:lineRule="exact"/>
        <w:rPr>
          <w:sz w:val="20"/>
          <w:szCs w:val="20"/>
          <w:color w:val="auto"/>
        </w:rPr>
      </w:pPr>
    </w:p>
    <w:p>
      <w:pPr>
        <w:ind w:right="280" w:firstLine="449"/>
        <w:spacing w:after="0" w:line="298" w:lineRule="auto"/>
        <w:rPr>
          <w:sz w:val="20"/>
          <w:szCs w:val="20"/>
          <w:color w:val="auto"/>
        </w:rPr>
      </w:pPr>
      <w:r>
        <w:rPr>
          <w:rFonts w:ascii="Arial" w:cs="Arial" w:eastAsia="Arial" w:hAnsi="Arial"/>
          <w:sz w:val="16"/>
          <w:szCs w:val="16"/>
          <w:color w:val="auto"/>
        </w:rPr>
        <w:t>For the three month periods ended December 31, 2008 and December 31, 2007, the Company’s investments and cash equivalents had a net change in unrealized depreciation of $42.4 million and $16.1 million, respectively. On December 31, 2008 and September 30, 2008, net unrealized depreciation on investments and cash equivalents totaled $114.4 million and $72.0 million, respectively, primarily due to the continued downturn in the leveraged finance credit market. On December 31, 2008 unrealized appreciation on credit facility was $5.7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from Operations</w:t>
      </w:r>
    </w:p>
    <w:p>
      <w:pPr>
        <w:spacing w:after="0" w:line="96" w:lineRule="exact"/>
        <w:rPr>
          <w:sz w:val="20"/>
          <w:szCs w:val="20"/>
          <w:color w:val="auto"/>
        </w:rPr>
      </w:pPr>
    </w:p>
    <w:p>
      <w:pPr>
        <w:jc w:val="both"/>
        <w:ind w:right="360" w:firstLine="449"/>
        <w:spacing w:after="0" w:line="335" w:lineRule="auto"/>
        <w:rPr>
          <w:sz w:val="20"/>
          <w:szCs w:val="20"/>
          <w:color w:val="auto"/>
        </w:rPr>
      </w:pPr>
      <w:r>
        <w:rPr>
          <w:rFonts w:ascii="Arial" w:cs="Arial" w:eastAsia="Arial" w:hAnsi="Arial"/>
          <w:sz w:val="15"/>
          <w:szCs w:val="15"/>
          <w:color w:val="auto"/>
        </w:rPr>
        <w:t>Net decrease in net assets resulting from operations totaled $31.8 million, or $1.51 per share, for the three month period ended December 31, 2008, primarily due to the overall decline in market values for investments held in our portfolio offset to some extent by the decline in market value of our credit facility. Net decrease in net assets resulting from operations totaled $11.5 million or $0.54 per share for the three month period ended December 31, 2007.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December 31, 2008, PennantPark Investment had outstanding borrowings of $157.4 million under the Credit Agreement, with an average interest rate of 3.62%.</w:t>
      </w:r>
    </w:p>
    <w:p>
      <w:pPr>
        <w:spacing w:after="0" w:line="112"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Under the Credit Agreement, the lenders agreed to extend us credit in an initial aggregate principal or face amount not exceeding $300 million at any one time outstanding. The Credit Agreement is a five-year revolving facility (with a stated maturity date of June 25, 2012) and is secured by substantially all of our investment portfolio assets. Pricing is set at 100 basis points over LIBOR.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285" w:lineRule="auto"/>
        <w:rPr>
          <w:sz w:val="20"/>
          <w:szCs w:val="20"/>
          <w:color w:val="auto"/>
        </w:rPr>
      </w:pPr>
      <w:r>
        <w:rPr>
          <w:rFonts w:ascii="Arial" w:cs="Arial" w:eastAsia="Arial" w:hAnsi="Arial"/>
          <w:sz w:val="16"/>
          <w:szCs w:val="16"/>
          <w:color w:val="auto"/>
        </w:rPr>
        <w:t>PennantPark Investment’s liquidity and capital resources are also generated and available from cash flows from operations including investment sales and repayments of senior and subordinated loans, and net investment income. On December 31, 2008, PennantPark Investment had $157.4 million borrowings under our senior secured revolving credit facility, and $142.6 million remained unused subject to maintenance of at least 200% of our total assets less liabilities other than indebtedness to our indebtedness, maintenance of a blended percentage of the values of our portfolio companies, and restrictions on certain payments and issuance of debt. In the future, PennantPark Investment may raise additional equity or debt capital off a shelf registration or may securitize a portion of its investments among other considerations. However, we face and expect to continue to face liquidity constraints under current market conditions, and if such conditions worsen substantially, we may be unable to raise capital at all. Equity capital may be difficult to raise because, subject to some limited exceptions, we are not generally able to issue and sell our common stock at a price below net asset value per share. In addition, debt capital, to the extent it is available under stressed credit market conditions, may be issued at a higher cost and on less favorable terms and conditions. Furthermore, if the valuations of our portfolio companies continue to fall significantly from their present values, we may suffer reduced availability under our credit facility because such availability depends on (i) our asset coverage, which generally requires that the valuation of our total assets less liabilities other than indebtedness be at least equal to 200% of our indebtedness, (ii) our maintenance of a blended percentage of the values of our portfolio companies, and (iii) restrictions on certain payments and issuance of debt. The primary use of existing funds and any funds raised in the future is expected to be for repayment of indebtedness, investments in portfolio companies, cash distributions to our shareholders or for other general corporate purposes.</w:t>
      </w:r>
    </w:p>
    <w:p>
      <w:pPr>
        <w:spacing w:after="0" w:line="127"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Subsequent to December 31, 2008 and through the date of this report, conditions in the public debt and equity markets have continued to be volatile and our net asset value may decline. The Credit Agreement requires the Company to maintain a minimum amount of shareholder’s equity and requires that the Company’s outstanding borrowings under the Credit Agreement not exceed a blended percentage of the values of its portfolio companies. The Company’s continued compliance with these covenants depends on many factors, some of which are beyond the Company’s control. For example, during the quarter ended December 31, 2008, net unrealized depreciation in the Company’s portfolio increased and, given the further deterioration in public capital markets and pricing levels subsequent to this period, net unrealized depreciation in the portfolio may continue to increase in the future. Further material net asset devaluation could have a material adverse effect on the Company’s operations, and could require the Company to reduce its borrowings under the Credit Agreement in order to comply with certain of the Credit Agreement covenants, including the ratio of total assets to total indebtedness.</w:t>
      </w:r>
    </w:p>
    <w:p>
      <w:pPr>
        <w:spacing w:after="0" w:line="124"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Our operating activities resulted in a net cash inflow of $10.0 million for the three month period ended December 31, 2008, and our financing activities resulted in a net cash outflow of $49.7 million for the same period, primarily from repayments under our credit facility.</w:t>
      </w:r>
    </w:p>
    <w:p>
      <w:pPr>
        <w:spacing w:after="0" w:line="132" w:lineRule="exact"/>
        <w:rPr>
          <w:sz w:val="20"/>
          <w:szCs w:val="20"/>
          <w:color w:val="auto"/>
        </w:rPr>
      </w:pPr>
    </w:p>
    <w:p>
      <w:pPr>
        <w:ind w:right="100" w:firstLine="449"/>
        <w:spacing w:after="0" w:line="331" w:lineRule="auto"/>
        <w:rPr>
          <w:sz w:val="20"/>
          <w:szCs w:val="20"/>
          <w:color w:val="auto"/>
        </w:rPr>
      </w:pPr>
      <w:r>
        <w:rPr>
          <w:rFonts w:ascii="Arial" w:cs="Arial" w:eastAsia="Arial" w:hAnsi="Arial"/>
          <w:sz w:val="16"/>
          <w:szCs w:val="16"/>
          <w:color w:val="auto"/>
        </w:rPr>
        <w:t>Our operating activities resulted in a net outflow of cash equal to $253.0 million for the three month period ended December 31, 2007 and our financing activities resulted in a net inflow of cash of $76.9 million for the same period, primarily from borrowings under our credit facility.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Payments due by period (millions)</w:t>
            </w:r>
          </w:p>
        </w:tc>
        <w:tc>
          <w:tcPr>
            <w:tcW w:w="620" w:type="dxa"/>
            <w:vAlign w:val="bottom"/>
            <w:tcBorders>
              <w:bottom w:val="single" w:sz="8" w:color="auto"/>
            </w:tcBorders>
          </w:tcPr>
          <w:p>
            <w:pPr>
              <w:spacing w:after="0"/>
              <w:rPr>
                <w:sz w:val="14"/>
                <w:szCs w:val="14"/>
                <w:color w:val="auto"/>
              </w:rPr>
            </w:pPr>
          </w:p>
        </w:tc>
      </w:tr>
      <w:tr>
        <w:trPr>
          <w:trHeight w:val="129"/>
        </w:trPr>
        <w:tc>
          <w:tcPr>
            <w:tcW w:w="52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Less than</w:t>
            </w:r>
          </w:p>
        </w:tc>
        <w:tc>
          <w:tcPr>
            <w:tcW w:w="620" w:type="dxa"/>
            <w:vAlign w:val="bottom"/>
            <w:gridSpan w:val="2"/>
          </w:tcPr>
          <w:p>
            <w:pPr>
              <w:jc w:val="center"/>
              <w:ind w:left="253"/>
              <w:spacing w:after="0" w:line="129" w:lineRule="exact"/>
              <w:rPr>
                <w:sz w:val="20"/>
                <w:szCs w:val="20"/>
                <w:color w:val="auto"/>
              </w:rPr>
            </w:pPr>
            <w:r>
              <w:rPr>
                <w:rFonts w:ascii="Arial" w:cs="Arial" w:eastAsia="Arial" w:hAnsi="Arial"/>
                <w:sz w:val="13"/>
                <w:szCs w:val="13"/>
                <w:b w:val="1"/>
                <w:bCs w:val="1"/>
                <w:color w:val="auto"/>
                <w:w w:val="95"/>
              </w:rPr>
              <w:t>1-3</w:t>
            </w:r>
          </w:p>
        </w:tc>
        <w:tc>
          <w:tcPr>
            <w:tcW w:w="800" w:type="dxa"/>
            <w:vAlign w:val="bottom"/>
            <w:gridSpan w:val="2"/>
          </w:tcPr>
          <w:p>
            <w:pPr>
              <w:jc w:val="center"/>
              <w:ind w:left="222"/>
              <w:spacing w:after="0" w:line="129" w:lineRule="exact"/>
              <w:rPr>
                <w:sz w:val="20"/>
                <w:szCs w:val="20"/>
                <w:color w:val="auto"/>
              </w:rPr>
            </w:pPr>
            <w:r>
              <w:rPr>
                <w:rFonts w:ascii="Arial" w:cs="Arial" w:eastAsia="Arial" w:hAnsi="Arial"/>
                <w:sz w:val="13"/>
                <w:szCs w:val="13"/>
                <w:b w:val="1"/>
                <w:bCs w:val="1"/>
                <w:color w:val="auto"/>
                <w:w w:val="95"/>
              </w:rPr>
              <w:t>3-5</w:t>
            </w:r>
          </w:p>
        </w:tc>
        <w:tc>
          <w:tcPr>
            <w:tcW w:w="3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9"/>
              </w:rPr>
              <w:t>More than</w:t>
            </w:r>
          </w:p>
        </w:tc>
      </w:tr>
      <w:tr>
        <w:trPr>
          <w:trHeight w:val="161"/>
        </w:trPr>
        <w:tc>
          <w:tcPr>
            <w:tcW w:w="5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 year</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years</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years</w:t>
            </w:r>
          </w:p>
        </w:tc>
        <w:tc>
          <w:tcPr>
            <w:tcW w:w="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5 years</w:t>
            </w:r>
          </w:p>
        </w:tc>
      </w:tr>
      <w:tr>
        <w:trPr>
          <w:trHeight w:val="210"/>
        </w:trPr>
        <w:tc>
          <w:tcPr>
            <w:tcW w:w="528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22"/>
                <w:szCs w:val="22"/>
                <w:color w:val="auto"/>
                <w:vertAlign w:val="superscript"/>
              </w:rPr>
              <w:t>(1)</w:t>
            </w:r>
          </w:p>
        </w:tc>
        <w:tc>
          <w:tcPr>
            <w:tcW w:w="3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$157.4</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center"/>
              <w:ind w:left="222"/>
              <w:spacing w:after="0"/>
              <w:rPr>
                <w:sz w:val="20"/>
                <w:szCs w:val="20"/>
                <w:color w:val="auto"/>
              </w:rPr>
            </w:pPr>
            <w:r>
              <w:rPr>
                <w:rFonts w:ascii="Arial" w:cs="Arial" w:eastAsia="Arial" w:hAnsi="Arial"/>
                <w:sz w:val="18"/>
                <w:szCs w:val="18"/>
                <w:color w:val="auto"/>
                <w:w w:val="90"/>
              </w:rPr>
              <w:t>$157.4</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jc w:val="both"/>
        <w:ind w:left="460" w:right="2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December 31, 2008, $142.6 million remained unused under our senior secured revolving credit facility, subject to maintenance of at least 200% of our total assets less liabilities other than indebtedness to our total outstanding indebtedness, maintenance of a blended percentage of the values of our portfolio companies, and restrictions on certain payments and issuance of debt.</w:t>
      </w:r>
    </w:p>
    <w:p>
      <w:pPr>
        <w:spacing w:after="0" w:line="140"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We have entered into certain contracts under which we have material future commitments. On April 17, 2007 we entered into an Investment Management Agreement with the Investment Adviser in accordance with the 1940 Act, effective as of the completion of our initial public offering, pursuant to which the Investment Adviser provides us with investment advisory and management services. Payments under the Investment Management Agreement in each reporting period are equal to (1) a management fee equal to a percentage of the value of our gross assets and (2) an incentive fee based on our performance (see note 3 to our financial statements for more information).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Pursuant to an Administration Agreement, dated April 17, 2007, the Administrator furnishes us with office facilities and administrative services necessary to conduct our day-to-day operations. If requested to provide managerial assistance to our portfolio companies, the Administrator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w:t>
      </w:r>
    </w:p>
    <w:p>
      <w:pPr>
        <w:spacing w:after="0" w:line="144" w:lineRule="exact"/>
        <w:rPr>
          <w:sz w:val="20"/>
          <w:szCs w:val="20"/>
          <w:color w:val="auto"/>
        </w:rPr>
      </w:pPr>
    </w:p>
    <w:p>
      <w:pPr>
        <w:ind w:right="4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right="120" w:firstLine="449"/>
        <w:spacing w:after="0" w:line="306" w:lineRule="auto"/>
        <w:rPr>
          <w:sz w:val="20"/>
          <w:szCs w:val="20"/>
          <w:color w:val="auto"/>
        </w:rPr>
      </w:pPr>
      <w:r>
        <w:rPr>
          <w:rFonts w:ascii="Arial" w:cs="Arial" w:eastAsia="Arial" w:hAnsi="Arial"/>
          <w:sz w:val="16"/>
          <w:szCs w:val="16"/>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6"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Distributions declared to stockholders for the three month periods ended December 31, 2008 and December 31, 2007 totaled $5.1 million or $0.24 per share and $4.6 million or $0.22 per share,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5" w:lineRule="exact"/>
        <w:rPr>
          <w:sz w:val="20"/>
          <w:szCs w:val="20"/>
          <w:color w:val="auto"/>
        </w:rPr>
      </w:pPr>
    </w:p>
    <w:p>
      <w:pPr>
        <w:ind w:right="120" w:firstLine="449"/>
        <w:spacing w:after="0" w:line="331" w:lineRule="auto"/>
        <w:rPr>
          <w:sz w:val="20"/>
          <w:szCs w:val="20"/>
          <w:color w:val="auto"/>
        </w:rPr>
      </w:pPr>
      <w:r>
        <w:rPr>
          <w:rFonts w:ascii="Arial" w:cs="Arial" w:eastAsia="Arial" w:hAnsi="Arial"/>
          <w:sz w:val="16"/>
          <w:szCs w:val="16"/>
          <w:color w:val="auto"/>
        </w:rPr>
        <w:t>We did not experienced compromised liquidity due to the continued turmoil in the global credit markets because of our ability to liquidate our portfolio of non-core senior secured loans, which totaled $46.8 million as of December 31, 2008, and availability under our credit facility.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and typically have durations of three months after which they reset to current market interest rates.</w:t>
      </w:r>
    </w:p>
    <w:p>
      <w:pPr>
        <w:spacing w:after="0" w:line="14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0" w:firstLine="449"/>
        <w:spacing w:after="0" w:line="310" w:lineRule="auto"/>
        <w:rPr>
          <w:sz w:val="20"/>
          <w:szCs w:val="20"/>
          <w:color w:val="auto"/>
        </w:rPr>
      </w:pPr>
      <w:r>
        <w:rPr>
          <w:rFonts w:ascii="Arial" w:cs="Arial" w:eastAsia="Arial" w:hAnsi="Arial"/>
          <w:sz w:val="15"/>
          <w:szCs w:val="15"/>
          <w:color w:val="auto"/>
        </w:rPr>
        <w:t>As of the period covered by this report, our management, including our Chief Executive Officer and Chief Financial Officer, evaluated the effectiveness of the design and operation of our disclosure controls and procedures as defined in Rule 13a-15(e) under the Securities Exchange Act of 1934, as amended (the “Exchange Act”). Based on that evaluation, our management, including our Chief Executive Officer and Chief Financial Officer, concluded that our disclosure controls and procedures were ineffective, as described below, in timely alerting management, including our Chief Executive Officer and Chief Financial Officer, to material information about us required to be included in periodic SEC filings. Our management has designed additional procedures, set forth below, to help us better achieve our disclosure objectives in future periods. In evaluating our disclosure controls and procedures, however,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08" w:lineRule="exact"/>
        <w:rPr>
          <w:sz w:val="20"/>
          <w:szCs w:val="20"/>
          <w:color w:val="auto"/>
        </w:rPr>
      </w:pPr>
    </w:p>
    <w:p>
      <w:pPr>
        <w:ind w:right="120" w:firstLine="449"/>
        <w:spacing w:after="0" w:line="306" w:lineRule="auto"/>
        <w:rPr>
          <w:sz w:val="20"/>
          <w:szCs w:val="20"/>
          <w:color w:val="auto"/>
        </w:rPr>
      </w:pPr>
      <w:r>
        <w:rPr>
          <w:rFonts w:ascii="Arial" w:cs="Arial" w:eastAsia="Arial" w:hAnsi="Arial"/>
          <w:sz w:val="15"/>
          <w:szCs w:val="15"/>
          <w:color w:val="auto"/>
        </w:rPr>
        <w:t>Our management is also responsible for establishing and maintaining adequate internal control over financial reporting, as such term is defined under Rule 13a-15(f) under the Exchange Act. During the course of preparing this Quarterly Report on Form 10-Q, as described below, our management, working with our independent registered public accounting firm, identified a material weakness in our internal control over financial reporting based on the Internal Control – Integrated Framework issued by the Committee of Sponsoring Organizations of the Treadway Commission. This material weakness was brought to the attention of management, including our Chief Executive Officer and Chief Financial Officer, prior to the issuance of any financial statements covering the period during which the material weakness existed. Based on a number of factors, including the timely discovery, short duration and narrow scope of the material weakness, and our performance of the remedial procedures set forth below, our management has concluded that the financial statements included in this Quarterly Report on Form 10-Q fairly present, in all material respects, our financial position, results of operations and cash flows in conformity with U.S. Generally Accepted Accounting Principles (“GAAP”). Further, based upon our investigation and analysis of the identified weakness, our management has concluded that such material weakness did not affect any financial statements issued for any period prior to the reporting period covered by this Quarterly Report on Form 10-Q. 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 xml:space="preserve">As of December 31, 2008, our management, including our Chief Executive Officer and Chief Financial Officer, identified a material weakness in our supervisory review procedures pertaining to properly accounting for complex and non-routine transactions in accordance with GAAP. Specifically, such review procedures were not performed by us with sufficient diligence to detect errors in our implementation of Statement of Financial Accounting Standards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which we implemented on October 1, 2008. In our initial implementation of SFAS 159,</w:t>
      </w:r>
      <w:r>
        <w:rPr>
          <w:rFonts w:ascii="Arial" w:cs="Arial" w:eastAsia="Arial" w:hAnsi="Arial"/>
          <w:sz w:val="16"/>
          <w:szCs w:val="16"/>
          <w:i w:val="1"/>
          <w:iCs w:val="1"/>
          <w:color w:val="auto"/>
        </w:rPr>
        <w:t xml:space="preserve"> </w:t>
      </w:r>
      <w:r>
        <w:rPr>
          <w:rFonts w:ascii="Arial" w:cs="Arial" w:eastAsia="Arial" w:hAnsi="Arial"/>
          <w:sz w:val="16"/>
          <w:szCs w:val="16"/>
          <w:color w:val="auto"/>
        </w:rPr>
        <w:t>we incorrectly included in our Statement of Operations the initial adjustment in fair value of a liability. We believe that the failure of our supervisory review procedures to detect this error resulted in a reasonable possibility that a material misstatement of our annual or interim financial statements would not have been prevented or detected on a timely basis by us as of December 31, 2008. As mentioned above, we corrected this error before we reported any financial statements for the period during which the material weakness existed. We believe that we have remedied the material weakness by bringing into compliance with GAAP our accounting for complex and non-routine transactions and reinforcing our supervisory review procedures to require that our accounting for such transactions is carefully analyzed and appropriately implemented. As part of this remediation, we intend to retain an external expert to review our accounting for non-routine and complex transactions in accordance with GAAP. Furthermore, such accounting will be subject to a detailed and diligent review performed by our Chief Financial Officer. The Chief Executive Officer has also emphasized to the finance accounting staff and officers our commitment to providing the appropriate level of internal and external resources necessary to ensure that the accounting for all transactions conforms with GAAP.</w:t>
      </w:r>
    </w:p>
    <w:p>
      <w:pPr>
        <w:spacing w:after="0" w:line="130"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Except as provided above, we made no changes in our internal control over financial reporting (as defined in Rule 13a-15(f) under the Securities Exchange Act of 1934) during the period covered by this report that materially affected, or are reasonably likely to materially affect, our internal control over financial reporting.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jc w:val="both"/>
        <w:ind w:right="180" w:firstLine="449"/>
        <w:spacing w:after="0" w:line="294" w:lineRule="auto"/>
        <w:rPr>
          <w:sz w:val="20"/>
          <w:szCs w:val="20"/>
          <w:color w:val="auto"/>
        </w:rPr>
      </w:pPr>
      <w:r>
        <w:rPr>
          <w:rFonts w:ascii="Arial" w:cs="Arial" w:eastAsia="Arial" w:hAnsi="Arial"/>
          <w:sz w:val="16"/>
          <w:szCs w:val="16"/>
          <w:color w:val="auto"/>
        </w:rPr>
        <w:t>Neither our Investment Adviser, our Administrator or us is currently subject to any material legal proceedings, nor, to our knowledge, is any material legal proceeding threatened against us, or against the Investment Adviser or Administrator. 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 xml:space="preserve">In addition to the other information set forth in this report, you should carefully consider the factors discussed in Part I, “Item 1A. Risk Factors” in our Annual Report on Form 10-K for the fiscal year ended September 30, 2008, which could materially affect our business, financial condition and/or operating results. The risks described in our Annual Report on Form 10-K are not the only risks facing our Company. Our annual report is posted on the SEC’s web 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on our web-site, </w:t>
      </w:r>
      <w:r>
        <w:rPr>
          <w:rFonts w:ascii="Arial" w:cs="Arial" w:eastAsia="Arial" w:hAnsi="Arial"/>
          <w:sz w:val="16"/>
          <w:szCs w:val="16"/>
          <w:u w:val="single" w:color="auto"/>
          <w:color w:val="auto"/>
        </w:rPr>
        <w:t>www.pennantpark.com</w:t>
      </w:r>
      <w:r>
        <w:rPr>
          <w:rFonts w:ascii="Arial" w:cs="Arial" w:eastAsia="Arial" w:hAnsi="Arial"/>
          <w:sz w:val="16"/>
          <w:szCs w:val="16"/>
          <w:color w:val="auto"/>
        </w:rPr>
        <w:t>. Additional risks and uncertainties not currently known to us or that we currently deem to be immaterial also may materially adversely affect our business, financial condition and/or operating results.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Current market conditions have materially and adversely impacted debt and equity capital markets in the United States.</w:t>
      </w:r>
    </w:p>
    <w:p>
      <w:pPr>
        <w:spacing w:after="0" w:line="9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debt and equity capital markets in the United States have been negatively impacted by significant write-offs in the financial services sector relating to subprime mortgages and other credit instruments the re-pricing of credit risk in the broadly syndicated market, among other things. These events, along with the deterioration of the housing market and the failure of major financial institutions, have led to worsening general economic conditions, which have materially and adversely impacted the broader financial and credit markets and have reduced the availability of debt and equity capital for the market as a whole and financial firms in particular. We believe that debt capital that will be available, if at all, at a higher cost, and on terms and conditions that may be less favorable, which could negatively affect our financial performance and results. In addition, the prolonged continuation or further deterioration of current market conditions could adversely impact our business.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currently in a period of capital markets disruption and instability.</w:t>
      </w:r>
    </w:p>
    <w:p>
      <w:pPr>
        <w:spacing w:after="0" w:line="90" w:lineRule="exact"/>
        <w:rPr>
          <w:sz w:val="20"/>
          <w:szCs w:val="20"/>
          <w:color w:val="auto"/>
        </w:rPr>
      </w:pPr>
    </w:p>
    <w:p>
      <w:pPr>
        <w:ind w:right="20" w:firstLine="449"/>
        <w:spacing w:after="0" w:line="317" w:lineRule="auto"/>
        <w:rPr>
          <w:sz w:val="20"/>
          <w:szCs w:val="20"/>
          <w:color w:val="auto"/>
        </w:rPr>
      </w:pPr>
      <w:r>
        <w:rPr>
          <w:rFonts w:ascii="Arial" w:cs="Arial" w:eastAsia="Arial" w:hAnsi="Arial"/>
          <w:sz w:val="15"/>
          <w:szCs w:val="15"/>
          <w:color w:val="auto"/>
        </w:rPr>
        <w:t>We believe that in 2007 and throughout 2008, the U.S. capital markets entered into a period of disruption as evidenced by increasing interest rate spreads between the yields realized on riskier debt securities and those realized on risk-free securities and a lack of liquidity in parts of the debt capital markets. We believe the United States and other countries are also in a recession, and that these adverse macro-economic conditions may continue for a prolonged period of time or worsen in the future. A prolonged period of market illiquidity will require us to reduce the volume of loans we originate and/or fund, which could have an adverse effect on our business, financial condition, and results of operations. This period may increase the probability that these risks negatively impact us.</w:t>
      </w:r>
    </w:p>
    <w:p>
      <w:pPr>
        <w:spacing w:after="0" w:line="21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12" w:lineRule="exact"/>
        <w:rPr>
          <w:sz w:val="20"/>
          <w:szCs w:val="20"/>
          <w:color w:val="auto"/>
        </w:rPr>
      </w:pPr>
    </w:p>
    <w:p>
      <w:pPr>
        <w:ind w:left="680" w:right="160" w:hanging="586"/>
        <w:spacing w:after="0" w:line="268" w:lineRule="auto"/>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the Registrant’s Pre-Effective Amendment No. 1 to the Registration Statement on Form N-2 (File No. 333-140092), filed on March 5, 2007).</w:t>
      </w:r>
    </w:p>
    <w:p>
      <w:pPr>
        <w:spacing w:after="0" w:line="78" w:lineRule="exact"/>
        <w:rPr>
          <w:sz w:val="20"/>
          <w:szCs w:val="20"/>
          <w:color w:val="auto"/>
        </w:rPr>
      </w:pPr>
    </w:p>
    <w:p>
      <w:pPr>
        <w:ind w:left="680" w:hanging="586"/>
        <w:spacing w:after="0" w:line="268" w:lineRule="auto"/>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(Incorporated by reference to Exhibit 3.2 to the Registrant’s Annual Report on Form 10-K (File No. 814-00736), filed on December 13, 2007).</w:t>
      </w:r>
    </w:p>
    <w:p>
      <w:pPr>
        <w:spacing w:after="0" w:line="78"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Exhibit 99(d)(1) to the Registrant’s Registration Statement on Form N-2 (File No. 333-</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150033), filed on April 2, 2008).</w:t>
      </w:r>
    </w:p>
    <w:p>
      <w:pPr>
        <w:spacing w:after="0" w:line="111" w:lineRule="exact"/>
        <w:rPr>
          <w:sz w:val="20"/>
          <w:szCs w:val="20"/>
          <w:color w:val="auto"/>
        </w:rPr>
      </w:pPr>
    </w:p>
    <w:p>
      <w:pPr>
        <w:ind w:right="2020" w:firstLine="8"/>
        <w:spacing w:after="0" w:line="450" w:lineRule="auto"/>
        <w:tabs>
          <w:tab w:leader="none" w:pos="675"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Computation of Per Share Earnings (included in the notes to the unaudited financial statements contained in this Report). 31.1 * Certification of Chief Executive Officer pursuant to Rule 13a-14 of the Securities Exchange Act of 1934, as amended.</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31.2 *   Certification of Chief Financial Officer pursuant to Rule 13a-14 of the Securities Exchange Act of 1934, as amended.</w:t>
      </w:r>
    </w:p>
    <w:p>
      <w:pPr>
        <w:spacing w:after="0" w:line="1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32.1 *   Certification of Chief Executive Officer pursuant to section 906 of The Sarbanes-Oxley Act of 2002.</w:t>
      </w:r>
    </w:p>
    <w:p>
      <w:pPr>
        <w:spacing w:after="0" w:line="1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32.2 *   Certification of Chief Financial Officer pursuant to section 906 of The Sarbanes-Oxley Act of 2002.</w:t>
      </w:r>
    </w:p>
    <w:p>
      <w:pPr>
        <w:spacing w:after="0" w:line="117" w:lineRule="exact"/>
        <w:rPr>
          <w:sz w:val="20"/>
          <w:szCs w:val="20"/>
          <w:color w:val="auto"/>
        </w:rPr>
      </w:pPr>
    </w:p>
    <w:p>
      <w:pPr>
        <w:ind w:left="680" w:right="240" w:hanging="674"/>
        <w:spacing w:after="0" w:line="268" w:lineRule="auto"/>
        <w:tabs>
          <w:tab w:leader="none" w:pos="6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Exhibit 99.1 to the Registrant’s Annual Report on Form 10-K (File No. 814-00736), filed on November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PENNANTPARK INVESTMENT CORPORATION</w:t>
            </w:r>
          </w:p>
        </w:tc>
      </w:tr>
      <w:tr>
        <w:trPr>
          <w:trHeight w:val="434"/>
        </w:trPr>
        <w:tc>
          <w:tcPr>
            <w:tcW w:w="3520" w:type="dxa"/>
            <w:vAlign w:val="bottom"/>
          </w:tcPr>
          <w:p>
            <w:pPr>
              <w:spacing w:after="0"/>
              <w:rPr>
                <w:sz w:val="20"/>
                <w:szCs w:val="20"/>
                <w:color w:val="auto"/>
              </w:rPr>
            </w:pPr>
            <w:r>
              <w:rPr>
                <w:rFonts w:ascii="Arial" w:cs="Arial" w:eastAsia="Arial" w:hAnsi="Arial"/>
                <w:sz w:val="18"/>
                <w:szCs w:val="18"/>
                <w:color w:val="auto"/>
              </w:rPr>
              <w:t>Date: February 4, 2009</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r>
      <w:tr>
        <w:trPr>
          <w:trHeight w:val="209"/>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Penn</w:t>
            </w:r>
          </w:p>
        </w:tc>
      </w:tr>
      <w:tr>
        <w:trPr>
          <w:trHeight w:val="228"/>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r>
      <w:tr>
        <w:trPr>
          <w:trHeight w:val="434"/>
        </w:trPr>
        <w:tc>
          <w:tcPr>
            <w:tcW w:w="3520" w:type="dxa"/>
            <w:vAlign w:val="bottom"/>
          </w:tcPr>
          <w:p>
            <w:pPr>
              <w:spacing w:after="0"/>
              <w:rPr>
                <w:sz w:val="20"/>
                <w:szCs w:val="20"/>
                <w:color w:val="auto"/>
              </w:rPr>
            </w:pPr>
            <w:r>
              <w:rPr>
                <w:rFonts w:ascii="Arial" w:cs="Arial" w:eastAsia="Arial" w:hAnsi="Arial"/>
                <w:sz w:val="18"/>
                <w:szCs w:val="18"/>
                <w:color w:val="auto"/>
              </w:rPr>
              <w:t>Date: February 4, 2009</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Aviv Efrat</w:t>
            </w:r>
          </w:p>
        </w:tc>
      </w:tr>
      <w:tr>
        <w:trPr>
          <w:trHeight w:val="209"/>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r>
      <w:tr>
        <w:trPr>
          <w:trHeight w:val="228"/>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0"/>
              </w:rPr>
              <w:t>Chief Financial Officer</w:t>
            </w:r>
          </w:p>
        </w:tc>
      </w:tr>
    </w:tbl>
    <w:p>
      <w:pPr>
        <w:ind w:left="69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394"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59" w:lineRule="auto"/>
        <w:tabs>
          <w:tab w:leader="none" w:pos="1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sz w:val="20"/>
          <w:szCs w:val="20"/>
          <w:color w:val="auto"/>
        </w:rPr>
      </w:pPr>
    </w:p>
    <w:p>
      <w:pPr>
        <w:jc w:val="both"/>
        <w:ind w:right="240" w:firstLine="8"/>
        <w:spacing w:after="0" w:line="259"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0" w:firstLine="8"/>
        <w:spacing w:after="0" w:line="259" w:lineRule="auto"/>
        <w:tabs>
          <w:tab w:leader="none" w:pos="1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394"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jc w:val="both"/>
        <w:ind w:right="20" w:firstLine="8"/>
        <w:spacing w:after="0" w:line="356" w:lineRule="auto"/>
        <w:tabs>
          <w:tab w:leader="none" w:pos="175"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1" w:lineRule="exact"/>
        <w:rPr>
          <w:sz w:val="20"/>
          <w:szCs w:val="20"/>
          <w:color w:val="auto"/>
        </w:rPr>
      </w:pPr>
    </w:p>
    <w:p>
      <w:pPr>
        <w:jc w:val="both"/>
        <w:ind w:right="240" w:firstLine="8"/>
        <w:spacing w:after="0" w:line="259"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0" w:firstLine="8"/>
        <w:spacing w:after="0" w:line="259" w:lineRule="auto"/>
        <w:tabs>
          <w:tab w:leader="none" w:pos="1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2008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2009</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2008 (the “Report”) of PennantPark Investment Corporation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2009</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3"/>
    </w:lvl>
  </w:abstractNum>
  <w:abstractNum w:abstractNumId="8">
    <w:nsid w:val="436C6125"/>
    <w:multiLevelType w:val="hybridMultilevel"/>
    <w:lvl w:ilvl="0">
      <w:lvlJc w:val="left"/>
      <w:lvlText w:val="(%1)"/>
      <w:numFmt w:val="lowerLetter"/>
      <w:start w:val="2"/>
    </w:lvl>
  </w:abstractNum>
  <w:abstractNum w:abstractNumId="9">
    <w:nsid w:val="628C895D"/>
    <w:multiLevelType w:val="hybridMultilevel"/>
    <w:lvl w:ilvl="0">
      <w:lvlJc w:val="left"/>
      <w:lvlText w:val="(%1)"/>
      <w:numFmt w:val="lowerLetter"/>
      <w:start w:val="7"/>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4"/>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2020-05-05T15:08:57Z</dcterms:created>
  <dcterms:modified xsi:type="dcterms:W3CDTF">2020-05-05T15:08:57Z</dcterms:modified>
</cp:coreProperties>
</file>