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PennantPark Investment Corporation</w:t>
      </w:r>
    </w:p>
    <w:p>
      <w:pPr>
        <w:ind w:left="12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708062104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2007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389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10" w:lineRule="exact"/>
        <w:rPr>
          <w:sz w:val="24"/>
          <w:szCs w:val="24"/>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9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 and I.R.S. Identification No.</w:t>
      </w:r>
    </w:p>
    <w:p>
      <w:pPr>
        <w:spacing w:after="0" w:line="207" w:lineRule="exact"/>
        <w:rPr>
          <w:sz w:val="24"/>
          <w:szCs w:val="24"/>
          <w:color w:val="auto"/>
        </w:rPr>
      </w:pPr>
    </w:p>
    <w:p>
      <w:pPr>
        <w:ind w:right="4419"/>
        <w:spacing w:after="0" w:line="290" w:lineRule="auto"/>
        <w:rPr>
          <w:sz w:val="20"/>
          <w:szCs w:val="20"/>
          <w:color w:val="auto"/>
        </w:rPr>
      </w:pPr>
      <w:r>
        <w:rPr>
          <w:rFonts w:ascii="Courier New" w:cs="Courier New" w:eastAsia="Courier New" w:hAnsi="Courier New"/>
          <w:sz w:val="16"/>
          <w:szCs w:val="16"/>
          <w:color w:val="auto"/>
        </w:rPr>
        <w:t>UBS AG (for the benefit and on behalf of the UBS Global Asset Management business group of UBS AG (see Item 7)</w:t>
      </w:r>
    </w:p>
    <w:p>
      <w:pPr>
        <w:spacing w:after="0" w:line="170"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See Item 8 of attached schedule</w:t>
      </w:r>
    </w:p>
    <w:p>
      <w:pPr>
        <w:spacing w:after="0" w:line="5"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w w:val="94"/>
              </w:rPr>
              <w:t>2,186,522</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2,512,324</w:t>
            </w:r>
          </w:p>
        </w:tc>
      </w:tr>
    </w:tbl>
    <w:p>
      <w:pPr>
        <w:spacing w:after="0" w:line="200" w:lineRule="exact"/>
        <w:rPr>
          <w:sz w:val="24"/>
          <w:szCs w:val="24"/>
          <w:color w:val="auto"/>
        </w:rPr>
      </w:pPr>
    </w:p>
    <w:p>
      <w:pPr>
        <w:sectPr>
          <w:pgSz w:w="11900" w:h="16838" w:orient="portrait"/>
          <w:cols w:equalWidth="0" w:num="1">
            <w:col w:w="10219"/>
          </w:cols>
          <w:pgMar w:left="240" w:top="244"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Person With:</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9. Aggregate Amount Beneficially Owned by Each Reporting Person: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2,512,324*</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if the Aggregate Amount in Row 9 Excludes Certain Shares / /</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12.0%</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 HC</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4319"/>
        <w:spacing w:after="0" w:line="271" w:lineRule="auto"/>
        <w:rPr>
          <w:sz w:val="20"/>
          <w:szCs w:val="20"/>
          <w:color w:val="auto"/>
        </w:rPr>
      </w:pPr>
      <w:r>
        <w:rPr>
          <w:rFonts w:ascii="Courier New" w:cs="Courier New" w:eastAsia="Courier New" w:hAnsi="Courier New"/>
          <w:sz w:val="16"/>
          <w:szCs w:val="16"/>
          <w:color w:val="auto"/>
        </w:rPr>
        <w:t>UBS AG disclaims beneficial ownership of such securities pursuant to Rule 13d-4 under the Securities Exchange Act of 1934. In accordance with SEC Release No. 34-395-538 (January 12, 1998), this filing reflects the securities beneficially owned by the UBS Global Asset Management business group of UBS AG and its subsidiaries and affiliates on behalf of its clients (collectively, UBS). This filing does not reflect securities, if any, beneficially owned by any other division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business group of UBS.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9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Names of Reporting Persons and I.R.S. Identification No.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Americas Inc.</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 Check the Appropriate Box if a Member of a Group</w:t>
      </w:r>
    </w:p>
    <w:p>
      <w:pPr>
        <w:spacing w:after="0" w:line="201"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See Item 8 of attached schedule</w:t>
      </w: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w w:val="94"/>
              </w:rPr>
              <w:t>2,177,222</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2,503,024</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9. Aggregate Amount Beneficially Owned by Each Reporting Person: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2,503,024 shares*</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if the Aggregate Amount in Row 9 Excludes Certain Shares / /</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11.9%</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UBS Americas disclaims beneficial ownership of such securities pursuant to Rule 13d-4 under the Securities Exchange Act</w:t>
      </w:r>
    </w:p>
    <w:p>
      <w:pPr>
        <w:jc w:val="both"/>
        <w:ind w:right="4419"/>
        <w:spacing w:after="0" w:line="279" w:lineRule="auto"/>
        <w:rPr>
          <w:sz w:val="20"/>
          <w:szCs w:val="20"/>
          <w:color w:val="auto"/>
        </w:rPr>
      </w:pPr>
      <w:r>
        <w:rPr>
          <w:rFonts w:ascii="Courier New" w:cs="Courier New" w:eastAsia="Courier New" w:hAnsi="Courier New"/>
          <w:sz w:val="16"/>
          <w:szCs w:val="16"/>
          <w:color w:val="auto"/>
        </w:rPr>
        <w:t>of 1934. In accordance with SEC Release No. 34-395-538 (January 12, 1998), this filing reflects the securities beneficially owned by the UBS Global Asset Management</w:t>
      </w:r>
    </w:p>
    <w:p>
      <w:pPr>
        <w:sectPr>
          <w:pgSz w:w="11900" w:h="16838" w:orient="portrait"/>
          <w:cols w:equalWidth="0" w:num="1">
            <w:col w:w="10219"/>
          </w:cols>
          <w:pgMar w:left="240" w:top="136" w:right="1440" w:bottom="0" w:gutter="0" w:footer="0" w:header="0"/>
        </w:sectPr>
      </w:pPr>
    </w:p>
    <w:bookmarkStart w:id="2" w:name="page3"/>
    <w:bookmarkEnd w:id="2"/>
    <w:p>
      <w:pPr>
        <w:ind w:right="4939"/>
        <w:spacing w:after="0" w:line="237" w:lineRule="auto"/>
        <w:rPr>
          <w:sz w:val="20"/>
          <w:szCs w:val="20"/>
          <w:color w:val="auto"/>
        </w:rPr>
      </w:pPr>
      <w:r>
        <w:rPr>
          <w:rFonts w:ascii="Courier New" w:cs="Courier New" w:eastAsia="Courier New" w:hAnsi="Courier New"/>
          <w:sz w:val="18"/>
          <w:szCs w:val="18"/>
          <w:color w:val="auto"/>
        </w:rPr>
        <w:t>business group of UBS AG and its subsidiaries and affiliates on behalf of its clients (collectively, UBS). This filing does not reflect securities, if any, beneficially owned by any other division or business group of UBS.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9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Global Asset Management (Americas) Inc.</w:t>
      </w:r>
    </w:p>
    <w:p>
      <w:pPr>
        <w:spacing w:after="0" w:line="238" w:lineRule="auto"/>
        <w:rPr>
          <w:sz w:val="20"/>
          <w:szCs w:val="20"/>
          <w:color w:val="auto"/>
        </w:rPr>
      </w:pPr>
      <w:r>
        <w:rPr>
          <w:rFonts w:ascii="Courier New" w:cs="Courier New" w:eastAsia="Courier New" w:hAnsi="Courier New"/>
          <w:sz w:val="18"/>
          <w:szCs w:val="18"/>
          <w:color w:val="auto"/>
        </w:rPr>
        <w:t>36-3664388</w:t>
      </w:r>
    </w:p>
    <w:p>
      <w:pPr>
        <w:spacing w:after="0" w:line="5"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pacing w:after="0" w:line="4" w:lineRule="exact"/>
        <w:rPr>
          <w:rFonts w:ascii="Courier New" w:cs="Courier New" w:eastAsia="Courier New" w:hAnsi="Courier New"/>
          <w:sz w:val="16"/>
          <w:szCs w:val="16"/>
          <w:color w:val="auto"/>
        </w:rPr>
      </w:pPr>
    </w:p>
    <w:p>
      <w:pPr>
        <w:ind w:right="46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 See Item 8 of attached schedule.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 - Delaware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w w:val="94"/>
              </w:rPr>
              <w:t>2,096,222</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2,422,024</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w:t>
      </w:r>
    </w:p>
    <w:p>
      <w:pPr>
        <w:spacing w:after="0" w:line="4" w:lineRule="exact"/>
        <w:rPr>
          <w:rFonts w:ascii="Courier New" w:cs="Courier New" w:eastAsia="Courier New" w:hAnsi="Courier New"/>
          <w:sz w:val="16"/>
          <w:szCs w:val="16"/>
          <w:color w:val="auto"/>
        </w:rPr>
      </w:pPr>
    </w:p>
    <w:p>
      <w:pPr>
        <w:ind w:right="38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 2,422,024 Shares*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p>
    <w:p>
      <w:pPr>
        <w:spacing w:after="0" w:line="4" w:lineRule="exact"/>
        <w:rPr>
          <w:rFonts w:ascii="Courier New" w:cs="Courier New" w:eastAsia="Courier New" w:hAnsi="Courier New"/>
          <w:sz w:val="16"/>
          <w:szCs w:val="16"/>
          <w:color w:val="auto"/>
        </w:rPr>
      </w:pPr>
    </w:p>
    <w:p>
      <w:pPr>
        <w:ind w:right="4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4619"/>
        <w:spacing w:after="0" w:line="268" w:lineRule="auto"/>
        <w:rPr>
          <w:sz w:val="20"/>
          <w:szCs w:val="20"/>
          <w:color w:val="auto"/>
        </w:rPr>
      </w:pPr>
      <w:r>
        <w:rPr>
          <w:rFonts w:ascii="Courier New" w:cs="Courier New" w:eastAsia="Courier New" w:hAnsi="Courier New"/>
          <w:sz w:val="16"/>
          <w:szCs w:val="16"/>
          <w:color w:val="auto"/>
        </w:rPr>
        <w:t>UBS Global Asset Management (Americas) Inc. disclaims beneficial ownership of such securities pursuant to Rule 13d-4 under the Securities Exchange Act</w:t>
      </w:r>
    </w:p>
    <w:p>
      <w:pPr>
        <w:spacing w:after="0" w:line="1" w:lineRule="exact"/>
        <w:rPr>
          <w:sz w:val="20"/>
          <w:szCs w:val="20"/>
          <w:color w:val="auto"/>
        </w:rPr>
      </w:pPr>
    </w:p>
    <w:p>
      <w:pPr>
        <w:ind w:right="4419"/>
        <w:spacing w:after="0" w:line="268" w:lineRule="auto"/>
        <w:rPr>
          <w:sz w:val="20"/>
          <w:szCs w:val="20"/>
          <w:color w:val="auto"/>
        </w:rPr>
      </w:pPr>
      <w:r>
        <w:rPr>
          <w:rFonts w:ascii="Courier New" w:cs="Courier New" w:eastAsia="Courier New" w:hAnsi="Courier New"/>
          <w:sz w:val="16"/>
          <w:szCs w:val="16"/>
          <w:color w:val="auto"/>
        </w:rPr>
        <w:t>of 1934. In accordance with SEC Release No. 34-395-538 (January 12, 1998), this filing reflects the securities beneficially owned by the UBS Global Asset Management business group of UBS AG and its subsidiaries and affiliates on behalf of its clients (collectively, UBS). This filing does not reflect securities, if any, beneficially owned by any other division</w:t>
      </w:r>
    </w:p>
    <w:p>
      <w:pPr>
        <w:spacing w:after="0" w:line="234" w:lineRule="auto"/>
        <w:rPr>
          <w:sz w:val="20"/>
          <w:szCs w:val="20"/>
          <w:color w:val="auto"/>
        </w:rPr>
      </w:pPr>
      <w:r>
        <w:rPr>
          <w:rFonts w:ascii="Courier New" w:cs="Courier New" w:eastAsia="Courier New" w:hAnsi="Courier New"/>
          <w:sz w:val="18"/>
          <w:szCs w:val="18"/>
          <w:color w:val="auto"/>
        </w:rPr>
        <w:t>or business group of UBS.</w:t>
      </w:r>
    </w:p>
    <w:p>
      <w:pPr>
        <w:spacing w:after="0"/>
        <w:rPr>
          <w:sz w:val="20"/>
          <w:szCs w:val="20"/>
          <w:color w:val="auto"/>
        </w:rPr>
      </w:pPr>
      <w:r>
        <w:rPr>
          <w:rFonts w:ascii="Courier New" w:cs="Courier New" w:eastAsia="Courier New" w:hAnsi="Courier New"/>
          <w:sz w:val="18"/>
          <w:szCs w:val="18"/>
          <w:color w:val="auto"/>
        </w:rPr>
        <w:t>Page 4 of 9 pages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708062104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BORGWARNER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3850 Hamlin Road</w:t>
      </w:r>
    </w:p>
    <w:p>
      <w:pPr>
        <w:spacing w:after="0"/>
        <w:tabs>
          <w:tab w:leader="none" w:pos="1880" w:val="left"/>
        </w:tabs>
        <w:rPr>
          <w:sz w:val="20"/>
          <w:szCs w:val="20"/>
          <w:color w:val="auto"/>
        </w:rPr>
      </w:pPr>
      <w:r>
        <w:rPr>
          <w:rFonts w:ascii="Courier New" w:cs="Courier New" w:eastAsia="Courier New" w:hAnsi="Courier New"/>
          <w:sz w:val="18"/>
          <w:szCs w:val="18"/>
          <w:color w:val="auto"/>
        </w:rPr>
        <w:t>Auburn Hills, MI</w:t>
        <w:tab/>
        <w:t>48326</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4"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UBS AG, UBS Americas Inc., and UBS Global Asset Management (Americas) Inc.(UBS Global AM)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w:t>
      </w:r>
    </w:p>
    <w:p>
      <w:pPr>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AG's principal business office is:</w:t>
      </w:r>
    </w:p>
    <w:p>
      <w:pPr>
        <w:spacing w:after="0" w:line="238" w:lineRule="auto"/>
        <w:rPr>
          <w:sz w:val="20"/>
          <w:szCs w:val="20"/>
          <w:color w:val="auto"/>
        </w:rPr>
      </w:pPr>
      <w:r>
        <w:rPr>
          <w:rFonts w:ascii="Courier New" w:cs="Courier New" w:eastAsia="Courier New" w:hAnsi="Courier New"/>
          <w:sz w:val="18"/>
          <w:szCs w:val="18"/>
          <w:color w:val="auto"/>
        </w:rPr>
        <w:t>Bahnhofstrasse 45</w:t>
      </w:r>
    </w:p>
    <w:p>
      <w:pPr>
        <w:spacing w:after="0"/>
        <w:rPr>
          <w:sz w:val="20"/>
          <w:szCs w:val="20"/>
          <w:color w:val="auto"/>
        </w:rPr>
      </w:pPr>
      <w:r>
        <w:rPr>
          <w:rFonts w:ascii="Courier New" w:cs="Courier New" w:eastAsia="Courier New" w:hAnsi="Courier New"/>
          <w:sz w:val="18"/>
          <w:szCs w:val="18"/>
          <w:color w:val="auto"/>
        </w:rPr>
        <w:t>PO Box CH-8021</w:t>
      </w:r>
    </w:p>
    <w:p>
      <w:pPr>
        <w:spacing w:after="0" w:line="237" w:lineRule="auto"/>
        <w:rPr>
          <w:sz w:val="20"/>
          <w:szCs w:val="20"/>
          <w:color w:val="auto"/>
        </w:rPr>
      </w:pPr>
      <w:r>
        <w:rPr>
          <w:rFonts w:ascii="Courier New" w:cs="Courier New" w:eastAsia="Courier New" w:hAnsi="Courier New"/>
          <w:sz w:val="18"/>
          <w:szCs w:val="18"/>
          <w:color w:val="auto"/>
        </w:rPr>
        <w:t>Zurich, Switzerland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Americas Inc.'s principal business office is:</w:t>
      </w:r>
    </w:p>
    <w:p>
      <w:pPr>
        <w:spacing w:after="0" w:line="238" w:lineRule="auto"/>
        <w:rPr>
          <w:sz w:val="20"/>
          <w:szCs w:val="20"/>
          <w:color w:val="auto"/>
        </w:rPr>
      </w:pPr>
      <w:r>
        <w:rPr>
          <w:rFonts w:ascii="Courier New" w:cs="Courier New" w:eastAsia="Courier New" w:hAnsi="Courier New"/>
          <w:sz w:val="18"/>
          <w:szCs w:val="18"/>
          <w:color w:val="auto"/>
        </w:rPr>
        <w:t>677 Washington Blvd.</w:t>
      </w:r>
    </w:p>
    <w:p>
      <w:pPr>
        <w:spacing w:after="0"/>
        <w:tabs>
          <w:tab w:leader="none" w:pos="1460" w:val="left"/>
        </w:tabs>
        <w:rPr>
          <w:sz w:val="20"/>
          <w:szCs w:val="20"/>
          <w:color w:val="auto"/>
        </w:rPr>
      </w:pPr>
      <w:r>
        <w:rPr>
          <w:rFonts w:ascii="Courier New" w:cs="Courier New" w:eastAsia="Courier New" w:hAnsi="Courier New"/>
          <w:sz w:val="18"/>
          <w:szCs w:val="18"/>
          <w:color w:val="auto"/>
        </w:rPr>
        <w:t>Stamford, CT</w:t>
      </w:r>
      <w:r>
        <w:rPr>
          <w:sz w:val="20"/>
          <w:szCs w:val="20"/>
          <w:color w:val="auto"/>
        </w:rPr>
        <w:tab/>
      </w:r>
      <w:r>
        <w:rPr>
          <w:rFonts w:ascii="Courier New" w:cs="Courier New" w:eastAsia="Courier New" w:hAnsi="Courier New"/>
          <w:sz w:val="16"/>
          <w:szCs w:val="16"/>
          <w:color w:val="auto"/>
        </w:rPr>
        <w:t>06901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Global AM's principal business office is:</w:t>
      </w:r>
    </w:p>
    <w:p>
      <w:pPr>
        <w:spacing w:after="0" w:line="238" w:lineRule="auto"/>
        <w:tabs>
          <w:tab w:leader="none" w:pos="3880" w:val="left"/>
        </w:tabs>
        <w:rPr>
          <w:sz w:val="20"/>
          <w:szCs w:val="20"/>
          <w:color w:val="auto"/>
        </w:rPr>
      </w:pPr>
      <w:r>
        <w:rPr>
          <w:rFonts w:ascii="Courier New" w:cs="Courier New" w:eastAsia="Courier New" w:hAnsi="Courier New"/>
          <w:sz w:val="18"/>
          <w:szCs w:val="18"/>
          <w:color w:val="auto"/>
        </w:rPr>
        <w:t>One North Wacker, Chicago, Illinois</w:t>
        <w:tab/>
        <w:t>60606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38" w:lineRule="auto"/>
        <w:rPr>
          <w:sz w:val="20"/>
          <w:szCs w:val="20"/>
          <w:color w:val="auto"/>
        </w:rPr>
      </w:pPr>
      <w:r>
        <w:rPr>
          <w:rFonts w:ascii="Courier New" w:cs="Courier New" w:eastAsia="Courier New" w:hAnsi="Courier New"/>
          <w:sz w:val="18"/>
          <w:szCs w:val="18"/>
          <w:color w:val="auto"/>
        </w:rPr>
        <w:t>Incorporated by reference to Item 4 of the cover pages.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38" w:lineRule="auto"/>
        <w:rPr>
          <w:sz w:val="20"/>
          <w:szCs w:val="20"/>
          <w:color w:val="auto"/>
        </w:rPr>
      </w:pPr>
      <w:r>
        <w:rPr>
          <w:rFonts w:ascii="Courier New" w:cs="Courier New" w:eastAsia="Courier New" w:hAnsi="Courier New"/>
          <w:sz w:val="18"/>
          <w:szCs w:val="18"/>
          <w:color w:val="auto"/>
        </w:rPr>
        <w:t>Common Stock (the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708062104</w:t>
      </w:r>
    </w:p>
    <w:p>
      <w:pPr>
        <w:spacing w:after="0" w:line="201"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3.  Type of Person Filing:</w:t>
      </w:r>
    </w:p>
    <w:p>
      <w:pPr>
        <w:spacing w:after="0" w:line="207" w:lineRule="exact"/>
        <w:rPr>
          <w:sz w:val="20"/>
          <w:szCs w:val="20"/>
          <w:color w:val="auto"/>
        </w:rPr>
      </w:pPr>
    </w:p>
    <w:p>
      <w:pPr>
        <w:ind w:right="3779"/>
        <w:spacing w:after="0" w:line="268" w:lineRule="auto"/>
        <w:rPr>
          <w:sz w:val="20"/>
          <w:szCs w:val="20"/>
          <w:color w:val="auto"/>
        </w:rPr>
      </w:pPr>
      <w:r>
        <w:rPr>
          <w:rFonts w:ascii="Courier New" w:cs="Courier New" w:eastAsia="Courier New" w:hAnsi="Courier New"/>
          <w:sz w:val="16"/>
          <w:szCs w:val="16"/>
          <w:color w:val="auto"/>
        </w:rPr>
        <w:t>UBS AG is classified as a Bank as defined in section 3(a)(6) of the Act pursuant to no action relief granted by the staff of the Securities and Exchange Commission. UBS Americas Inc.</w:t>
      </w:r>
    </w:p>
    <w:p>
      <w:pPr>
        <w:spacing w:after="0" w:line="1"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is the parent holding company of UBS Global AM. UBS Global AM is an Investment Adviser registered under section 203 of the Investment Advisers Act of 1940.</w:t>
      </w:r>
    </w:p>
    <w:p>
      <w:pPr>
        <w:spacing w:after="0" w:line="1"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(a)-(c)(iv).  Ownership: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Items 5-11 of the cover pages.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9 pages</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708062104</w:t>
      </w: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w:t>
      </w:r>
    </w:p>
    <w:p>
      <w:pPr>
        <w:spacing w:after="0" w:line="238" w:lineRule="auto"/>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Accounts managed on a discretionary basis by UBS AG and UBS Global AM have the right to receive or the power to direct the receipt of dividends from, or the proceeds from the sale of, the Common Stock. To the best of our knowledge, no account holds more than 5 percent of the outstanding Common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Identification:</w:t>
      </w:r>
      <w:r>
        <w:rPr>
          <w:sz w:val="20"/>
          <w:szCs w:val="20"/>
          <w:color w:val="auto"/>
        </w:rPr>
        <w:tab/>
      </w:r>
      <w:r>
        <w:rPr>
          <w:rFonts w:ascii="Courier New" w:cs="Courier New" w:eastAsia="Courier New" w:hAnsi="Courier New"/>
          <w:sz w:val="16"/>
          <w:szCs w:val="16"/>
          <w:color w:val="auto"/>
        </w:rPr>
        <w:t>UBS Global Asset Management (Americas) Inc.</w:t>
      </w:r>
    </w:p>
    <w:p>
      <w:pPr>
        <w:spacing w:after="0"/>
        <w:tabs>
          <w:tab w:leader="none" w:pos="1780" w:val="left"/>
        </w:tabs>
        <w:rPr>
          <w:sz w:val="20"/>
          <w:szCs w:val="20"/>
          <w:color w:val="auto"/>
        </w:rPr>
      </w:pPr>
      <w:r>
        <w:rPr>
          <w:rFonts w:ascii="Courier New" w:cs="Courier New" w:eastAsia="Courier New" w:hAnsi="Courier New"/>
          <w:sz w:val="18"/>
          <w:szCs w:val="18"/>
          <w:color w:val="auto"/>
        </w:rPr>
        <w:t>Classification:</w:t>
      </w:r>
      <w:r>
        <w:rPr>
          <w:sz w:val="20"/>
          <w:szCs w:val="20"/>
          <w:color w:val="auto"/>
        </w:rPr>
        <w:tab/>
      </w:r>
      <w:r>
        <w:rPr>
          <w:rFonts w:ascii="Courier New" w:cs="Courier New" w:eastAsia="Courier New" w:hAnsi="Courier New"/>
          <w:sz w:val="16"/>
          <w:szCs w:val="16"/>
          <w:color w:val="auto"/>
        </w:rPr>
        <w:t>IA</w:t>
      </w:r>
    </w:p>
    <w:p>
      <w:pPr>
        <w:spacing w:after="0" w:line="207"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In addition to UBS, UBS Americas, Inc., and UBS Global AM, the following UBS affiliates and subsidiaries are part of the UBS Global Asset Management business group included in this filing: UBS Global Asset Management (US) Inc.,</w:t>
      </w:r>
    </w:p>
    <w:p>
      <w:pPr>
        <w:spacing w:after="0" w:line="1"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UBS Global Asset Management Trust Company, UBS Global Asset Management International Limited, UBS Global Asset Management (Canada) Co., UBS International, Inc., UBS Global Asset Management (Australia) Ltd., UBS Global</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Asset Management (Hong Kong) Limited, UBS (Trust &amp; Banking)</w:t>
      </w:r>
    </w:p>
    <w:p>
      <w:pPr>
        <w:spacing w:after="0" w:line="4" w:lineRule="exact"/>
        <w:rPr>
          <w:sz w:val="20"/>
          <w:szCs w:val="20"/>
          <w:color w:val="auto"/>
        </w:rPr>
      </w:pPr>
    </w:p>
    <w:p>
      <w:pPr>
        <w:ind w:right="4939"/>
        <w:spacing w:after="0" w:line="268" w:lineRule="auto"/>
        <w:rPr>
          <w:sz w:val="20"/>
          <w:szCs w:val="20"/>
          <w:color w:val="auto"/>
        </w:rPr>
      </w:pPr>
      <w:r>
        <w:rPr>
          <w:rFonts w:ascii="Courier New" w:cs="Courier New" w:eastAsia="Courier New" w:hAnsi="Courier New"/>
          <w:sz w:val="16"/>
          <w:szCs w:val="16"/>
          <w:color w:val="auto"/>
        </w:rPr>
        <w:t>Limited, UBS Global Asset Management (Japan) Ltd., UBS Global Asset Management (Singapore) Ltd., UBS Global Asset Management (Taiwan) Ltd., UBS Global</w:t>
      </w:r>
    </w:p>
    <w:p>
      <w:pPr>
        <w:spacing w:after="0" w:line="1"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Asset Management (France) SA, UBS Global Asset Management (Deutschland) GmbH, UBS Global Asset Management (Italia) Sim Spa, UBS Espana S.A., UBS Global Asset Management (UK)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9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708062104</w:t>
      </w: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w:t>
      </w:r>
    </w:p>
    <w:p>
      <w:pPr>
        <w:spacing w:after="0" w:line="238" w:lineRule="auto"/>
        <w:rPr>
          <w:sz w:val="20"/>
          <w:szCs w:val="20"/>
          <w:color w:val="auto"/>
        </w:rPr>
      </w:pPr>
      <w:r>
        <w:rPr>
          <w:rFonts w:ascii="Courier New" w:cs="Courier New" w:eastAsia="Courier New" w:hAnsi="Courier New"/>
          <w:sz w:val="18"/>
          <w:szCs w:val="18"/>
          <w:color w:val="auto"/>
        </w:rPr>
        <w:t>Group: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Global AM is a wholly-owned subsidiary of UBS Americas</w:t>
      </w:r>
    </w:p>
    <w:p>
      <w:pPr>
        <w:spacing w:after="0"/>
        <w:tabs>
          <w:tab w:leader="none" w:pos="5460" w:val="left"/>
        </w:tabs>
        <w:rPr>
          <w:sz w:val="20"/>
          <w:szCs w:val="20"/>
          <w:color w:val="auto"/>
        </w:rPr>
      </w:pPr>
      <w:r>
        <w:rPr>
          <w:rFonts w:ascii="Courier New" w:cs="Courier New" w:eastAsia="Courier New" w:hAnsi="Courier New"/>
          <w:sz w:val="18"/>
          <w:szCs w:val="18"/>
          <w:color w:val="auto"/>
        </w:rPr>
        <w:t>Inc. which is a wholly-owned subsidiary of UBS AG.</w:t>
      </w:r>
      <w:r>
        <w:rPr>
          <w:sz w:val="20"/>
          <w:szCs w:val="20"/>
          <w:color w:val="auto"/>
        </w:rPr>
        <w:tab/>
      </w:r>
      <w:r>
        <w:rPr>
          <w:rFonts w:ascii="Courier New" w:cs="Courier New" w:eastAsia="Courier New" w:hAnsi="Courier New"/>
          <w:sz w:val="16"/>
          <w:szCs w:val="16"/>
          <w:color w:val="auto"/>
        </w:rPr>
        <w:t>UBS AG is</w:t>
      </w:r>
    </w:p>
    <w:p>
      <w:pPr>
        <w:spacing w:after="0"/>
        <w:rPr>
          <w:sz w:val="20"/>
          <w:szCs w:val="20"/>
          <w:color w:val="auto"/>
        </w:rPr>
      </w:pPr>
      <w:r>
        <w:rPr>
          <w:rFonts w:ascii="Courier New" w:cs="Courier New" w:eastAsia="Courier New" w:hAnsi="Courier New"/>
          <w:sz w:val="18"/>
          <w:szCs w:val="18"/>
          <w:color w:val="auto"/>
        </w:rPr>
        <w:t>reporting direct and indirect beneficial ownership of</w:t>
      </w:r>
    </w:p>
    <w:p>
      <w:pPr>
        <w:spacing w:after="0" w:line="237" w:lineRule="auto"/>
        <w:rPr>
          <w:sz w:val="20"/>
          <w:szCs w:val="20"/>
          <w:color w:val="auto"/>
        </w:rPr>
      </w:pPr>
      <w:r>
        <w:rPr>
          <w:rFonts w:ascii="Courier New" w:cs="Courier New" w:eastAsia="Courier New" w:hAnsi="Courier New"/>
          <w:sz w:val="18"/>
          <w:szCs w:val="18"/>
          <w:color w:val="auto"/>
        </w:rPr>
        <w:t>holdings. UBS Americas Inc. is reporting indirect beneficial</w:t>
      </w:r>
    </w:p>
    <w:p>
      <w:pPr>
        <w:spacing w:after="0" w:line="238" w:lineRule="auto"/>
        <w:rPr>
          <w:sz w:val="20"/>
          <w:szCs w:val="20"/>
          <w:color w:val="auto"/>
        </w:rPr>
      </w:pPr>
      <w:r>
        <w:rPr>
          <w:rFonts w:ascii="Courier New" w:cs="Courier New" w:eastAsia="Courier New" w:hAnsi="Courier New"/>
          <w:sz w:val="18"/>
          <w:szCs w:val="18"/>
          <w:color w:val="auto"/>
        </w:rPr>
        <w:t>ownership of holdings by reason of its ownership of UBS</w:t>
      </w:r>
    </w:p>
    <w:p>
      <w:pPr>
        <w:spacing w:after="0"/>
        <w:tabs>
          <w:tab w:leader="none" w:pos="1260" w:val="left"/>
        </w:tabs>
        <w:rPr>
          <w:sz w:val="20"/>
          <w:szCs w:val="20"/>
          <w:color w:val="auto"/>
        </w:rPr>
      </w:pPr>
      <w:r>
        <w:rPr>
          <w:rFonts w:ascii="Courier New" w:cs="Courier New" w:eastAsia="Courier New" w:hAnsi="Courier New"/>
          <w:sz w:val="18"/>
          <w:szCs w:val="18"/>
          <w:color w:val="auto"/>
        </w:rPr>
        <w:t>Global AM.</w:t>
      </w:r>
      <w:r>
        <w:rPr>
          <w:sz w:val="20"/>
          <w:szCs w:val="20"/>
          <w:color w:val="auto"/>
        </w:rPr>
        <w:tab/>
      </w:r>
      <w:r>
        <w:rPr>
          <w:rFonts w:ascii="Courier New" w:cs="Courier New" w:eastAsia="Courier New" w:hAnsi="Courier New"/>
          <w:sz w:val="16"/>
          <w:szCs w:val="16"/>
          <w:color w:val="auto"/>
        </w:rPr>
        <w:t>None of the reporting persons affirms the existence</w:t>
      </w:r>
    </w:p>
    <w:p>
      <w:pPr>
        <w:spacing w:after="0" w:line="237" w:lineRule="auto"/>
        <w:rPr>
          <w:sz w:val="20"/>
          <w:szCs w:val="20"/>
          <w:color w:val="auto"/>
        </w:rPr>
      </w:pPr>
      <w:r>
        <w:rPr>
          <w:rFonts w:ascii="Courier New" w:cs="Courier New" w:eastAsia="Courier New" w:hAnsi="Courier New"/>
          <w:sz w:val="18"/>
          <w:szCs w:val="18"/>
          <w:color w:val="auto"/>
        </w:rPr>
        <w:t>of a group within the meaning of Rule 13d-5(b)1).</w:t>
      </w:r>
    </w:p>
    <w:p>
      <w:pPr>
        <w:ind w:left="220" w:hanging="212"/>
        <w:spacing w:after="0"/>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5, 2007</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AG</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Madsen</w:t>
      </w:r>
    </w:p>
    <w:p>
      <w:pPr>
        <w:ind w:left="3160"/>
        <w:spacing w:after="0" w:line="238" w:lineRule="auto"/>
        <w:rPr>
          <w:sz w:val="20"/>
          <w:szCs w:val="20"/>
          <w:color w:val="auto"/>
        </w:rPr>
      </w:pPr>
      <w:r>
        <w:rPr>
          <w:rFonts w:ascii="Courier New" w:cs="Courier New" w:eastAsia="Courier New" w:hAnsi="Courier New"/>
          <w:sz w:val="18"/>
          <w:szCs w:val="18"/>
          <w:color w:val="auto"/>
        </w:rPr>
        <w:t>Thomas Madsen, Member GMB</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Kai Sotorp</w:t>
      </w:r>
    </w:p>
    <w:p>
      <w:pPr>
        <w:ind w:left="3160"/>
        <w:spacing w:after="0" w:line="238" w:lineRule="auto"/>
        <w:rPr>
          <w:sz w:val="20"/>
          <w:szCs w:val="20"/>
          <w:color w:val="auto"/>
        </w:rPr>
      </w:pPr>
      <w:r>
        <w:rPr>
          <w:rFonts w:ascii="Courier New" w:cs="Courier New" w:eastAsia="Courier New" w:hAnsi="Courier New"/>
          <w:sz w:val="18"/>
          <w:szCs w:val="18"/>
          <w:color w:val="auto"/>
        </w:rPr>
        <w:t>Kai Sotorp, Member GMB</w:t>
      </w:r>
    </w:p>
    <w:p>
      <w:pPr>
        <w:spacing w:after="0"/>
        <w:rPr>
          <w:sz w:val="20"/>
          <w:szCs w:val="20"/>
          <w:color w:val="auto"/>
        </w:rPr>
      </w:pPr>
      <w:r>
        <w:rPr>
          <w:rFonts w:ascii="Courier New" w:cs="Courier New" w:eastAsia="Courier New" w:hAnsi="Courier New"/>
          <w:sz w:val="18"/>
          <w:szCs w:val="18"/>
          <w:color w:val="auto"/>
        </w:rPr>
        <w:t>Page 7 of 9 pages</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Cusip 708062104</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Americas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Madsen</w:t>
      </w:r>
    </w:p>
    <w:p>
      <w:pPr>
        <w:ind w:left="3160"/>
        <w:spacing w:after="0" w:line="238" w:lineRule="auto"/>
        <w:rPr>
          <w:sz w:val="20"/>
          <w:szCs w:val="20"/>
          <w:color w:val="auto"/>
        </w:rPr>
      </w:pPr>
      <w:r>
        <w:rPr>
          <w:rFonts w:ascii="Courier New" w:cs="Courier New" w:eastAsia="Courier New" w:hAnsi="Courier New"/>
          <w:sz w:val="18"/>
          <w:szCs w:val="18"/>
          <w:color w:val="auto"/>
        </w:rPr>
        <w:t>Thomas Madsen, Member GMB</w:t>
      </w:r>
    </w:p>
    <w:p>
      <w:pPr>
        <w:sectPr>
          <w:pgSz w:w="11900" w:h="16838" w:orient="portrait"/>
          <w:cols w:equalWidth="0" w:num="1">
            <w:col w:w="10219"/>
          </w:cols>
          <w:pgMar w:left="240" w:top="136" w:right="1440" w:bottom="0" w:gutter="0" w:footer="0" w:header="0"/>
        </w:sectPr>
      </w:pPr>
    </w:p>
    <w:bookmarkStart w:id="5" w:name="page6"/>
    <w:bookmarkEnd w:id="5"/>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Kai Sotorp</w:t>
      </w:r>
    </w:p>
    <w:p>
      <w:pPr>
        <w:ind w:left="3160"/>
        <w:spacing w:after="0" w:line="238" w:lineRule="auto"/>
        <w:rPr>
          <w:sz w:val="20"/>
          <w:szCs w:val="20"/>
          <w:color w:val="auto"/>
        </w:rPr>
      </w:pPr>
      <w:r>
        <w:rPr>
          <w:rFonts w:ascii="Courier New" w:cs="Courier New" w:eastAsia="Courier New" w:hAnsi="Courier New"/>
          <w:sz w:val="18"/>
          <w:szCs w:val="18"/>
          <w:color w:val="auto"/>
        </w:rPr>
        <w:t>Kai Sotorp, Member GMB</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Global Asset Management</w:t>
      </w:r>
    </w:p>
    <w:p>
      <w:pPr>
        <w:ind w:left="3160"/>
        <w:spacing w:after="0" w:line="238" w:lineRule="auto"/>
        <w:rPr>
          <w:sz w:val="20"/>
          <w:szCs w:val="20"/>
          <w:color w:val="auto"/>
        </w:rPr>
      </w:pPr>
      <w:r>
        <w:rPr>
          <w:rFonts w:ascii="Courier New" w:cs="Courier New" w:eastAsia="Courier New" w:hAnsi="Courier New"/>
          <w:sz w:val="18"/>
          <w:szCs w:val="18"/>
          <w:color w:val="auto"/>
        </w:rPr>
        <w:t>(Americas)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/s/Mark F. Kemper</w:t>
      </w:r>
    </w:p>
    <w:p>
      <w:pPr>
        <w:ind w:left="3160"/>
        <w:spacing w:after="0" w:line="238" w:lineRule="auto"/>
        <w:rPr>
          <w:sz w:val="20"/>
          <w:szCs w:val="20"/>
          <w:color w:val="auto"/>
        </w:rPr>
      </w:pPr>
      <w:r>
        <w:rPr>
          <w:rFonts w:ascii="Courier New" w:cs="Courier New" w:eastAsia="Courier New" w:hAnsi="Courier New"/>
          <w:sz w:val="18"/>
          <w:szCs w:val="18"/>
          <w:color w:val="auto"/>
        </w:rPr>
        <w:t>Mark F. Kemper</w:t>
      </w:r>
    </w:p>
    <w:p>
      <w:pPr>
        <w:ind w:left="3160"/>
        <w:spacing w:after="0"/>
        <w:rPr>
          <w:sz w:val="20"/>
          <w:szCs w:val="20"/>
          <w:color w:val="auto"/>
        </w:rPr>
      </w:pPr>
      <w:r>
        <w:rPr>
          <w:rFonts w:ascii="Courier New" w:cs="Courier New" w:eastAsia="Courier New" w:hAnsi="Courier New"/>
          <w:sz w:val="18"/>
          <w:szCs w:val="18"/>
          <w:color w:val="auto"/>
        </w:rPr>
        <w:t>Executive Director</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/s/Michael J. Calhoun</w:t>
      </w:r>
    </w:p>
    <w:p>
      <w:pPr>
        <w:ind w:left="3160"/>
        <w:spacing w:after="0" w:line="238" w:lineRule="auto"/>
        <w:rPr>
          <w:sz w:val="20"/>
          <w:szCs w:val="20"/>
          <w:color w:val="auto"/>
        </w:rPr>
      </w:pPr>
      <w:r>
        <w:rPr>
          <w:rFonts w:ascii="Courier New" w:cs="Courier New" w:eastAsia="Courier New" w:hAnsi="Courier New"/>
          <w:sz w:val="18"/>
          <w:szCs w:val="18"/>
          <w:color w:val="auto"/>
        </w:rPr>
        <w:t>Michael J. Calhoun</w:t>
      </w:r>
    </w:p>
    <w:p>
      <w:pPr>
        <w:ind w:left="3160"/>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 of 9 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708062104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AGREEMENT TO MAKE A JOINT FILING</w:t>
      </w:r>
    </w:p>
    <w:p>
      <w:pPr>
        <w:spacing w:after="0" w:line="207"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UBS AG, UBS Americas Inc., and UBS Global Asset Management (Americas) Inc. each agrees that this Schedule 13G (including all amendments hereto) is filed by and on behalf of each such party.</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5, 2007</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AG</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Madsen</w:t>
      </w:r>
    </w:p>
    <w:p>
      <w:pPr>
        <w:ind w:left="3160"/>
        <w:spacing w:after="0" w:line="238" w:lineRule="auto"/>
        <w:rPr>
          <w:sz w:val="20"/>
          <w:szCs w:val="20"/>
          <w:color w:val="auto"/>
        </w:rPr>
      </w:pPr>
      <w:r>
        <w:rPr>
          <w:rFonts w:ascii="Courier New" w:cs="Courier New" w:eastAsia="Courier New" w:hAnsi="Courier New"/>
          <w:sz w:val="18"/>
          <w:szCs w:val="18"/>
          <w:color w:val="auto"/>
        </w:rPr>
        <w:t>Thomas Madsen, Member GMB</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Kai Sotorp</w:t>
      </w:r>
    </w:p>
    <w:p>
      <w:pPr>
        <w:ind w:left="3160"/>
        <w:spacing w:after="0" w:line="238" w:lineRule="auto"/>
        <w:rPr>
          <w:sz w:val="20"/>
          <w:szCs w:val="20"/>
          <w:color w:val="auto"/>
        </w:rPr>
      </w:pPr>
      <w:r>
        <w:rPr>
          <w:rFonts w:ascii="Courier New" w:cs="Courier New" w:eastAsia="Courier New" w:hAnsi="Courier New"/>
          <w:sz w:val="18"/>
          <w:szCs w:val="18"/>
          <w:color w:val="auto"/>
        </w:rPr>
        <w:t>Kai Sotorp, Member GMB</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Americas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Madsen</w:t>
      </w:r>
    </w:p>
    <w:p>
      <w:pPr>
        <w:ind w:left="3160"/>
        <w:spacing w:after="0" w:line="238" w:lineRule="auto"/>
        <w:rPr>
          <w:sz w:val="20"/>
          <w:szCs w:val="20"/>
          <w:color w:val="auto"/>
        </w:rPr>
      </w:pPr>
      <w:r>
        <w:rPr>
          <w:rFonts w:ascii="Courier New" w:cs="Courier New" w:eastAsia="Courier New" w:hAnsi="Courier New"/>
          <w:sz w:val="18"/>
          <w:szCs w:val="18"/>
          <w:color w:val="auto"/>
        </w:rPr>
        <w:t>Thomas Madsen, Member GMB</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Kai Sotorp</w:t>
      </w:r>
    </w:p>
    <w:p>
      <w:pPr>
        <w:ind w:left="3160"/>
        <w:spacing w:after="0" w:line="238" w:lineRule="auto"/>
        <w:rPr>
          <w:sz w:val="20"/>
          <w:szCs w:val="20"/>
          <w:color w:val="auto"/>
        </w:rPr>
      </w:pPr>
      <w:r>
        <w:rPr>
          <w:rFonts w:ascii="Courier New" w:cs="Courier New" w:eastAsia="Courier New" w:hAnsi="Courier New"/>
          <w:sz w:val="18"/>
          <w:szCs w:val="18"/>
          <w:color w:val="auto"/>
        </w:rPr>
        <w:t>Kai Sotorp, Member GMB</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Global Asset Management</w:t>
      </w:r>
    </w:p>
    <w:p>
      <w:pPr>
        <w:ind w:left="3160"/>
        <w:spacing w:after="0" w:line="238" w:lineRule="auto"/>
        <w:rPr>
          <w:sz w:val="20"/>
          <w:szCs w:val="20"/>
          <w:color w:val="auto"/>
        </w:rPr>
      </w:pPr>
      <w:r>
        <w:rPr>
          <w:rFonts w:ascii="Courier New" w:cs="Courier New" w:eastAsia="Courier New" w:hAnsi="Courier New"/>
          <w:sz w:val="18"/>
          <w:szCs w:val="18"/>
          <w:color w:val="auto"/>
        </w:rPr>
        <w:t>(Americas)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/s/Mark F. Kemper</w:t>
      </w:r>
    </w:p>
    <w:p>
      <w:pPr>
        <w:ind w:left="3160"/>
        <w:spacing w:after="0" w:line="238" w:lineRule="auto"/>
        <w:rPr>
          <w:sz w:val="20"/>
          <w:szCs w:val="20"/>
          <w:color w:val="auto"/>
        </w:rPr>
      </w:pPr>
      <w:r>
        <w:rPr>
          <w:rFonts w:ascii="Courier New" w:cs="Courier New" w:eastAsia="Courier New" w:hAnsi="Courier New"/>
          <w:sz w:val="18"/>
          <w:szCs w:val="18"/>
          <w:color w:val="auto"/>
        </w:rPr>
        <w:t>Mark F. Kemper</w:t>
      </w:r>
    </w:p>
    <w:p>
      <w:pPr>
        <w:ind w:left="3160"/>
        <w:spacing w:after="0"/>
        <w:rPr>
          <w:sz w:val="20"/>
          <w:szCs w:val="20"/>
          <w:color w:val="auto"/>
        </w:rPr>
      </w:pPr>
      <w:r>
        <w:rPr>
          <w:rFonts w:ascii="Courier New" w:cs="Courier New" w:eastAsia="Courier New" w:hAnsi="Courier New"/>
          <w:sz w:val="18"/>
          <w:szCs w:val="18"/>
          <w:color w:val="auto"/>
        </w:rPr>
        <w:t>Executive Director</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/s/Michael J. Calhoun</w:t>
      </w:r>
    </w:p>
    <w:p>
      <w:pPr>
        <w:ind w:left="3160"/>
        <w:spacing w:after="0" w:line="238" w:lineRule="auto"/>
        <w:rPr>
          <w:sz w:val="20"/>
          <w:szCs w:val="20"/>
          <w:color w:val="auto"/>
        </w:rPr>
      </w:pPr>
      <w:r>
        <w:rPr>
          <w:rFonts w:ascii="Courier New" w:cs="Courier New" w:eastAsia="Courier New" w:hAnsi="Courier New"/>
          <w:sz w:val="18"/>
          <w:szCs w:val="18"/>
          <w:color w:val="auto"/>
        </w:rPr>
        <w:t>Michael J. Calhoun</w:t>
      </w:r>
    </w:p>
    <w:p>
      <w:pPr>
        <w:ind w:left="3160"/>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 of 9 pages</w:t>
      </w:r>
    </w:p>
    <w:sectPr>
      <w:pgSz w:w="11900" w:h="16838" w:orient="portrait"/>
      <w:cols w:equalWidth="0" w:num="1">
        <w:col w:w="10219"/>
      </w:cols>
      <w:pgMar w:left="240" w:top="541" w:right="1440" w:bottom="5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a"/>
      <w:numFmt w:val="bullet"/>
      <w:start w:val="1"/>
    </w:lvl>
  </w:abstractNum>
  <w:abstractNum w:abstractNumId="4">
    <w:nsid w:val="6B68079A"/>
    <w:multiLevelType w:val="hybridMultilevel"/>
    <w:lvl w:ilvl="0">
      <w:lvlJc w:val="left"/>
      <w:lvlText w:val="b"/>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a"/>
      <w:numFmt w:val="bullet"/>
      <w:start w:val="1"/>
    </w:lvl>
  </w:abstractNum>
  <w:abstractNum w:abstractNumId="11">
    <w:nsid w:val="257130A3"/>
    <w:multiLevelType w:val="hybridMultilevel"/>
    <w:lvl w:ilvl="0">
      <w:lvlJc w:val="left"/>
      <w:lvlText w:val="b"/>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2019-12-15T14:33:57Z</dcterms:created>
  <dcterms:modified xsi:type="dcterms:W3CDTF">2019-12-15T14:33:57Z</dcterms:modified>
</cp:coreProperties>
</file>