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230" w:right="239" w:bottom="1440" w:gutter="0" w:footer="0" w:header="0"/>
        </w:sectPr>
      </w:pP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Filed pursuant to Rule 497</w:t>
      </w:r>
    </w:p>
    <w:p>
      <w:pPr>
        <w:spacing w:after="0" w:line="5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No. 333-192782</w:t>
      </w:r>
    </w:p>
    <w:p>
      <w:pPr>
        <w:spacing w:after="0" w:line="113" w:lineRule="exact"/>
        <w:rPr>
          <w:sz w:val="24"/>
          <w:szCs w:val="24"/>
          <w:color w:val="auto"/>
        </w:rPr>
      </w:pPr>
    </w:p>
    <w:p>
      <w:pPr>
        <w:sectPr>
          <w:pgSz w:w="11900" w:h="16838" w:orient="portrait"/>
          <w:cols w:equalWidth="0" w:num="2">
            <w:col w:w="8580" w:space="720"/>
            <w:col w:w="21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4"/>
          <w:szCs w:val="24"/>
          <w:color w:val="auto"/>
        </w:rPr>
      </w:pPr>
    </w:p>
    <w:p>
      <w:pPr>
        <w:ind w:right="40" w:firstLine="57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4"/>
          <w:szCs w:val="24"/>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companies in the form of senior secured loans, mezzanine debt and equity investments. We can offer no assurances that we will achieve our investment objectives.</w:t>
      </w:r>
    </w:p>
    <w:p>
      <w:pPr>
        <w:spacing w:after="0" w:line="59" w:lineRule="exact"/>
        <w:rPr>
          <w:sz w:val="24"/>
          <w:szCs w:val="24"/>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4"/>
          <w:szCs w:val="24"/>
          <w:color w:val="auto"/>
        </w:rPr>
      </w:pPr>
    </w:p>
    <w:p>
      <w:pPr>
        <w:ind w:right="2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48 of this prospectus for more information.</w:t>
      </w:r>
    </w:p>
    <w:p>
      <w:pPr>
        <w:spacing w:after="0" w:line="42" w:lineRule="exact"/>
        <w:rPr>
          <w:sz w:val="24"/>
          <w:szCs w:val="24"/>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January 9, 2015 was $9.42 per share, and our net asset value on September 30, 2014 was $11.03 per share. Our 6.25% senior notes due 2025, or the 2025 Notes, have been approved for quotation on the New York Stock Exchange, or NYSE, under the symbol “PNTA.” The last reported closing price of the 2025 Notes on January 9, 2015 was $26.03 per $25 of par.</w:t>
      </w:r>
    </w:p>
    <w:p>
      <w:pPr>
        <w:spacing w:after="0" w:line="62" w:lineRule="exact"/>
        <w:rPr>
          <w:sz w:val="24"/>
          <w:szCs w:val="24"/>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4"/>
          <w:szCs w:val="24"/>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4"/>
          <w:szCs w:val="24"/>
          <w:color w:val="auto"/>
        </w:rPr>
      </w:pPr>
    </w:p>
    <w:p>
      <w:pPr>
        <w:ind w:right="100" w:firstLine="57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Prospectus dated January 15,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2860" w:type="dxa"/>
            <w:vAlign w:val="bottom"/>
            <w:tcBorders>
              <w:top w:val="single" w:sz="8" w:color="0000EE"/>
            </w:tcBorders>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792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SELECTED FINANCIAL DATA</w:t>
              </w:r>
            </w:hyperlink>
          </w:p>
        </w:tc>
        <w:tc>
          <w:tcPr>
            <w:tcW w:w="840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8700" w:type="dxa"/>
            <w:vAlign w:val="bottom"/>
            <w:tcBorders>
              <w:top w:val="single" w:sz="8" w:color="0000EE"/>
            </w:tcBorders>
            <w:gridSpan w:val="3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29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36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454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13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DISTRIBUTIONS</w:t>
              </w:r>
            </w:hyperlink>
          </w:p>
        </w:tc>
        <w:tc>
          <w:tcPr>
            <w:tcW w:w="9440" w:type="dxa"/>
            <w:vAlign w:val="bottom"/>
            <w:gridSpan w:val="2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BUSINESS</w:t>
              </w:r>
            </w:hyperlink>
          </w:p>
        </w:tc>
        <w:tc>
          <w:tcPr>
            <w:tcW w:w="994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64"/>
        </w:trPr>
        <w:tc>
          <w:tcPr>
            <w:tcW w:w="3440" w:type="dxa"/>
            <w:vAlign w:val="bottom"/>
            <w:tcBorders>
              <w:top w:val="single" w:sz="8" w:color="0000EE"/>
            </w:tcBorders>
            <w:gridSpan w:val="2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7"/>
              </w:rPr>
            </w:pPr>
            <w:hyperlink w:anchor="page75">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64"/>
        </w:trPr>
        <w:tc>
          <w:tcPr>
            <w:tcW w:w="444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33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4"/>
              </w:rPr>
            </w:pPr>
            <w:hyperlink w:anchor="page88">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27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DIVIDEND REINVESTMENT PLAN</w:t>
              </w:r>
            </w:hyperlink>
          </w:p>
        </w:tc>
        <w:tc>
          <w:tcPr>
            <w:tcW w:w="802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32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DESCRIPTION OF OUR CAPITAL STOCK</w:t>
              </w:r>
            </w:hyperlink>
          </w:p>
        </w:tc>
        <w:tc>
          <w:tcPr>
            <w:tcW w:w="756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3480" w:type="dxa"/>
            <w:vAlign w:val="bottom"/>
            <w:tcBorders>
              <w:top w:val="single" w:sz="8" w:color="0000EE"/>
            </w:tcBorders>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24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DESCRIPTION OF OUR UNITS</w:t>
              </w:r>
            </w:hyperlink>
          </w:p>
        </w:tc>
        <w:tc>
          <w:tcPr>
            <w:tcW w:w="838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11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REGULATION</w:t>
              </w:r>
            </w:hyperlink>
          </w:p>
        </w:tc>
        <w:tc>
          <w:tcPr>
            <w:tcW w:w="9660" w:type="dxa"/>
            <w:vAlign w:val="bottom"/>
            <w:gridSpan w:val="3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64"/>
        </w:trPr>
        <w:tc>
          <w:tcPr>
            <w:tcW w:w="438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64"/>
        </w:trPr>
        <w:tc>
          <w:tcPr>
            <w:tcW w:w="47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17">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123">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2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4"/>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4680" w:type="dxa"/>
            <w:vAlign w:val="bottom"/>
            <w:tcBorders>
              <w:top w:val="single" w:sz="8" w:color="0000EE"/>
            </w:tcBorders>
            <w:gridSpan w:val="3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8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8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684645"/>
                    </a:xfrm>
                    <a:prstGeom prst="rect">
                      <a:avLst/>
                    </a:prstGeom>
                    <a:noFill/>
                  </pic:spPr>
                </pic:pic>
              </a:graphicData>
            </a:graphic>
          </wp:anchor>
        </w:drawing>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23" w:lineRule="exact"/>
        <w:rPr>
          <w:sz w:val="20"/>
          <w:szCs w:val="20"/>
          <w:color w:val="auto"/>
        </w:rPr>
      </w:pPr>
    </w:p>
    <w:p>
      <w:pPr>
        <w:ind w:left="320" w:right="20" w:firstLine="540"/>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“2019 Notes” refers to our 4.50% notes due 2019;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3" w:lineRule="exact"/>
        <w:rPr>
          <w:sz w:val="20"/>
          <w:szCs w:val="20"/>
          <w:color w:val="auto"/>
        </w:rPr>
      </w:pPr>
    </w:p>
    <w:p>
      <w:pPr>
        <w:ind w:left="320" w:right="260" w:firstLine="540"/>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31" w:lineRule="exact"/>
        <w:rPr>
          <w:sz w:val="20"/>
          <w:szCs w:val="20"/>
          <w:color w:val="auto"/>
        </w:rPr>
      </w:pPr>
    </w:p>
    <w:p>
      <w:pPr>
        <w:ind w:left="320" w:right="60" w:firstLine="540"/>
        <w:spacing w:after="0" w:line="287"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 regions.</w:t>
      </w:r>
    </w:p>
    <w:p>
      <w:pPr>
        <w:spacing w:after="0" w:line="69" w:lineRule="exact"/>
        <w:rPr>
          <w:sz w:val="20"/>
          <w:szCs w:val="20"/>
          <w:color w:val="auto"/>
        </w:rPr>
      </w:pPr>
    </w:p>
    <w:p>
      <w:pPr>
        <w:ind w:left="320" w:firstLine="540"/>
        <w:spacing w:after="0" w:line="294"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 Liquidity and Capital Resources.”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320" w:right="280" w:firstLine="540"/>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20" w:right="20" w:firstLine="540"/>
        <w:spacing w:after="0" w:line="255"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8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581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right="20" w:firstLine="55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20" w:lineRule="exact"/>
        <w:rPr>
          <w:sz w:val="20"/>
          <w:szCs w:val="20"/>
          <w:color w:val="auto"/>
        </w:rPr>
      </w:pPr>
    </w:p>
    <w:p>
      <w:pPr>
        <w:ind w:left="200" w:right="100" w:firstLine="55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60" w:firstLine="553"/>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220" w:firstLine="553"/>
        <w:spacing w:after="0" w:line="294"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25 years of experience in mezzanine lending, leveraged finance, distressed debt and private equity businesses,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80" w:firstLine="55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16" w:lineRule="exact"/>
        <w:rPr>
          <w:sz w:val="20"/>
          <w:szCs w:val="20"/>
          <w:color w:val="auto"/>
        </w:rPr>
      </w:pPr>
    </w:p>
    <w:p>
      <w:pPr>
        <w:ind w:left="200" w:firstLine="55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20" w:firstLine="553"/>
        <w:spacing w:after="0" w:line="291"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and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77" w:lineRule="exact"/>
        <w:rPr>
          <w:sz w:val="20"/>
          <w:szCs w:val="20"/>
          <w:color w:val="auto"/>
        </w:rPr>
      </w:pPr>
    </w:p>
    <w:p>
      <w:pPr>
        <w:ind w:left="200" w:firstLine="55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firstLine="553"/>
        <w:spacing w:after="0" w:line="254"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 See “Certain Relationships and Transactions— Administration Agreements” for more information.</w:t>
      </w:r>
    </w:p>
    <w:p>
      <w:pPr>
        <w:spacing w:after="0" w:line="144" w:lineRule="exact"/>
        <w:rPr>
          <w:sz w:val="20"/>
          <w:szCs w:val="20"/>
          <w:color w:val="auto"/>
        </w:rPr>
      </w:pPr>
    </w:p>
    <w:p>
      <w:pPr>
        <w:ind w:left="200" w:right="300" w:firstLine="55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ind w:left="200" w:right="160" w:firstLine="553"/>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40" w:firstLine="55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2014, the corresponding interest rate charged on such borrowings as of that date and the length of time that it may take us to invest any proceeds in new or existing portfolio companies.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20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220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720" w:firstLine="553"/>
        <w:spacing w:after="0" w:line="268" w:lineRule="auto"/>
        <w:rPr>
          <w:sz w:val="20"/>
          <w:szCs w:val="20"/>
          <w:color w:val="auto"/>
        </w:rPr>
      </w:pPr>
      <w:r>
        <w:rPr>
          <w:rFonts w:ascii="Arial" w:cs="Arial" w:eastAsia="Arial" w:hAnsi="Arial"/>
          <w:sz w:val="18"/>
          <w:szCs w:val="18"/>
          <w:color w:val="auto"/>
        </w:rPr>
        <w:t>For the years ended September 30, 2014, 2013, 2012, 2011 and 2010, our ratios of earnings to fixed charges were 5.5, 6.0, 5.4, 1.9 and 4.5, respectively. See “Ratio of Earnings to Fixed Charges”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200" w:firstLine="553"/>
        <w:spacing w:after="0" w:line="268"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140" w:firstLine="55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40" w:firstLine="55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86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348615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320" w:right="200" w:firstLine="540"/>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51" w:lineRule="exact"/>
        <w:rPr>
          <w:sz w:val="20"/>
          <w:szCs w:val="20"/>
          <w:color w:val="auto"/>
        </w:rPr>
      </w:pPr>
    </w:p>
    <w:p>
      <w:pPr>
        <w:ind w:left="320" w:firstLine="540"/>
        <w:spacing w:after="0" w:line="312" w:lineRule="auto"/>
        <w:rPr>
          <w:sz w:val="20"/>
          <w:szCs w:val="20"/>
          <w:color w:val="auto"/>
        </w:rPr>
      </w:pPr>
      <w:r>
        <w:rPr>
          <w:rFonts w:ascii="Arial" w:cs="Arial" w:eastAsia="Arial" w:hAnsi="Arial"/>
          <w:sz w:val="15"/>
          <w:szCs w:val="15"/>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24" w:lineRule="exact"/>
        <w:rPr>
          <w:sz w:val="20"/>
          <w:szCs w:val="20"/>
          <w:color w:val="auto"/>
        </w:rPr>
      </w:pPr>
    </w:p>
    <w:p>
      <w:pPr>
        <w:ind w:left="320" w:right="60" w:firstLine="540"/>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3.47%</w:t>
      </w:r>
      <w:r>
        <w:rPr>
          <w:rFonts w:ascii="Arial" w:cs="Arial" w:eastAsia="Arial" w:hAnsi="Arial"/>
          <w:sz w:val="10"/>
          <w:szCs w:val="10"/>
          <w:color w:val="auto"/>
        </w:rPr>
        <w:t>(4)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2.70%</w:t>
      </w:r>
      <w:r>
        <w:rPr>
          <w:rFonts w:ascii="Arial" w:cs="Arial" w:eastAsia="Arial" w:hAnsi="Arial"/>
          <w:sz w:val="10"/>
          <w:szCs w:val="10"/>
          <w:color w:val="auto"/>
        </w:rPr>
        <w:t>(5)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3.41%</w:t>
      </w:r>
      <w:r>
        <w:rPr>
          <w:rFonts w:ascii="Arial" w:cs="Arial" w:eastAsia="Arial" w:hAnsi="Arial"/>
          <w:sz w:val="10"/>
          <w:szCs w:val="10"/>
          <w:color w:val="auto"/>
        </w:rPr>
        <w:t>(6)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0.30%</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51435</wp:posOffset>
            </wp:positionV>
            <wp:extent cx="231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9.88%</w:t>
      </w:r>
      <w:r>
        <w:rPr>
          <w:rFonts w:ascii="Arial" w:cs="Arial" w:eastAsia="Arial" w:hAnsi="Arial"/>
          <w:sz w:val="10"/>
          <w:szCs w:val="10"/>
          <w:color w:val="auto"/>
        </w:rPr>
        <w:t>(8)</w:t>
      </w:r>
    </w:p>
    <w:p>
      <w:pPr>
        <w:spacing w:after="0" w:line="230" w:lineRule="exact"/>
        <w:rPr>
          <w:sz w:val="20"/>
          <w:szCs w:val="20"/>
          <w:color w:val="auto"/>
        </w:rPr>
      </w:pPr>
    </w:p>
    <w:p>
      <w:pPr>
        <w:sectPr>
          <w:pgSz w:w="11900" w:h="16838" w:orient="portrait"/>
          <w:cols w:equalWidth="0" w:num="2">
            <w:col w:w="10100" w:space="720"/>
            <w:col w:w="600"/>
          </w:cols>
          <w:pgMar w:left="240" w:top="459" w:right="239" w:bottom="1440" w:gutter="0" w:footer="0" w:header="0"/>
          <w:type w:val="continuous"/>
        </w:sectPr>
      </w:pPr>
    </w:p>
    <w:p>
      <w:pPr>
        <w:spacing w:after="0" w:line="137"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2014.</w:t>
      </w:r>
    </w:p>
    <w:p>
      <w:pPr>
        <w:spacing w:after="0" w:line="68" w:lineRule="exact"/>
        <w:rPr>
          <w:rFonts w:ascii="Arial" w:cs="Arial" w:eastAsia="Arial" w:hAnsi="Arial"/>
          <w:sz w:val="14"/>
          <w:szCs w:val="14"/>
          <w:color w:val="auto"/>
        </w:rPr>
      </w:pPr>
    </w:p>
    <w:p>
      <w:pPr>
        <w:ind w:left="580" w:right="460" w:hanging="572"/>
        <w:spacing w:after="0" w:line="239"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September 30, 2014.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80" w:hanging="572"/>
        <w:spacing w:after="0" w:line="266"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194" w:lineRule="exact"/>
        <w:rPr>
          <w:rFonts w:ascii="Arial" w:cs="Arial" w:eastAsia="Arial" w:hAnsi="Arial"/>
          <w:sz w:val="12"/>
          <w:szCs w:val="12"/>
          <w:color w:val="auto"/>
        </w:rPr>
      </w:pPr>
    </w:p>
    <w:p>
      <w:pPr>
        <w:ind w:left="580" w:right="40" w:hanging="572"/>
        <w:spacing w:after="0" w:line="266"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As of September 30, 2014, we had $489.8 million of unused borrowing capacity, subject to maintenance of the applicable total assets to debt ratio, under the 1940 Act, and $55.2 million in borrowings outstanding under our $545.0 million Credit Facility, had $71.3 million in aggregate principal of 2025 Notes at an annual interest rate of 6.25% and had $250.0 million in aggregate principal of 2019 Notes at an annual interest rate of 4.50%. As of September 30, 2014, our SBIC Funds had debenture commitments from the SBA in the amount of $225.0 million, had $150.0 million outstanding with a weighted average interest rate of 3.70%, exclusive of the 3.43% of upfront fees, and had $75.0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5" w:lineRule="exact"/>
        <w:rPr>
          <w:rFonts w:ascii="Arial" w:cs="Arial" w:eastAsia="Arial" w:hAnsi="Arial"/>
          <w:sz w:val="12"/>
          <w:szCs w:val="12"/>
          <w:color w:val="auto"/>
        </w:rPr>
      </w:pPr>
    </w:p>
    <w:p>
      <w:pPr>
        <w:ind w:left="580" w:right="20" w:hanging="572"/>
        <w:spacing w:after="0" w:line="233"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580" w:hanging="572"/>
        <w:spacing w:after="0" w:line="278" w:lineRule="auto"/>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36 of this prospectus.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7.18%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You would pay the following expenses on a $1,000 common stock investment</w:t>
            </w:r>
          </w:p>
        </w:tc>
        <w:tc>
          <w:tcPr>
            <w:tcW w:w="4380" w:type="dxa"/>
            <w:vAlign w:val="bottom"/>
          </w:tcPr>
          <w:p>
            <w:pPr>
              <w:spacing w:after="0"/>
              <w:rPr>
                <w:sz w:val="15"/>
                <w:szCs w:val="15"/>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0"/>
              </w:rPr>
              <w:t>3 Years</w:t>
            </w:r>
          </w:p>
        </w:tc>
        <w:tc>
          <w:tcPr>
            <w:tcW w:w="1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10 Years</w:t>
            </w:r>
          </w:p>
        </w:tc>
      </w:tr>
      <w:tr>
        <w:trPr>
          <w:trHeight w:val="136"/>
        </w:trPr>
        <w:tc>
          <w:tcPr>
            <w:tcW w:w="90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104</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236</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363</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657</w:t>
            </w:r>
          </w:p>
        </w:tc>
        <w:tc>
          <w:tcPr>
            <w:tcW w:w="60" w:type="dxa"/>
            <w:vAlign w:val="bottom"/>
            <w:tcBorders>
              <w:top w:val="single" w:sz="8" w:color="CCEEFF"/>
            </w:tcBorders>
            <w:shd w:val="clear" w:color="auto" w:fill="CCEEFF"/>
          </w:tcPr>
          <w:p>
            <w:pPr>
              <w:spacing w:after="0"/>
              <w:rPr>
                <w:sz w:val="11"/>
                <w:szCs w:val="11"/>
                <w:color w:val="auto"/>
              </w:rPr>
            </w:pPr>
          </w:p>
        </w:tc>
      </w:tr>
      <w:tr>
        <w:trPr>
          <w:trHeight w:val="175"/>
        </w:trPr>
        <w:tc>
          <w:tcPr>
            <w:tcW w:w="908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113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261</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710</w:t>
            </w:r>
          </w:p>
        </w:tc>
        <w:tc>
          <w:tcPr>
            <w:tcW w:w="60" w:type="dxa"/>
            <w:vAlign w:val="bottom"/>
          </w:tcPr>
          <w:p>
            <w:pPr>
              <w:spacing w:after="0"/>
              <w:rPr>
                <w:sz w:val="15"/>
                <w:szCs w:val="15"/>
                <w:color w:val="auto"/>
              </w:rPr>
            </w:pPr>
          </w:p>
        </w:tc>
      </w:tr>
    </w:tbl>
    <w:p>
      <w:pPr>
        <w:spacing w:after="0" w:line="14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2019 Notes and 2025 Notes, or any securities we may issue, may decline, and you may lose all or part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59"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requirements, or asset coverage ratio,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18"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2019 Notes, the 2025 Notes and SBA debentures.</w:t>
      </w:r>
    </w:p>
    <w:p>
      <w:pPr>
        <w:spacing w:after="0" w:line="51"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addition to the applicable asset coverage ratio that restricts our ability to borrow under our Credit Facility, the Credit Facility and the indenture governing the 2019 Notes and 2025 Notes contain various covenants which, if not complied with, could accelerate repayment under the Credit Facility, 2019 Notes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21" w:lineRule="exact"/>
        <w:rPr>
          <w:sz w:val="20"/>
          <w:szCs w:val="20"/>
          <w:color w:val="auto"/>
        </w:rPr>
      </w:pPr>
    </w:p>
    <w:p>
      <w:pPr>
        <w:ind w:left="560" w:hanging="44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addition to the Credit Facility, we have issued the 2019 Notes and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1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the 2019 Notes and the 2025 Notes.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90"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58"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16"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OID income, could represent a higher credit risk than investments that must pay interest in full in cash on a regular basis.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2019 Notes and 2025 Notes.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the target of securities litigation.</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the trading price of our stock, 2019 Notes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4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9"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96"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thereby decreasing our net income. Also, an increase in interest rates available to investors could make an investment in our common stock less attractive if we are not able to increase our dividend rate, which could reduce the value of our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90"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20"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51"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may not replicate the historical performance of other investment companies and funds with which our investment professionals have been affiliated.</w:t>
      </w:r>
    </w:p>
    <w:p>
      <w:pPr>
        <w:spacing w:after="0" w:line="125" w:lineRule="exact"/>
        <w:rPr>
          <w:sz w:val="20"/>
          <w:szCs w:val="20"/>
          <w:color w:val="auto"/>
        </w:rPr>
      </w:pPr>
    </w:p>
    <w:p>
      <w:pPr>
        <w:ind w:right="220" w:firstLine="571"/>
        <w:spacing w:after="0" w:line="253"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investment professionals have been affiliated, and we caution that our investment returns could be substantially lower than the returns achieved by such other companies.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90"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an amount at least equal to the sum of (1) 98% of our net ordinary income (for the calendar year), (2) 98.2% of the sum of our net realized capital gains (during each 12-month period ending on October 31), and (3) the sum of any net ordinary income plus capital gains and net ordinary gains for preceding years that were not distributed during such years.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13"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Annual Distribution Requirement and obtaining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43"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firstLine="571"/>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However, we may retain certain net long-term capital gains and pay applicable income taxes with respect thereto and elect to treat as deemed distributions to our stockholders. As a BDC, we generally are required to meet an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1" w:lineRule="exact"/>
        <w:rPr>
          <w:sz w:val="20"/>
          <w:szCs w:val="20"/>
          <w:color w:val="auto"/>
        </w:rPr>
      </w:pPr>
    </w:p>
    <w:p>
      <w:pPr>
        <w:ind w:right="180" w:firstLine="571"/>
        <w:spacing w:after="0" w:line="323" w:lineRule="auto"/>
        <w:rPr>
          <w:sz w:val="20"/>
          <w:szCs w:val="20"/>
          <w:color w:val="auto"/>
        </w:rPr>
      </w:pPr>
      <w:r>
        <w:rPr>
          <w:rFonts w:ascii="Arial" w:cs="Arial" w:eastAsia="Arial" w:hAnsi="Arial"/>
          <w:sz w:val="15"/>
          <w:szCs w:val="15"/>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under the 1940 Act, exclusive of the SBA debentures pursuant to our SEC exemptive relief. Our ability to pay distributions or issue additional senior securities would be restricted if our asset coverage ratio was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6" w:lineRule="exact"/>
        <w:rPr>
          <w:sz w:val="20"/>
          <w:szCs w:val="20"/>
          <w:color w:val="auto"/>
        </w:rPr>
      </w:pPr>
    </w:p>
    <w:p>
      <w:pPr>
        <w:ind w:left="900" w:right="120" w:hanging="676"/>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including the 2019 Notes and 2025 Notes, we are exposed to typical risks associated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676"/>
        <w:spacing w:after="0" w:line="28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07" w:lineRule="exact"/>
        <w:rPr>
          <w:rFonts w:ascii="Arial" w:cs="Arial" w:eastAsia="Arial" w:hAnsi="Arial"/>
          <w:sz w:val="16"/>
          <w:szCs w:val="16"/>
          <w:color w:val="auto"/>
        </w:rPr>
      </w:pPr>
    </w:p>
    <w:p>
      <w:pPr>
        <w:ind w:left="900" w:hanging="676"/>
        <w:spacing w:after="0" w:line="28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7" w:lineRule="exact"/>
        <w:rPr>
          <w:rFonts w:ascii="Arial" w:cs="Arial" w:eastAsia="Arial" w:hAnsi="Arial"/>
          <w:sz w:val="16"/>
          <w:szCs w:val="16"/>
          <w:color w:val="auto"/>
        </w:rPr>
      </w:pPr>
    </w:p>
    <w:p>
      <w:pPr>
        <w:ind w:left="900" w:right="120" w:hanging="676"/>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89"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SBIC may borrow to a maximum of $150 million for any one SBIC, which is up to twice its regulatory capital, and a maximum of $225 million as part of a group of SBICs under common control.</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cash that we use to service our indebtedness is not available for distribution to our common stockholders.</w:t>
      </w:r>
    </w:p>
    <w:p>
      <w:pPr>
        <w:spacing w:after="0" w:line="8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current debt is governed by the terms of our 2019 Notes, 2025 Notes, Credit Facility and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1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We have indebtedness outstanding pursuant to our 2019 Notes,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94"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As of September 30, 2014, we had outstanding borrowings of $55.2 million under our Credit Facility, $250.0 million outstanding under our 2019 Notes, $71.3 million outstanding under our 2025 Notes and $150 million outstanding under the SBA debentures. Our consolidated debt outstanding was $526.5 million and had a weighted average annual interest rate at the time of 4.33% exclusive of the fee on undrawn commitment on our Credit Facility of 0.375% and 3.43% of upfront fees on the SBA debentures. Accordingly, to cover the annual interest on our borrowings outstanding at September 30, 2014, at the then current rate, we would have to receive an annual yield of at least 1.68%.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September 30, 2014 of 37% of total assets (including such borrowed funds), at a weighted average rate at the time of 4.33%,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2"/>
        </w:trPr>
        <w:tc>
          <w:tcPr>
            <w:tcW w:w="502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480" w:type="dxa"/>
            <w:vAlign w:val="bottom"/>
          </w:tcPr>
          <w:p>
            <w:pPr>
              <w:jc w:val="right"/>
              <w:ind w:right="212"/>
              <w:spacing w:after="0"/>
              <w:rPr>
                <w:sz w:val="20"/>
                <w:szCs w:val="20"/>
                <w:color w:val="auto"/>
              </w:rPr>
            </w:pPr>
            <w:r>
              <w:rPr>
                <w:rFonts w:ascii="Arial" w:cs="Arial" w:eastAsia="Arial" w:hAnsi="Arial"/>
                <w:sz w:val="18"/>
                <w:szCs w:val="18"/>
                <w:color w:val="auto"/>
              </w:rPr>
              <w:t>(19.8)%</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(11.3)%</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1"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03" w:lineRule="auto"/>
        <w:tabs>
          <w:tab w:leader="none" w:pos="220" w:val="left"/>
        </w:tabs>
        <w:numPr>
          <w:ilvl w:val="0"/>
          <w:numId w:val="5"/>
        </w:numPr>
        <w:rPr>
          <w:rFonts w:ascii="Arial" w:cs="Arial" w:eastAsia="Arial" w:hAnsi="Arial"/>
          <w:sz w:val="21"/>
          <w:szCs w:val="21"/>
          <w:color w:val="auto"/>
          <w:vertAlign w:val="superscript"/>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4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loss and the risks of investing in us.</w:t>
      </w:r>
    </w:p>
    <w:p>
      <w:pPr>
        <w:spacing w:after="0" w:line="5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8"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As a result of the issuance of the 2019 Notes,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07"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b w:val="1"/>
          <w:bCs w:val="1"/>
          <w:i w:val="1"/>
          <w:iCs w:val="1"/>
          <w:color w:val="auto"/>
        </w:rPr>
        <w:t>A downgrade, suspension or withdrawal of the credit rating assigned by a rating agency to us or the 2019 Notes and the 2025 Notes, if any, or change in the debt markets could cause the liquidity or market value of the 2019 Notes and 2025 Notes to decline significantly.</w:t>
      </w:r>
    </w:p>
    <w:p>
      <w:pPr>
        <w:spacing w:after="0" w:line="4"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2019 Notes and 2025 Notes. These credit ratings may not reflect the potential impact of risks relating to the structure or marketing of the 2019 Notes and 2025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2019 Notes and 2025 Notes of any changes in our credit ratings. The 2019 Notes are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Credit Facility expires in June 2019.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20"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b w:val="1"/>
          <w:bCs w:val="1"/>
          <w:i w:val="1"/>
          <w:iCs w:val="1"/>
          <w:color w:val="auto"/>
        </w:rPr>
        <w:t>If we issue preferred stock, other debt securities, convertible debt securities or units, the NAV and market value of our common stock may become more volatile.</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convertible debt or risk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18"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in the future issue other securities for which there is no public market and for which we expect no public market to develop.</w:t>
      </w:r>
    </w:p>
    <w:p>
      <w:pPr>
        <w:spacing w:after="0" w:line="113"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w:t>
      </w:r>
    </w:p>
    <w:p>
      <w:pPr>
        <w:spacing w:after="0" w:line="10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If we publicly issue debt or convertible debt securities, such as the 2025 Notes and 2019 Notes,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the following:</w:t>
      </w:r>
    </w:p>
    <w:p>
      <w:pPr>
        <w:spacing w:after="0" w:line="158"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44"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6"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2019 Notes and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2019 Notes and 2025 Notes. This will tend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9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w:t>
      </w:r>
    </w:p>
    <w:p>
      <w:pPr>
        <w:spacing w:after="0" w:line="1" w:lineRule="exact"/>
        <w:rPr>
          <w:sz w:val="20"/>
          <w:szCs w:val="20"/>
          <w:color w:val="auto"/>
        </w:rPr>
      </w:pPr>
    </w:p>
    <w:p>
      <w:pPr>
        <w:ind w:right="20" w:firstLine="8"/>
        <w:spacing w:after="0" w:line="292" w:lineRule="auto"/>
        <w:tabs>
          <w:tab w:leader="none" w:pos="35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90"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5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At September 30, 2014, all of our investments were recorded at fair value as approved in good faith by our board of directors. Our board of directors uses the services of one or more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or lower than the values that we ultimately realize upon the disposal of such investments.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4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80"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89"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rely in part on our over-the-counter securities, which have and may continue to face liquidity constraints under recent market conditions, to provide us with adequate liquidity.</w:t>
      </w:r>
    </w:p>
    <w:p>
      <w:pPr>
        <w:spacing w:after="0" w:line="51"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81" w:lineRule="exact"/>
        <w:rPr>
          <w:sz w:val="20"/>
          <w:szCs w:val="20"/>
          <w:color w:val="auto"/>
        </w:rPr>
      </w:pPr>
    </w:p>
    <w:p>
      <w:pPr>
        <w:ind w:left="580" w:hanging="572"/>
        <w:spacing w:after="0" w:line="28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rFonts w:ascii="Arial" w:cs="Arial" w:eastAsia="Arial" w:hAnsi="Arial"/>
          <w:sz w:val="16"/>
          <w:szCs w:val="16"/>
          <w:color w:val="auto"/>
        </w:rPr>
      </w:pPr>
    </w:p>
    <w:p>
      <w:pPr>
        <w:ind w:left="580" w:right="40" w:hanging="572"/>
        <w:spacing w:after="0" w:line="290"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 subordinated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4" w:lineRule="exact"/>
        <w:rPr>
          <w:rFonts w:ascii="Arial" w:cs="Arial" w:eastAsia="Arial" w:hAnsi="Arial"/>
          <w:sz w:val="16"/>
          <w:szCs w:val="16"/>
          <w:color w:val="auto"/>
        </w:rPr>
      </w:pPr>
    </w:p>
    <w:p>
      <w:pPr>
        <w:ind w:left="580" w:right="40" w:hanging="572"/>
        <w:spacing w:after="0" w:line="291"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all of which are subordinated to debt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when we invest in senior secured loans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jc w:val="both"/>
        <w:ind w:left="900" w:right="1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publicly-available information, narrower product lines and smaller market shares than larger businesses, which tend to render them more vulnerable to competitors’ actions and changing market conditions, as well as general economic downturns;</w:t>
      </w:r>
    </w:p>
    <w:p>
      <w:pPr>
        <w:spacing w:after="0" w:line="126"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ind w:right="140" w:firstLine="228"/>
        <w:spacing w:after="0" w:line="357" w:lineRule="auto"/>
        <w:rPr>
          <w:sz w:val="20"/>
          <w:szCs w:val="20"/>
          <w:color w:val="auto"/>
        </w:rPr>
      </w:pPr>
      <w:r>
        <w:rPr>
          <w:rFonts w:ascii="Arial" w:cs="Arial" w:eastAsia="Arial" w:hAnsi="Arial"/>
          <w:sz w:val="15"/>
          <w:szCs w:val="15"/>
          <w:b w:val="1"/>
          <w:bCs w:val="1"/>
          <w:i w:val="1"/>
          <w:i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571"/>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status.</w:t>
      </w:r>
    </w:p>
    <w:p>
      <w:pPr>
        <w:spacing w:after="0" w:line="144"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16"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our Investment Adviser incentive compensation for a fiscal quarter even if there is a decline in the value of our portfolio or we incur a net loss for that quarter.</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6"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91"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Our shares closed on the NASDAQ Global Select Market at $10.91 and $11.28 on September 30, 2014 and 2013, respectively. Our NAV per share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$11.03 and $10.49 for the same periods. The possibility that our shares of common stock will trade at a discount from NAV or at a premium that is unsustainable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is separate and distinct from the risk that our NAV will decrease. It is not possible to predict whether our shares will trade at, above or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in the future.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660" w:right="1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58" w:lineRule="exact"/>
        <w:rPr>
          <w:sz w:val="20"/>
          <w:szCs w:val="20"/>
          <w:color w:val="auto"/>
        </w:rPr>
      </w:pPr>
    </w:p>
    <w:p>
      <w:pPr>
        <w:ind w:left="6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118"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480" w:firstLine="571"/>
        <w:spacing w:after="0" w:line="298" w:lineRule="auto"/>
        <w:rPr>
          <w:sz w:val="20"/>
          <w:szCs w:val="20"/>
          <w:color w:val="auto"/>
        </w:rPr>
      </w:pPr>
      <w:r>
        <w:rPr>
          <w:rFonts w:ascii="Arial" w:cs="Arial" w:eastAsia="Arial" w:hAnsi="Arial"/>
          <w:sz w:val="16"/>
          <w:szCs w:val="16"/>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as amended, or the Sarbanes-Oxley Act, and other rules implemented by the SEC and the listing standards of the NASDAQ Stock Market LLC and NYSE.</w:t>
      </w:r>
    </w:p>
    <w:p>
      <w:pPr>
        <w:spacing w:after="0" w:line="113"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3"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9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b w:val="1"/>
          <w:bCs w:val="1"/>
          <w:i w:val="1"/>
          <w:iCs w:val="1"/>
          <w:color w:val="auto"/>
        </w:rPr>
        <w:t>The 2019 Notes and 2025 Notes are unsecured and therefore are effectively subordinated to any secured indebtedness we have currently incurred or may incur in the future.</w:t>
      </w:r>
    </w:p>
    <w:p>
      <w:pPr>
        <w:spacing w:after="0" w:line="51"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2019 Notes and 2025 Notes are not secured by any of our assets or any of the assets of our subsidiaries. As a result, the 2019 Notes and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Effective subordination means that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2019 Notes and 2025 Notes. As of September 30, 2014, we had $55.2 million outstanding under the Credit Facility. The Credit Facility is secured by substantially all of the assets in our portfolio (other than assets held by our SBIC Funds), and the indebtedness under the Credit Facility is therefore effectively senior in right of payment to the 2019 Notes and 2025 Notes to the extent of the value of such assets.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2019 Notes and 2025 Notes are structurally subordinated to the indebtedness and other liabilities of our subsidiaries.</w:t>
      </w:r>
    </w:p>
    <w:p>
      <w:pPr>
        <w:spacing w:after="0" w:line="90"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The 2019 Notes and 2025 Notes are obligations exclusively of PennantPark Investment Corporation and not of any of our subsidiaries. None of our subsidiaries are or act as guarantors of the 2019 Notes and 2025 Notes and neither the 2019 Notes nor the 2025 Notes is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2019 Notes and 2025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2019 Notes and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2019 Notes and 2025 Notes are structurally subordinated to all indebtedness and other liabilities (including trade payables) of our subsidiaries and any subsidiaries that we may in the future acquire or establish as financing vehicles or otherwise. As of September 30, 2014, SBIC LP had $150 million of SBA debentures outstanding. All of such indebtedness is structurally senior to the 2019 Notes and 2025 Notes. In addition, our subsidiaries may incur substantial additional indebtedness in the future, all of which would be structurally senior to the 2019 Notes and 2025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2019 Notes and 2025 Notes were issued contains limited protection for their respective holders.</w:t>
      </w:r>
    </w:p>
    <w:p>
      <w:pPr>
        <w:spacing w:after="0" w:line="90"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The indenture under which the 2019 Notes and 2025 Notes were issued offers limited protection to their respective holders. The terms of the indenture and the 2019 Notes and 2025 Notes do not restrict our or any of our subsidiaries’ ability to engage in, or otherwise be a party to, a variety of corporate transactions, circumstances or events that could have an adverse impact on an investment in the 2019 Notes and 2025 Notes. In particular, the terms of the indentures and the 2019 Notes and 2025 Notes do not place any restrictions on our or our subsidiaries’ ability to:</w:t>
      </w:r>
    </w:p>
    <w:p>
      <w:pPr>
        <w:spacing w:after="0" w:line="99" w:lineRule="exact"/>
        <w:rPr>
          <w:sz w:val="20"/>
          <w:szCs w:val="20"/>
          <w:color w:val="auto"/>
        </w:rPr>
      </w:pPr>
    </w:p>
    <w:p>
      <w:pPr>
        <w:ind w:left="900" w:right="120" w:hanging="325"/>
        <w:spacing w:after="0" w:line="301"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issue securities or otherwise incur additional indebtedness or other obligations, including (1) any indebtedness or other obligations that would be equal in right of payment to the 2019 Notes and 2025 Notes, (2) any indebtedness or other obligations that would be secured and therefore rank effectively senior in right of payment to the 2019 Notes and 2025 Notes to the extent of the values of the assets securing such debt, (3) indebtedness of ours that is guaranteed by one or more of our subsidiaries and which therefore would rank structurally senior to the 2019 Notes and 2025 Notes and (4) securities, indebtedness or other obligations issued or incurred by our subsidiaries that would be senior in right of payment to our equity interests in our subsidiaries and therefore would rank structurally senior in right of payment to the 2019 Notes and 2025 Notes with respect to the assets of our subsidiaries, in each case other than an incurrence of indebtedness or other obligation that would cause a violation of Section 18(a)(1)</w:t>
      </w:r>
    </w:p>
    <w:p>
      <w:pPr>
        <w:spacing w:after="0" w:line="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(A) as modified by Section 61(a)(1) of the 1940 Act or any successor provisions;</w:t>
      </w:r>
    </w:p>
    <w:p>
      <w:pPr>
        <w:spacing w:after="0" w:line="151" w:lineRule="exact"/>
        <w:rPr>
          <w:rFonts w:ascii="Arial" w:cs="Arial" w:eastAsia="Arial" w:hAnsi="Arial"/>
          <w:sz w:val="15"/>
          <w:szCs w:val="15"/>
          <w:color w:val="auto"/>
        </w:rPr>
      </w:pPr>
    </w:p>
    <w:p>
      <w:pPr>
        <w:ind w:left="900" w:right="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2019 Notes and 2025 Notes;</w:t>
      </w:r>
    </w:p>
    <w:p>
      <w:pPr>
        <w:spacing w:after="0" w:line="11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144"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Furthermore, the terms of the indenture and supplemental indenture governing the 2019 Notes and 2025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89" w:lineRule="exact"/>
        <w:rPr>
          <w:sz w:val="20"/>
          <w:szCs w:val="20"/>
          <w:color w:val="auto"/>
        </w:rPr>
      </w:pPr>
    </w:p>
    <w:p>
      <w:pPr>
        <w:jc w:val="both"/>
        <w:ind w:right="24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2019 Notes and 2025 Notes may have important consequences for their holders, including making it more difficult for us to satisfy our obligations with respect to the 2019 Notes and 2025 Notes or negatively affecting their trading value.</w:t>
      </w:r>
    </w:p>
    <w:p>
      <w:pPr>
        <w:spacing w:after="0" w:line="8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Certain of our current debt instruments include more protections for their respective holders than the indenture and the 2019 Notes and 2025 Notes. In addition, other debt we issue or incur in the future could contain more protections for its holders than the indenture and the 2019 Notes and 2025 Notes, including additional covenants and events of default. The issuance or incurrence of any such debt with incremental protections could affect the market for and trading levels and prices of the 2019 Notes and 2025 Notes.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b w:val="1"/>
          <w:bCs w:val="1"/>
          <w:i w:val="1"/>
          <w:iCs w:val="1"/>
          <w:color w:val="auto"/>
        </w:rPr>
        <w:t>An active trading market for the 2019 Notes and 2025 Notes may not develop, which could limit their market price or the ability of their respective holders to sell them. If a rating agency assigns the 2019 Notes and 2025 Notes a non-investment grade rating, they may be subject to greater price volatility than similar securities without such a rating.</w:t>
      </w:r>
    </w:p>
    <w:p>
      <w:pPr>
        <w:spacing w:after="0" w:line="5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do not intend to list the 2019 Notes on any securities exchange or for quotation on any automated dealer quotation system. We have listed the 2025 Notes on the NYSE. However, we cannot provide any assurances that an active trading market will develop for the 2019 Notes and 2025 Notes or that their holders will be able to sell them. The 2019 Notes and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2019 Notes and 2025 Notes a non-investment grade rating, they may be subject to greater price volatility than securities of similar maturity without such a non-investment grade rating. We cannot assure holders of the 2019 Notes and 2025 Notes that a liquid trading market will develop for them, that holders will be able to sell their 2019 Notes and 2025 Notes at a particular time or that the price holders receive upon such sale will be favorable. To the extent an active trading market does not develop, the liquidity and trading price for the 2019 Notes and 2025 Notes may be harmed. Accordingly, holders of the 2019 Notes and 2025 Notes may be required to bear the financial risk for an indefinite period of time.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default on our obligations to pay our other indebtedness, we may not be able to make payments on the 2019 Notes and 2025 Notes.</w:t>
      </w:r>
    </w:p>
    <w:p>
      <w:pPr>
        <w:spacing w:after="0" w:line="11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2019 Notes and 2025 Notes and substantially decrease their market value.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will have, customary cross-default provisions, if the indebtedness thereunder or under any future credit facility is accelerated, we may be unable to repay or finance the amounts due.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Payments made under the 2019 Notes and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2019 Notes and 2025 Notes, unless the foreign financial institution or non-financial foreign entity complies with certain information reporting, withholding, identification, certification and related requirements imposed by FATCA. Holders of the 2019 Notes and 2025 Notes should consult their own tax advisors regarding FATCA and how it may affect their investment in the 2019 Notes and 2025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171"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periodic reports that we in the future may file with the SEC, including annual and quarterly reports on Form 10-K/Q and current reports on Form 8-K.</w:t>
      </w:r>
    </w:p>
    <w:p>
      <w:pPr>
        <w:spacing w:after="0" w:line="143"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and/or the 2019 Notes, to invest in new or existing portfolio companies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2014, we had $489.8 million of unused borrowing capacity, subject to maintenance of the applicable total assets to debt ratio, as set forth in the 1940 Act, and $55.2 million in borrowings outstanding under our $545.0 million Credit Facility. Borrowings under our Credit Facility bear interest at an annual rate equal to the London Interbank Offered Rate, or LIBOR plus 225 basis points per annum. At September 30, 2014, the weighted average interest rate on the Credit Facility was 2.80%.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2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and/or the 2019 Notes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We have derived the other data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8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6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1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147,936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129,187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113,392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$ 91,738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$ 60,140</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76,608</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62,189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56,323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39,093</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28,065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57,069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32,075</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39,655</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24,780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6,284</w:t>
            </w:r>
          </w:p>
        </w:tc>
        <w:tc>
          <w:tcPr>
            <w:tcW w:w="24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(42,382)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16,535</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1,411,827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1,153,327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1,018,968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711,494</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investment portfolio</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1,318,055</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1,078,176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990,480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827,549</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664,724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294,452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233,641</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net asset value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828,010</w:t>
            </w: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697,506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669,717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462,657</w:t>
            </w:r>
          </w:p>
        </w:tc>
        <w:tc>
          <w:tcPr>
            <w:tcW w:w="3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386,575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6.76%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28.71%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1"/>
                <w:szCs w:val="11"/>
                <w:color w:val="auto"/>
              </w:rPr>
              <w:t>(5)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2"/>
        </w:trPr>
        <w:tc>
          <w:tcPr>
            <w:tcW w:w="5260" w:type="dxa"/>
            <w:vAlign w:val="bottom"/>
            <w:gridSpan w:val="2"/>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1"/>
                <w:szCs w:val="11"/>
                <w:color w:val="auto"/>
              </w:rPr>
              <w:t>(5)</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12.5%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663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95"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Based on the weighted average shares outstanding for the respective years.</w:t>
      </w:r>
    </w:p>
    <w:p>
      <w:pPr>
        <w:ind w:left="220" w:hanging="212"/>
        <w:spacing w:after="0" w:line="182" w:lineRule="auto"/>
        <w:tabs>
          <w:tab w:leader="none" w:pos="22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Based on taxable income calculated in accordance with income tax regulations, which may differ from amounts determined under GAAP.</w:t>
      </w:r>
    </w:p>
    <w:p>
      <w:pPr>
        <w:ind w:left="220" w:hanging="212"/>
        <w:spacing w:after="0" w:line="182" w:lineRule="auto"/>
        <w:tabs>
          <w:tab w:leader="none" w:pos="22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At fair value.</w:t>
      </w:r>
    </w:p>
    <w:p>
      <w:pPr>
        <w:ind w:left="220" w:hanging="212"/>
        <w:spacing w:after="0" w:line="182" w:lineRule="auto"/>
        <w:tabs>
          <w:tab w:leader="none" w:pos="22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periods and takes into account distributions, if any, reinvested in accordance with our dividend reinvestment plan.</w:t>
      </w:r>
    </w:p>
    <w:p>
      <w:pPr>
        <w:ind w:left="220" w:hanging="212"/>
        <w:spacing w:after="0" w:line="185" w:lineRule="auto"/>
        <w:tabs>
          <w:tab w:leader="none" w:pos="220"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Unaudited, at year end.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40,144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34,439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20,148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13,197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20,029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17,955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18,753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20,652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21,500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31,949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40,681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39,455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r>
      <w:tr>
        <w:trPr>
          <w:trHeight w:val="365"/>
        </w:trPr>
        <w:tc>
          <w:tcPr>
            <w:tcW w:w="6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32,958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17,655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14,063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18,181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10,360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13,786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28,541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r>
      <w:tr>
        <w:trPr>
          <w:trHeight w:val="365"/>
        </w:trPr>
        <w:tc>
          <w:tcPr>
            <w:tcW w:w="6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26,839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15,571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14,997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16,638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3,420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26,397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15,846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663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Based on the weighted average shares outstanding for the respective periods.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2010 and 2012, respectively. SBIC LP and SBIC II are licensed by the SBA to operate as SBICs, under Section 301(c) of the 1958 Act.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62" w:lineRule="exact"/>
        <w:rPr>
          <w:sz w:val="20"/>
          <w:szCs w:val="20"/>
          <w:color w:val="auto"/>
        </w:rPr>
      </w:pPr>
    </w:p>
    <w:p>
      <w:pPr>
        <w:ind w:firstLine="571"/>
        <w:spacing w:after="0" w:line="309" w:lineRule="auto"/>
        <w:rPr>
          <w:sz w:val="20"/>
          <w:szCs w:val="20"/>
          <w:color w:val="auto"/>
        </w:rPr>
      </w:pPr>
      <w:r>
        <w:rPr>
          <w:rFonts w:ascii="Arial" w:cs="Arial" w:eastAsia="Arial" w:hAnsi="Arial"/>
          <w:sz w:val="15"/>
          <w:szCs w:val="15"/>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Our primary operating expenses include the payment of a management fee to our Investment Adviser, the payment of an incentive fee, if any,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62"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660" w:right="200" w:hanging="314"/>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ind w:left="11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1"/>
                <w:szCs w:val="11"/>
                <w:b w:val="1"/>
                <w:bCs w:val="1"/>
                <w:color w:val="auto"/>
                <w:w w:val="91"/>
              </w:rPr>
              <w:t>(1)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1.56%</w:t>
            </w:r>
            <w:r>
              <w:rPr>
                <w:rFonts w:ascii="Arial" w:cs="Arial" w:eastAsia="Arial" w:hAnsi="Arial"/>
                <w:sz w:val="11"/>
                <w:szCs w:val="11"/>
                <w:color w:val="auto"/>
                <w:w w:val="96"/>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1.97%</w:t>
            </w:r>
            <w:r>
              <w:rPr>
                <w:rFonts w:ascii="Arial" w:cs="Arial" w:eastAsia="Arial" w:hAnsi="Arial"/>
                <w:sz w:val="11"/>
                <w:szCs w:val="11"/>
                <w:color w:val="auto"/>
                <w:w w:val="96"/>
              </w:rPr>
              <w:t>(4)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0.17%</w:t>
            </w:r>
            <w:r>
              <w:rPr>
                <w:rFonts w:ascii="Arial" w:cs="Arial" w:eastAsia="Arial" w:hAnsi="Arial"/>
                <w:sz w:val="11"/>
                <w:szCs w:val="11"/>
                <w:color w:val="auto"/>
                <w:w w:val="96"/>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5.70%</w:t>
            </w:r>
            <w:r>
              <w:rPr>
                <w:rFonts w:ascii="Arial" w:cs="Arial" w:eastAsia="Arial" w:hAnsi="Arial"/>
                <w:sz w:val="11"/>
                <w:szCs w:val="11"/>
                <w:color w:val="auto"/>
                <w:w w:val="96"/>
              </w:rPr>
              <w:t>(6)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total assets equals average adjusted gross assets for the three months ended September 30, 2014.</w:t>
      </w:r>
    </w:p>
    <w:p>
      <w:pPr>
        <w:spacing w:after="0" w:line="68"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and capital gains, if any, is based on actual amounts incurred during the three months ended September 30, 2014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years, if any, may be substantially different than the fee earned during the three months ended September 30, 2014.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20" w:hanging="332"/>
        <w:spacing w:after="0" w:line="266"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of September 30, 2014, we had $489.8 million of unused borrowing capacity, subject to maintenance of the applicable total assets to debt ratio, under the 1940 Act, and $55.2 million in borrowings outstanding under our $545.0 million Credit Facility, had $71.3 million in aggregate principal of 2025 Notes at an annual interest rate of 6.25% and had $250.0 million in aggregate principal of 2019 Notes at an annual interest rate of 4.50%. As of September 30, 2014, our SBIC Funds had debenture commitments from the SBA in the amount of $225.0 million had $150.0 million outstanding with a weighted average interest rate of 3.70%, exclusive of the 3.43% of upfront fees, and had $75.0 million remaining unused borrowing capacity subject to customary regulatory requirements.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5" w:lineRule="exact"/>
        <w:rPr>
          <w:rFonts w:ascii="Arial" w:cs="Arial" w:eastAsia="Arial" w:hAnsi="Arial"/>
          <w:sz w:val="12"/>
          <w:szCs w:val="12"/>
          <w:color w:val="auto"/>
        </w:rPr>
      </w:pPr>
    </w:p>
    <w:p>
      <w:pPr>
        <w:ind w:left="340" w:right="40" w:hanging="332"/>
        <w:spacing w:after="0" w:line="23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2014, annualized for a full year.</w:t>
      </w:r>
    </w:p>
    <w:p>
      <w:pPr>
        <w:spacing w:after="0" w:line="5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2014.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As of September 30, 2013, our portfolio totaled $1,078.2 million and consisted of $299.5 million of senior secured loans, $357.5 million of second lien secured debt, $302.5 million of subordinated debt and $118.7 million of preferred and common equity.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w:t>
      </w:r>
    </w:p>
    <w:p>
      <w:pPr>
        <w:spacing w:after="0" w:line="143"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2014, we invested $795.1 million of investments in 21 new and 30 existing portfolio companies with a weighted average yield on debt investments of 12.4%. Sales and repayments of investments for the year ended September 30, 2014 totaled $625.6 million.</w:t>
      </w:r>
    </w:p>
    <w:p>
      <w:pPr>
        <w:spacing w:after="0" w:line="85"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2013, we invested $504.4 million of investments in 14 new and 26 existing portfolio companies with a weighted average yield on debt investments of 12.7%. Sales and repayments of investments for the year ended September 30, 2013 totaled $437.1 million.</w:t>
      </w:r>
    </w:p>
    <w:p>
      <w:pPr>
        <w:spacing w:after="0" w:line="85"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For the fiscal year ended September 30, 2012, we invested $347.5 million of investments in 13 new and 17 existing portfolio companies with a weighted average yield on debt investments of 13.3%. Sales and repayments of investments for the year ended September 30, 2012 totaled $201.7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8"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9" w:lineRule="exact"/>
        <w:rPr>
          <w:sz w:val="20"/>
          <w:szCs w:val="20"/>
          <w:color w:val="auto"/>
        </w:rPr>
      </w:pPr>
    </w:p>
    <w:p>
      <w:pPr>
        <w:ind w:left="800" w:right="56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480" w:hanging="742"/>
        <w:spacing w:after="0" w:line="259" w:lineRule="auto"/>
        <w:tabs>
          <w:tab w:leader="none" w:pos="120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220" w:right="520" w:hanging="742"/>
        <w:spacing w:after="0" w:line="268" w:lineRule="auto"/>
        <w:tabs>
          <w:tab w:leader="none" w:pos="120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hierarchy classifications is conducted on a quarterly basis.</w:t>
      </w:r>
    </w:p>
    <w:p>
      <w:pPr>
        <w:spacing w:after="0" w:line="11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571"/>
        <w:spacing w:after="0" w:line="285"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years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 September 30, 2014, 2013 and 2012, our Credit Facility, 2019 Notes and 2025 Notes, collectively, had a net change in unrealized (appreciation) depreciation of $(3.0) million, $2.3 million and $(1.6) million, respectively. As of September 30, 2014 and 2013, net unrealized (appreciation) depreciation on our Credit Facility, 2019 Notes and 2025 Notes totaled $(0.2) million and $2.8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60"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books and records are maintained in U.S. dollars. Any foreign currency amounts are translated into U.S. dollars on the following basis:</w:t>
      </w:r>
    </w:p>
    <w:p>
      <w:pPr>
        <w:spacing w:after="0" w:line="113"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13" w:lineRule="exact"/>
        <w:rPr>
          <w:rFonts w:ascii="Arial" w:cs="Arial" w:eastAsia="Arial" w:hAnsi="Arial"/>
          <w:sz w:val="16"/>
          <w:szCs w:val="16"/>
          <w:color w:val="auto"/>
        </w:rPr>
      </w:pPr>
    </w:p>
    <w:p>
      <w:pPr>
        <w:ind w:left="800" w:hanging="225"/>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113" w:lineRule="exact"/>
        <w:rPr>
          <w:sz w:val="20"/>
          <w:szCs w:val="20"/>
          <w:color w:val="auto"/>
        </w:rPr>
      </w:pPr>
    </w:p>
    <w:p>
      <w:pPr>
        <w:jc w:val="both"/>
        <w:ind w:right="280" w:firstLine="571"/>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2014,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Investment income for the fiscal year ended September 30, 2014 was $147.9 million and was attributable to $43.0 million from senior secured loans, $55.2 million from second lien secured debt, $46.4 million from subordinated debt and $3.3 million from preferred and common equity. The increase in investment income over the prior year was primarily due to the growth of our portfolio.</w:t>
      </w:r>
    </w:p>
    <w:p>
      <w:pPr>
        <w:spacing w:after="0" w:line="14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Investment income for the fiscal year ended September 30, 2013 was $129.2 million and was attributable to $38.9 million from senior secured loans, $31.9 million from second lien secured debt, $55.1 million from subordinated debt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43"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loans, $21.2 million from second lien secured debt, and $49.4 million from subordinated debt. The increase in investment income over the prior year was due to the growth of our portfolio which was also driven by the investment of the proceeds from our equity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Expenses for the fiscal year ended September 30, 2014 totaled $76.6 million. Base management fee for the same period totaled $24.3 million, incentive fee totaled $17.8 million, debt related interest and expenses totaled $28.6 million (including $8.3 million associated with the 2019 Notes and expansion of our Credit Facility), general and administrative expenses totaled $5.8 million and taxes of $0.1 million. The increase in expenses over the prior year was primarily due to increased borrowing costs, debt issuance costs and the growth of our portfolio.</w:t>
      </w:r>
    </w:p>
    <w:p>
      <w:pPr>
        <w:spacing w:after="0" w:line="11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Expenses for the fiscal year ended September 30, 2013 totaled $62.2 million. Base management fee for the same period totaled $21.3 million, incentive fee totaled $16.8 million, debt related interest and expenses totaled $18.1 million (including $2.8 million associated with the 2025 Notes and expansion of our Credit Facility) and general and administrative expenses totaled $6.0 million. The increase in expenses over the prior year was primarily due to increased borrowing costs and the growth of our portfolio.</w:t>
      </w:r>
    </w:p>
    <w:p>
      <w:pPr>
        <w:spacing w:after="0" w:line="14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Expenses for the fiscal year ended September 30, 2012 totaled $56.3 million. Base management fee for the same period totaled $17.5 million, incentive fee totaled $14.2 million, Credit Facility and SBA debentures related expenses totaled $17.1 million (including $5.4 million of upfront fees associated with amending and extending our Credit Facility), general and administrative expenses totaled $7.2 million and an excise tax of $0.3 million. The increase in expenses over the prior year was primarily due to the upfront costs of amending our Credit Facility, increased borrowing costs and the growth of our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Net investment income totaled $71.3 million or $1.06 per share, $67.0 million or $1.01 per share and $57.1 million or $1.08 per share for the fiscal years ended September 30, 2014, 2013 and 2012, respectively. The increase in net investment income over the prior year was due to the growth of our portfolio offset by higher financing costs and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Sales and repayments of investments for the fiscal years ended September 30, 2014, 2013 and 2012 totaled $625.6 million, $437.1 million and $201.7 million, respectively, and net realized gains (losses) totaled $30.2 million, $17.7 million and $(12.8) million, respectively. The increase in realized gains over the prior year is primarily due to the improved merger and acquisition environment and a higher volume of sales and repayments.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2019 Notes and 2025 Notes</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Net unrealized appreciation on investments totaled $12.5 million, $4.8 million and $20.6 million for the fiscal years ended September 30, 2014, 2013 and 2012, respectively. Net unrealized (appreciation) depreciation on our Credit Facility, 2019 Notes and 2025 Notes totaled $(3.0) million, $2.3 million and $(1.6) million for the same periods, respectively. Net change in unrealized appreciation on investments over the prior year was a result of the overall variation in the leveraged finance markets. The increase in unrealized appreciation on the Credit Facility, 2019 Notes and 2025 Notes over the prior year was due to the fluctuating interest rate environment.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Net increase in net assets resulting from operations totaled $111.0 million or $1.66 per share, $91.8 million or $1.39 per share and $63.4 million or $1.20 per share for the fiscal years ended September 30, 2014, 2013 and 2012, respectively. The increase compared to the prior year was due to realized gains, the continued growth of our portfolio and net investment income.</w:t>
      </w:r>
    </w:p>
    <w:p>
      <w:pPr>
        <w:sectPr>
          <w:pgSz w:w="11900" w:h="16838" w:orient="portrait"/>
          <w:cols w:equalWidth="0" w:num="1">
            <w:col w:w="11360"/>
          </w:cols>
          <w:pgMar w:left="240" w:top="459" w:right="299" w:bottom="1440" w:gutter="0" w:footer="0" w:header="0"/>
        </w:sectPr>
      </w:pP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459" w:right="2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0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have a $545 million multi-currency Credit Facility with certain lenders and SunTrust Bank, acting as administrative agent, and JPMorgan Chase Bank, N.A., acting as syndication agent for the lenders. As of September 30, 2014 and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is set at 225 basis points over LIBOR. As of September 30, 2014 and 2013, we had $489.8 million and $284.5 million of unused borrowing capacity, respectively, subject to the regulatory restrictions that the 1940 Act imposes on us as a BDC. The Credit Facility is secured by substantially all of our assets excluding assets held by our SBIC Funds.</w:t>
      </w:r>
    </w:p>
    <w:p>
      <w:pPr>
        <w:spacing w:after="0" w:line="118" w:lineRule="exact"/>
        <w:rPr>
          <w:sz w:val="20"/>
          <w:szCs w:val="20"/>
          <w:color w:val="auto"/>
        </w:rPr>
      </w:pPr>
    </w:p>
    <w:p>
      <w:pPr>
        <w:ind w:right="460" w:firstLine="571"/>
        <w:spacing w:after="0" w:line="332" w:lineRule="auto"/>
        <w:rPr>
          <w:sz w:val="20"/>
          <w:szCs w:val="20"/>
          <w:color w:val="auto"/>
        </w:rPr>
      </w:pPr>
      <w:r>
        <w:rPr>
          <w:rFonts w:ascii="Arial" w:cs="Arial" w:eastAsia="Arial" w:hAnsi="Arial"/>
          <w:sz w:val="16"/>
          <w:szCs w:val="16"/>
          <w:color w:val="auto"/>
        </w:rPr>
        <w:t>For a complete list of covenants contained in the Credit Facility, see our Form 8-K filed on June 30, 2014 and the Credit Facility agreement filed as Exhibit 99.2 thereto and incorporated by reference herein. As of September 30, 2014, we were in compliance with the terms of our Credit Facility.</w:t>
      </w:r>
    </w:p>
    <w:p>
      <w:pPr>
        <w:spacing w:after="0" w:line="85" w:lineRule="exact"/>
        <w:rPr>
          <w:sz w:val="20"/>
          <w:szCs w:val="20"/>
          <w:color w:val="auto"/>
        </w:rPr>
      </w:pPr>
    </w:p>
    <w:p>
      <w:pPr>
        <w:ind w:right="160" w:firstLine="571"/>
        <w:spacing w:after="0" w:line="253" w:lineRule="auto"/>
        <w:rPr>
          <w:sz w:val="20"/>
          <w:szCs w:val="20"/>
          <w:color w:val="auto"/>
        </w:rPr>
      </w:pPr>
      <w:r>
        <w:rPr>
          <w:rFonts w:ascii="Arial" w:cs="Arial" w:eastAsia="Arial" w:hAnsi="Arial"/>
          <w:sz w:val="18"/>
          <w:szCs w:val="18"/>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indenture and supplemental indenture filed as Exhibit d(8) in our post effective amendment of our Registration Statement on Form N-2 filed on January 22, 2014 and Exhibit (d)(11) in our post-effective amendment of our Registration Statement on Form N-2 filed on September 23, 2014, respectively, for more information.</w:t>
      </w:r>
    </w:p>
    <w:p>
      <w:pPr>
        <w:spacing w:after="0" w:line="147" w:lineRule="exact"/>
        <w:rPr>
          <w:sz w:val="20"/>
          <w:szCs w:val="20"/>
          <w:color w:val="auto"/>
        </w:rPr>
      </w:pPr>
    </w:p>
    <w:p>
      <w:pPr>
        <w:ind w:right="140" w:firstLine="571"/>
        <w:spacing w:after="0" w:line="253"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 Please see our indenture and supplemental indenture filed as Exhibit (d)(8) and Exhibit d(9), respectively, in our post-effective amendment of our Registration Statement on Form N-2 filed on January 22, 2013 for more information.</w:t>
      </w:r>
    </w:p>
    <w:p>
      <w:pPr>
        <w:spacing w:after="0" w:line="147"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2019 Notes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0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For the fiscal year ended September 30, 2014, we sold 8.5 million shares of common stock, resulting in net proceeds of $95.4 million. This compares to selling 0.7 million shares of our common stock pursuant to the underwriters’ exercise of their option to purchase shares of our common stock resulting in net proceeds of $7.3 million for the fiscal year ended September 30, 2013.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44"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as of September 30, 2014.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a maximum of $150 million, which is up to twice its potential regulatory capital, and as part of a group of SBICs under common control may borrow a maximum of $225 million in the aggregate.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As of September 30, 2014 and September 30, 2013, our SBIC Funds had $225 million and $150 million in debt commitments, respectively, and $150 million was drawn for each period. The SBA debentures upfront fees of 3.43% consist of a commitment fee of 1.00% and an issuance discount of 2.43%, which are being amortized. Our fixed-rate SBA debentures as of September 30, 2014 and September 30, 2013 were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Issuance Dates</w:t>
            </w:r>
          </w:p>
        </w:tc>
        <w:tc>
          <w:tcPr>
            <w:tcW w:w="280" w:type="dxa"/>
            <w:vAlign w:val="bottom"/>
            <w:vMerge w:val="restart"/>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Fixed All-In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1"/>
        </w:trPr>
        <w:tc>
          <w:tcPr>
            <w:tcW w:w="32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Maturity</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Coupon Rate</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September 1, 2020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1420" w:type="dxa"/>
            <w:vAlign w:val="bottom"/>
          </w:tcPr>
          <w:p>
            <w:pPr>
              <w:ind w:left="100"/>
              <w:spacing w:after="0"/>
              <w:rPr>
                <w:sz w:val="20"/>
                <w:szCs w:val="20"/>
                <w:color w:val="auto"/>
              </w:rPr>
            </w:pPr>
            <w:r>
              <w:rPr>
                <w:rFonts w:ascii="Arial" w:cs="Arial" w:eastAsia="Arial" w:hAnsi="Arial"/>
                <w:sz w:val="18"/>
                <w:szCs w:val="18"/>
                <w:color w:val="auto"/>
              </w:rPr>
              <w:t>March 1, 2021</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w w:val="85"/>
              </w:rPr>
              <w:t>4.46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September 1, 2021</w:t>
            </w: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5"/>
              </w:rPr>
              <w:t>3.38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20" w:type="dxa"/>
            <w:vAlign w:val="bottom"/>
          </w:tcPr>
          <w:p>
            <w:pPr>
              <w:spacing w:after="0"/>
              <w:rPr>
                <w:sz w:val="19"/>
                <w:szCs w:val="19"/>
                <w:color w:val="auto"/>
              </w:rPr>
            </w:pPr>
          </w:p>
        </w:tc>
        <w:tc>
          <w:tcPr>
            <w:tcW w:w="1400" w:type="dxa"/>
            <w:vAlign w:val="bottom"/>
            <w:gridSpan w:val="3"/>
          </w:tcPr>
          <w:p>
            <w:pPr>
              <w:ind w:left="760"/>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2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2014 and September 30, 2013,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620" w:firstLine="571"/>
        <w:spacing w:after="0" w:line="332" w:lineRule="auto"/>
        <w:rPr>
          <w:sz w:val="20"/>
          <w:szCs w:val="20"/>
          <w:color w:val="auto"/>
        </w:rPr>
      </w:pPr>
      <w:r>
        <w:rPr>
          <w:rFonts w:ascii="Arial" w:cs="Arial" w:eastAsia="Arial" w:hAnsi="Arial"/>
          <w:sz w:val="16"/>
          <w:szCs w:val="16"/>
          <w:color w:val="auto"/>
        </w:rPr>
        <w:t>On September 30, 2014 and September 30, 2013, we had cash and cash equivalents of $66.5 million and $58.4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Our operating activities used cash of $172.5 million for the fiscal year ended September 30, 2014, and our financing activities provided cash proceeds of $180.9 million for the same period. Our operating activities used cash primarily for our investment activities and our financing activities provided cash primarily from the issuance of the 2019 Notes, our recent equity offering and net draws under the Credit Facility.</w:t>
      </w:r>
    </w:p>
    <w:p>
      <w:pPr>
        <w:spacing w:after="0" w:line="107"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provided cash primarily from sales and repayments on our investments and our financing activities provided cash primarily from the issuance of the 2025 Notes.</w:t>
      </w:r>
    </w:p>
    <w:p>
      <w:pPr>
        <w:spacing w:after="0" w:line="14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2014, including borrowings under our various debt facilities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86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1-3</w:t>
            </w:r>
          </w:p>
        </w:tc>
        <w:tc>
          <w:tcPr>
            <w:tcW w:w="88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4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2"/>
              </w:rPr>
              <w:t>$—</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SBA debentures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2025 Notes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526.5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542.1</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2"/>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ind w:left="212" w:hanging="212"/>
        <w:spacing w:after="0" w:line="189" w:lineRule="auto"/>
        <w:tabs>
          <w:tab w:leader="none" w:pos="212" w:val="left"/>
        </w:tabs>
        <w:numPr>
          <w:ilvl w:val="0"/>
          <w:numId w:val="23"/>
        </w:numPr>
        <w:rPr>
          <w:rFonts w:ascii="Arial" w:cs="Arial" w:eastAsia="Arial" w:hAnsi="Arial"/>
          <w:sz w:val="21"/>
          <w:szCs w:val="21"/>
          <w:color w:val="auto"/>
          <w:vertAlign w:val="super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663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63700" cy="8890"/>
                    </a:xfrm>
                    <a:prstGeom prst="rect">
                      <a:avLst/>
                    </a:prstGeom>
                    <a:noFill/>
                  </pic:spPr>
                </pic:pic>
              </a:graphicData>
            </a:graphic>
          </wp:anchor>
        </w:drawing>
        <w:t>The annualized weighted average cost of debt as of September 30, 2014, excluding debt issuance costs, was 4.33% exclusive of the fee on the undrawn commitment of 0.375% on the Credit Facility and 3.43% of upfront fees on SBA debentures.</w:t>
      </w:r>
    </w:p>
    <w:p>
      <w:pPr>
        <w:spacing w:after="0" w:line="1" w:lineRule="exact"/>
        <w:rPr>
          <w:rFonts w:ascii="Arial" w:cs="Arial" w:eastAsia="Arial" w:hAnsi="Arial"/>
          <w:sz w:val="21"/>
          <w:szCs w:val="21"/>
          <w:color w:val="auto"/>
          <w:vertAlign w:val="superscript"/>
        </w:rPr>
      </w:pPr>
    </w:p>
    <w:p>
      <w:pPr>
        <w:ind w:left="212" w:hanging="212"/>
        <w:spacing w:after="0" w:line="185" w:lineRule="auto"/>
        <w:tabs>
          <w:tab w:leader="none" w:pos="212"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Unfunded debt and equity investments described in the Consolidated Statement of Assets and Liabilities represent unfunded delayed draws on investments and/or revolving lines of credit.</w:t>
      </w:r>
    </w:p>
    <w:p>
      <w:pPr>
        <w:spacing w:after="0" w:line="128"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12"/>
          </w:cols>
          <w:pgMar w:left="248" w:top="277"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currently engage in no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2014, 2013 and 2012, we elected to retain a portion of our calendar year income and incurred an excise tax of approximately $0.1 million, $(0.1) million and $0.3 million, respectively.</w:t>
      </w:r>
    </w:p>
    <w:p>
      <w:pPr>
        <w:spacing w:after="0" w:line="12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During the fiscal years ended September 30, 2014, 2013 and 2012, we declared distributions of $1.12 per share each year for total distributions of $76.9 million, $74.4 million and $60.1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16" w:lineRule="exact"/>
        <w:rPr>
          <w:sz w:val="20"/>
          <w:szCs w:val="20"/>
          <w:color w:val="auto"/>
        </w:rPr>
      </w:pPr>
    </w:p>
    <w:p>
      <w:pPr>
        <w:jc w:val="center"/>
        <w:ind w:left="540" w:right="280"/>
        <w:spacing w:after="0" w:line="440" w:lineRule="auto"/>
        <w:rPr>
          <w:sz w:val="20"/>
          <w:szCs w:val="20"/>
          <w:color w:val="auto"/>
        </w:rPr>
      </w:pPr>
      <w:r>
        <w:rPr>
          <w:rFonts w:ascii="Arial" w:cs="Arial" w:eastAsia="Arial" w:hAnsi="Arial"/>
          <w:sz w:val="18"/>
          <w:szCs w:val="18"/>
          <w:color w:val="auto"/>
        </w:rPr>
        <w:t>We intend to continue to make quarterly distributions to our stockholders. Our quarterly distributions, if any, are determined by our board of directors. 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2014, our debt portfolio consisted of 33% fixed-rate investments and 67% variable-rate investments (including 61%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5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Change In Interest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86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87"/>
              </w:rPr>
              <w:t>Income, Net Of Interest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Change In Interest Rates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Expense (in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84"/>
              </w:rPr>
              <w:t>thousands)</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Up 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8"/>
              </w:rPr>
              <w:t>Up 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88"/>
              </w:rPr>
              <w:t>Up 4%</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jc w:val="both"/>
        <w:ind w:right="280" w:firstLine="571"/>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2014, 2013, 2012, 2011, 2010, 2009 and 2008 is from our Consolidated Financial Statements, which has been audited by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78"/>
              </w:rPr>
              <w:t>Asset</w:t>
            </w:r>
          </w:p>
        </w:tc>
        <w:tc>
          <w:tcPr>
            <w:tcW w:w="74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84"/>
              </w:rPr>
              <w:t>Coverage</w:t>
            </w:r>
          </w:p>
        </w:tc>
        <w:tc>
          <w:tcPr>
            <w:tcW w:w="740" w:type="dxa"/>
            <w:vAlign w:val="bottom"/>
          </w:tcPr>
          <w:p>
            <w:pPr>
              <w:spacing w:after="0"/>
              <w:rPr>
                <w:sz w:val="11"/>
                <w:szCs w:val="11"/>
                <w:color w:val="auto"/>
              </w:rPr>
            </w:pPr>
          </w:p>
        </w:tc>
        <w:tc>
          <w:tcPr>
            <w:tcW w:w="6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3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(2),(3)</w:t>
            </w:r>
          </w:p>
        </w:tc>
        <w:tc>
          <w:tcPr>
            <w:tcW w:w="74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gridSpan w:val="3"/>
          </w:tcPr>
          <w:p>
            <w:pPr>
              <w:jc w:val="right"/>
              <w:ind w:right="40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38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(4)</w:t>
            </w:r>
          </w:p>
        </w:tc>
      </w:tr>
      <w:tr>
        <w:trPr>
          <w:trHeight w:val="190"/>
        </w:trPr>
        <w:tc>
          <w:tcPr>
            <w:tcW w:w="4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2019 Notes and 2025 Notes</w:t>
            </w:r>
          </w:p>
        </w:tc>
        <w:tc>
          <w:tcPr>
            <w:tcW w:w="17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376,476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216,750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145,000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5,636</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240,900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1"/>
                <w:szCs w:val="11"/>
                <w:color w:val="auto"/>
              </w:rPr>
              <w:t>(5)</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247,600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19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225,100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19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202,000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1"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hanging="212"/>
        <w:spacing w:after="0" w:line="258" w:lineRule="auto"/>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220" w:hanging="212"/>
        <w:spacing w:after="0"/>
        <w:tabs>
          <w:tab w:leader="none" w:pos="2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These amounts exclude SBIC LP’s SBA debentures from our total amount outstanding and asset coverage per unit computation pursuant to an exemptive relief letter provided by the SEC in June 2011.</w:t>
      </w:r>
    </w:p>
    <w:p>
      <w:pPr>
        <w:spacing w:after="0" w:line="10" w:lineRule="exact"/>
        <w:rPr>
          <w:rFonts w:ascii="Arial" w:cs="Arial" w:eastAsia="Arial" w:hAnsi="Arial"/>
          <w:sz w:val="12"/>
          <w:szCs w:val="12"/>
          <w:color w:val="auto"/>
        </w:rPr>
      </w:pPr>
    </w:p>
    <w:p>
      <w:pPr>
        <w:ind w:left="220" w:right="140" w:hanging="212"/>
        <w:spacing w:after="0" w:line="221"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amount includes SBIC LP’s SBA debentures in the total amount outstanding and our asset coverage per unit computation.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years ended September 30, 2014, 2013, 2012, 2011 and 2010, the ratios of earnings to fixed charges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88"/>
              </w:rPr>
              <w:t>For the Fiscal 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71,329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52,645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32,075</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(15,417)</w:t>
            </w: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(58,641)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110,983</w:t>
            </w: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$ 91,778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63,353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16,535</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debt</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20,261</w:t>
            </w:r>
          </w:p>
        </w:tc>
        <w:tc>
          <w:tcPr>
            <w:tcW w:w="2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$ 15,384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Earnings include net realized and unrealized gains or losses. Net realized and unrealized gains or losses can vary substantially from period to period.</w:t>
      </w:r>
    </w:p>
    <w:p>
      <w:pPr>
        <w:ind w:left="220" w:right="600" w:hanging="212"/>
        <w:spacing w:after="0" w:line="230"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Fixed charges include interest and related expenses on our Credit Facility, which is indexed to LIBOR and fluctuate with changes in interest rates, 2019 Notes, 2025 Notes and SBA debentures and amortization of debt issuance costs on our SBA debentures.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2012. On January 9, 2015, the last reported closing price of our common stock was $9.42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Premium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(Discount)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(Discount)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vMerge w:val="restart"/>
          </w:tcPr>
          <w:p>
            <w:pPr>
              <w:jc w:val="right"/>
              <w:ind w:right="194"/>
              <w:spacing w:after="0"/>
              <w:rPr>
                <w:sz w:val="20"/>
                <w:szCs w:val="20"/>
                <w:color w:val="auto"/>
              </w:rPr>
            </w:pPr>
            <w:r>
              <w:rPr>
                <w:rFonts w:ascii="Arial" w:cs="Arial" w:eastAsia="Arial" w:hAnsi="Arial"/>
                <w:sz w:val="14"/>
                <w:szCs w:val="14"/>
                <w:b w:val="1"/>
                <w:bCs w:val="1"/>
                <w:color w:val="auto"/>
              </w:rPr>
              <w:t>Closing Sales Price</w:t>
            </w:r>
          </w:p>
        </w:tc>
        <w:tc>
          <w:tcPr>
            <w:tcW w:w="340" w:type="dxa"/>
            <w:vAlign w:val="bottom"/>
            <w:vMerge w:val="restart"/>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of High Sales</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tcBorders>
              <w:bottom w:val="single" w:sz="8" w:color="auto"/>
            </w:tcBorders>
            <w:gridSpan w:val="4"/>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20" w:type="dxa"/>
            <w:vAlign w:val="bottom"/>
            <w:gridSpan w:val="2"/>
          </w:tcPr>
          <w:p>
            <w:pPr>
              <w:jc w:val="center"/>
              <w:ind w:right="440"/>
              <w:spacing w:after="0" w:line="114" w:lineRule="exact"/>
              <w:rPr>
                <w:sz w:val="20"/>
                <w:szCs w:val="20"/>
                <w:color w:val="auto"/>
              </w:rPr>
            </w:pPr>
            <w:r>
              <w:rPr>
                <w:rFonts w:ascii="Arial" w:cs="Arial" w:eastAsia="Arial" w:hAnsi="Arial"/>
                <w:sz w:val="12"/>
                <w:szCs w:val="12"/>
                <w:b w:val="1"/>
                <w:bCs w:val="1"/>
                <w:color w:val="auto"/>
              </w:rPr>
              <w:t>Price to</w:t>
            </w:r>
          </w:p>
        </w:tc>
        <w:tc>
          <w:tcPr>
            <w:tcW w:w="1020" w:type="dxa"/>
            <w:vAlign w:val="bottom"/>
            <w:gridSpan w:val="2"/>
          </w:tcPr>
          <w:p>
            <w:pPr>
              <w:jc w:val="center"/>
              <w:ind w:right="300"/>
              <w:spacing w:after="0" w:line="114" w:lineRule="exact"/>
              <w:rPr>
                <w:sz w:val="20"/>
                <w:szCs w:val="20"/>
                <w:color w:val="auto"/>
              </w:rPr>
            </w:pPr>
            <w:r>
              <w:rPr>
                <w:rFonts w:ascii="Arial" w:cs="Arial" w:eastAsia="Arial" w:hAnsi="Arial"/>
                <w:sz w:val="12"/>
                <w:szCs w:val="12"/>
                <w:b w:val="1"/>
                <w:bCs w:val="1"/>
                <w:color w:val="auto"/>
                <w:w w:val="99"/>
              </w:rPr>
              <w:t>Price to</w:t>
            </w:r>
          </w:p>
        </w:tc>
        <w:tc>
          <w:tcPr>
            <w:tcW w:w="160" w:type="dxa"/>
            <w:vAlign w:val="bottom"/>
          </w:tcPr>
          <w:p>
            <w:pPr>
              <w:spacing w:after="0"/>
              <w:rPr>
                <w:sz w:val="11"/>
                <w:szCs w:val="11"/>
                <w:color w:val="auto"/>
              </w:rPr>
            </w:pPr>
          </w:p>
        </w:tc>
        <w:tc>
          <w:tcPr>
            <w:tcW w:w="860" w:type="dxa"/>
            <w:vAlign w:val="bottom"/>
            <w:gridSpan w:val="3"/>
          </w:tcPr>
          <w:p>
            <w:pPr>
              <w:jc w:val="right"/>
              <w:ind w:right="100"/>
              <w:spacing w:after="0" w:line="114" w:lineRule="exact"/>
              <w:rPr>
                <w:sz w:val="20"/>
                <w:szCs w:val="20"/>
                <w:color w:val="auto"/>
              </w:rPr>
            </w:pPr>
            <w:r>
              <w:rPr>
                <w:rFonts w:ascii="Arial" w:cs="Arial" w:eastAsia="Arial" w:hAnsi="Arial"/>
                <w:sz w:val="12"/>
                <w:szCs w:val="12"/>
                <w:b w:val="1"/>
                <w:bCs w:val="1"/>
                <w:color w:val="auto"/>
                <w:w w:val="99"/>
              </w:rPr>
              <w:t>Distributions</w:t>
            </w:r>
          </w:p>
        </w:tc>
        <w:tc>
          <w:tcPr>
            <w:tcW w:w="0" w:type="dxa"/>
            <w:vAlign w:val="bottom"/>
          </w:tcPr>
          <w:p>
            <w:pPr>
              <w:spacing w:after="0"/>
              <w:rPr>
                <w:sz w:val="1"/>
                <w:szCs w:val="1"/>
                <w:color w:val="auto"/>
              </w:rPr>
            </w:pPr>
          </w:p>
        </w:tc>
      </w:tr>
      <w:tr>
        <w:trPr>
          <w:trHeight w:val="156"/>
        </w:trPr>
        <w:tc>
          <w:tcPr>
            <w:tcW w:w="5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Period</w:t>
            </w:r>
          </w:p>
        </w:tc>
        <w:tc>
          <w:tcPr>
            <w:tcW w:w="840" w:type="dxa"/>
            <w:vAlign w:val="bottom"/>
            <w:gridSpan w:val="2"/>
          </w:tcPr>
          <w:p>
            <w:pPr>
              <w:ind w:left="4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(1)</w:t>
            </w:r>
          </w:p>
        </w:tc>
        <w:tc>
          <w:tcPr>
            <w:tcW w:w="10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3"/>
                <w:szCs w:val="13"/>
                <w:color w:val="auto"/>
              </w:rPr>
            </w:pPr>
          </w:p>
        </w:tc>
        <w:tc>
          <w:tcPr>
            <w:tcW w:w="86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Low</w:t>
            </w:r>
          </w:p>
        </w:tc>
        <w:tc>
          <w:tcPr>
            <w:tcW w:w="1220" w:type="dxa"/>
            <w:vAlign w:val="bottom"/>
            <w:gridSpan w:val="2"/>
          </w:tcPr>
          <w:p>
            <w:pPr>
              <w:jc w:val="center"/>
              <w:ind w:right="44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1020" w:type="dxa"/>
            <w:vAlign w:val="bottom"/>
            <w:gridSpan w:val="2"/>
          </w:tcPr>
          <w:p>
            <w:pPr>
              <w:jc w:val="center"/>
              <w:ind w:right="30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Second quarter (As of January 9, 2015)</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 N/A</w:t>
            </w:r>
          </w:p>
        </w:tc>
        <w:tc>
          <w:tcPr>
            <w:tcW w:w="660" w:type="dxa"/>
            <w:vAlign w:val="bottom"/>
          </w:tcPr>
          <w:p>
            <w:pPr>
              <w:jc w:val="right"/>
              <w:spacing w:after="0"/>
              <w:rPr>
                <w:sz w:val="20"/>
                <w:szCs w:val="20"/>
                <w:color w:val="auto"/>
              </w:rPr>
            </w:pPr>
            <w:r>
              <w:rPr>
                <w:rFonts w:ascii="Arial" w:cs="Arial" w:eastAsia="Arial" w:hAnsi="Arial"/>
                <w:sz w:val="18"/>
                <w:szCs w:val="18"/>
                <w:color w:val="auto"/>
              </w:rPr>
              <w:t>$   9.71</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9.38</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11.03</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11.33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10.46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11.13</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10.80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10.83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10.97</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10.45</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11.01</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ind w:left="220" w:right="80" w:hanging="212"/>
        <w:spacing w:after="0" w:line="230"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less NAV per share, divided by the quarter-end NAV per share.</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$10.91 and $11.28 as of September 30, 2014 and 2013, respectively. Our NAV per share was $11.03 and $10.49 as of September 30, 2014 and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2014, we had eleven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40" w:type="dxa"/>
            <w:vAlign w:val="bottom"/>
            <w:gridSpan w:val="3"/>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7"/>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5.00 %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10.00 %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1,250,000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-2296160</wp:posOffset>
            </wp:positionV>
            <wp:extent cx="72466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-1936115</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-1576070</wp:posOffset>
            </wp:positionV>
            <wp:extent cx="724662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-1216025</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-855980</wp:posOffset>
            </wp:positionV>
            <wp:extent cx="724662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-495300</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3960" w:space="500"/>
            <w:col w:w="6860"/>
          </w:cols>
          <w:pgMar w:left="240" w:top="459" w:right="3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right="6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6"/>
              </w:rPr>
              <w:t>Example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Example 2</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5%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at 10% Discount</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2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9"/>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4"/>
                <w:szCs w:val="24"/>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
              <w:spacing w:after="0"/>
              <w:rPr>
                <w:sz w:val="20"/>
                <w:szCs w:val="20"/>
                <w:color w:val="auto"/>
              </w:rPr>
            </w:pPr>
            <w:r>
              <w:rPr>
                <w:rFonts w:ascii="Arial" w:cs="Arial" w:eastAsia="Arial" w:hAnsi="Arial"/>
                <w:sz w:val="18"/>
                <w:szCs w:val="18"/>
                <w:color w:val="auto"/>
                <w:w w:val="95"/>
              </w:rPr>
              <w:t>$  (5,000)</w:t>
            </w:r>
          </w:p>
        </w:tc>
        <w:tc>
          <w:tcPr>
            <w:tcW w:w="2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-315595</wp:posOffset>
            </wp:positionV>
            <wp:extent cx="724662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4140" w:space="720"/>
            <w:col w:w="6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9.91</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9.50</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   10.00</w:t>
            </w:r>
          </w:p>
        </w:tc>
        <w:tc>
          <w:tcPr>
            <w:tcW w:w="3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Dilution per share held by stockholder A (NAV per share less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(0.50)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8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9"/>
              </w:rPr>
              <w:t>Percentage dilution to stockholder A (dilution per share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(0.20)%</w:t>
            </w:r>
          </w:p>
        </w:tc>
        <w:tc>
          <w:tcPr>
            <w:tcW w:w="300" w:type="dxa"/>
            <w:vAlign w:val="bottom"/>
          </w:tcPr>
          <w:p>
            <w:pPr>
              <w:spacing w:after="0"/>
              <w:rPr>
                <w:sz w:val="19"/>
                <w:szCs w:val="19"/>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(0.90)%</w:t>
            </w:r>
          </w:p>
        </w:tc>
        <w:tc>
          <w:tcPr>
            <w:tcW w:w="300" w:type="dxa"/>
            <w:vAlign w:val="bottom"/>
          </w:tcPr>
          <w:p>
            <w:pPr>
              <w:spacing w:after="0"/>
              <w:rPr>
                <w:sz w:val="19"/>
                <w:szCs w:val="19"/>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100" w:firstLine="571"/>
        <w:spacing w:after="0" w:line="283"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w:t>
      </w:r>
    </w:p>
    <w:p>
      <w:pPr>
        <w:spacing w:after="0" w:line="3" w:lineRule="exact"/>
        <w:rPr>
          <w:sz w:val="20"/>
          <w:szCs w:val="20"/>
          <w:color w:val="auto"/>
        </w:rPr>
      </w:pPr>
    </w:p>
    <w:p>
      <w:pPr>
        <w:ind w:right="34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150% of their proportionate share of the offering (i.e., 3,750 shares which is 1.50% of the offering of 250,000 shares rather than their 1.00% proportionate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2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Below NAV</w:t>
            </w: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shares outstanding</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NAV per 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87"/>
              </w:rPr>
              <w:t>Total investment by stockholder A (assumed to be $10.00 per share on shares held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prior to sale)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Total (dilution)/accretion to stockholder A (total NAV less total investment)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440"/>
              <w:spacing w:after="0"/>
              <w:rPr>
                <w:sz w:val="20"/>
                <w:szCs w:val="20"/>
                <w:color w:val="auto"/>
              </w:rPr>
            </w:pPr>
            <w:r>
              <w:rPr>
                <w:rFonts w:ascii="Arial" w:cs="Arial" w:eastAsia="Arial" w:hAnsi="Arial"/>
                <w:sz w:val="18"/>
                <w:szCs w:val="18"/>
                <w:color w:val="auto"/>
              </w:rPr>
              <w:t>shares held prior to sale)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80" w:type="dxa"/>
            <w:vAlign w:val="bottom"/>
          </w:tcPr>
          <w:p>
            <w:pPr>
              <w:ind w:left="440"/>
              <w:spacing w:after="0"/>
              <w:rPr>
                <w:sz w:val="20"/>
                <w:szCs w:val="20"/>
                <w:color w:val="auto"/>
              </w:rPr>
            </w:pPr>
            <w:r>
              <w:rPr>
                <w:rFonts w:ascii="Arial" w:cs="Arial" w:eastAsia="Arial" w:hAnsi="Arial"/>
                <w:sz w:val="18"/>
                <w:szCs w:val="18"/>
                <w:color w:val="auto"/>
                <w:w w:val="95"/>
              </w:rPr>
              <w:t>Percentage (dilution)/accretion to stockholder A (dilution)/accretion per share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6"/>
              </w:rPr>
              <w:t>Example 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0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0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6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5.00 %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NAV 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5"/>
              </w:rPr>
              <w:t>(0.20)%</w:t>
            </w:r>
          </w:p>
        </w:tc>
        <w:tc>
          <w:tcPr>
            <w:tcW w:w="24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(dilution)/accretion to stockholder A (total</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less total investment)</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(Dilution)/accretion per share held by stockholder A</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less investment per share)</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Percentage (dilution)/accretion to stockholder A</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w w:val="95"/>
              </w:rPr>
              <w:t>(dilution)/ accretion per share divided by investment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per share</w:t>
            </w:r>
          </w:p>
        </w:tc>
        <w:tc>
          <w:tcPr>
            <w:tcW w:w="94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5"/>
              </w:rPr>
              <w:t>(0.20)%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8"/>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2012:</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Record Dates</w:t>
            </w:r>
          </w:p>
        </w:tc>
        <w:tc>
          <w:tcPr>
            <w:tcW w:w="3680" w:type="dxa"/>
            <w:vAlign w:val="bottom"/>
            <w:gridSpan w:val="3"/>
            <w:vMerge w:val="restart"/>
          </w:tcPr>
          <w:p>
            <w:pPr>
              <w:jc w:val="right"/>
              <w:ind w:right="680"/>
              <w:spacing w:after="0"/>
              <w:rPr>
                <w:sz w:val="20"/>
                <w:szCs w:val="20"/>
                <w:color w:val="auto"/>
              </w:rPr>
            </w:pPr>
            <w:r>
              <w:rPr>
                <w:rFonts w:ascii="Arial" w:cs="Arial" w:eastAsia="Arial" w:hAnsi="Arial"/>
                <w:sz w:val="18"/>
                <w:szCs w:val="18"/>
                <w:b w:val="1"/>
                <w:bCs w:val="1"/>
                <w:color w:val="auto"/>
              </w:rPr>
              <w:t>Payment Dates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Distributions</w:t>
            </w:r>
          </w:p>
        </w:tc>
        <w:tc>
          <w:tcPr>
            <w:tcW w:w="0" w:type="dxa"/>
            <w:vAlign w:val="bottom"/>
          </w:tcPr>
          <w:p>
            <w:pPr>
              <w:spacing w:after="0"/>
              <w:rPr>
                <w:sz w:val="1"/>
                <w:szCs w:val="1"/>
                <w:color w:val="auto"/>
              </w:rPr>
            </w:pPr>
          </w:p>
        </w:tc>
      </w:tr>
      <w:tr>
        <w:trPr>
          <w:trHeight w:val="217"/>
        </w:trPr>
        <w:tc>
          <w:tcPr>
            <w:tcW w:w="4820" w:type="dxa"/>
            <w:vAlign w:val="bottom"/>
            <w:gridSpan w:val="2"/>
            <w:vMerge w:val="continue"/>
          </w:tcPr>
          <w:p>
            <w:pPr>
              <w:spacing w:after="0"/>
              <w:rPr>
                <w:sz w:val="18"/>
                <w:szCs w:val="18"/>
                <w:color w:val="auto"/>
              </w:rPr>
            </w:pPr>
          </w:p>
        </w:tc>
        <w:tc>
          <w:tcPr>
            <w:tcW w:w="3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Declared</w:t>
            </w: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2015</w:t>
            </w:r>
          </w:p>
        </w:tc>
        <w:tc>
          <w:tcPr>
            <w:tcW w:w="1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December 19, 2014</w:t>
            </w:r>
          </w:p>
        </w:tc>
        <w:tc>
          <w:tcPr>
            <w:tcW w:w="1880" w:type="dxa"/>
            <w:vAlign w:val="bottom"/>
          </w:tcPr>
          <w:p>
            <w:pPr>
              <w:spacing w:after="0"/>
              <w:rPr>
                <w:sz w:val="19"/>
                <w:szCs w:val="19"/>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January 2, 2015</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2014</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26, 2014</w:t>
            </w:r>
          </w:p>
        </w:tc>
        <w:tc>
          <w:tcPr>
            <w:tcW w:w="1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October 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June 19, 2014</w:t>
            </w:r>
          </w:p>
        </w:tc>
        <w:tc>
          <w:tcPr>
            <w:tcW w:w="188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July 1, 2014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20, 2014</w:t>
            </w:r>
          </w:p>
        </w:tc>
        <w:tc>
          <w:tcPr>
            <w:tcW w:w="1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April 1, 2014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December 20, 2013</w:t>
            </w:r>
          </w:p>
        </w:tc>
        <w:tc>
          <w:tcPr>
            <w:tcW w:w="1880" w:type="dxa"/>
            <w:vAlign w:val="bottom"/>
          </w:tcPr>
          <w:p>
            <w:pPr>
              <w:spacing w:after="0"/>
              <w:rPr>
                <w:sz w:val="19"/>
                <w:szCs w:val="19"/>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January 2, 2014</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20, 2013</w:t>
            </w:r>
          </w:p>
        </w:tc>
        <w:tc>
          <w:tcPr>
            <w:tcW w:w="1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October 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June 21, 2013</w:t>
            </w:r>
          </w:p>
        </w:tc>
        <w:tc>
          <w:tcPr>
            <w:tcW w:w="188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July 1, 2013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22, 2013</w:t>
            </w:r>
          </w:p>
        </w:tc>
        <w:tc>
          <w:tcPr>
            <w:tcW w:w="1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April 1, 2013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December 21, 2012</w:t>
            </w:r>
          </w:p>
        </w:tc>
        <w:tc>
          <w:tcPr>
            <w:tcW w:w="1880" w:type="dxa"/>
            <w:vAlign w:val="bottom"/>
          </w:tcPr>
          <w:p>
            <w:pPr>
              <w:spacing w:after="0"/>
              <w:rPr>
                <w:sz w:val="19"/>
                <w:szCs w:val="19"/>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January 2, 2013</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January 2015,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fiscal years ended September 30, 2014 and 2013 were solely from ordinary income and totaled $76.9 million, or $1.12 per share, and $74.4 million, or $1.12 per share, respectively, based on the weighted average shares outstanding for the respective periods.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459"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distributions or distributions at a particular level.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engage in any sales of unregistered securities during the fiscal years ended September 30, 2014, 2013 and 2012,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7"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9"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2010 and 2013, respectively. Our SBIC Funds’ objectives are to generate both current income and capital appreciation through debt and equity investments generally by investing with us in SBA-eligible businesses that meet the investment criteria used by PennantPark Investment.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$2.3 billion in debt and equity capital and has invested $4.1 billion in 344 companies with 140 different financial sponsors through its managed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80" w:hanging="314"/>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 look to</w:t>
      </w:r>
      <w:r>
        <w:rPr>
          <w:rFonts w:ascii="Arial" w:cs="Arial" w:eastAsia="Arial" w:hAnsi="Arial"/>
          <w:sz w:val="18"/>
          <w:szCs w:val="18"/>
          <w:b w:val="1"/>
          <w:bCs w:val="1"/>
          <w:color w:val="auto"/>
        </w:rPr>
        <w:t xml:space="preserve"> </w:t>
      </w:r>
      <w:r>
        <w:rPr>
          <w:rFonts w:ascii="Arial" w:cs="Arial" w:eastAsia="Arial" w:hAnsi="Arial"/>
          <w:sz w:val="18"/>
          <w:szCs w:val="18"/>
          <w:color w:val="auto"/>
        </w:rPr>
        <w:t>raise funds by issuing high-yield bonds. We believe this approach to financing may become more difficult from time to time to the extent institutional investors seek to invest in larger, more liquid offerings. We believe this has made it harder for middle-market companies to raise funds by issuing high-yield debt securities from time to time.</w:t>
      </w:r>
    </w:p>
    <w:p>
      <w:pPr>
        <w:spacing w:after="0" w:line="55" w:lineRule="exact"/>
        <w:rPr>
          <w:rFonts w:ascii="Arial" w:cs="Arial" w:eastAsia="Arial" w:hAnsi="Arial"/>
          <w:sz w:val="18"/>
          <w:szCs w:val="18"/>
          <w:color w:val="auto"/>
        </w:rPr>
      </w:pPr>
    </w:p>
    <w:p>
      <w:pPr>
        <w:ind w:left="660" w:right="220" w:hanging="314"/>
        <w:spacing w:after="0" w:line="357"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 xml:space="preserve">We believe middle-market companies have faced difficulty raising debt in private markets. </w:t>
      </w:r>
      <w:r>
        <w:rPr>
          <w:rFonts w:ascii="Arial" w:cs="Arial" w:eastAsia="Arial" w:hAnsi="Arial"/>
          <w:sz w:val="15"/>
          <w:szCs w:val="15"/>
          <w:color w:val="auto"/>
        </w:rPr>
        <w:t>From time to time, banks, finance companies, hedge</w:t>
      </w:r>
      <w:r>
        <w:rPr>
          <w:rFonts w:ascii="Arial" w:cs="Arial" w:eastAsia="Arial" w:hAnsi="Arial"/>
          <w:sz w:val="15"/>
          <w:szCs w:val="15"/>
          <w:b w:val="1"/>
          <w:bCs w:val="1"/>
          <w:color w:val="auto"/>
        </w:rPr>
        <w:t xml:space="preserve"> </w:t>
      </w:r>
      <w:r>
        <w:rPr>
          <w:rFonts w:ascii="Arial" w:cs="Arial" w:eastAsia="Arial" w:hAnsi="Arial"/>
          <w:sz w:val="15"/>
          <w:szCs w:val="15"/>
          <w:color w:val="auto"/>
        </w:rPr>
        <w:t>funds and CLO funds have, and may again, withdraw capital from the middle-market, resulting in opportunities for alternative funding sources.</w:t>
      </w:r>
    </w:p>
    <w:p>
      <w:pPr>
        <w:ind w:left="660" w:right="240" w:hanging="314"/>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risk-adjusted returns on our investments. </w:t>
      </w:r>
      <w:r>
        <w:rPr>
          <w:rFonts w:ascii="Arial" w:cs="Arial" w:eastAsia="Arial" w:hAnsi="Arial"/>
          <w:sz w:val="18"/>
          <w:szCs w:val="18"/>
          <w:color w:val="auto"/>
        </w:rPr>
        <w:t>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market participants have reduced lending to middle-market and non-investment grade borrowers. As a result, there is less competition in our market, more conservative capital structures, higher yields and stronger covenants.</w:t>
      </w:r>
    </w:p>
    <w:p>
      <w:pPr>
        <w:spacing w:after="0" w:line="51" w:lineRule="exact"/>
        <w:rPr>
          <w:rFonts w:ascii="Arial" w:cs="Arial" w:eastAsia="Arial" w:hAnsi="Arial"/>
          <w:sz w:val="18"/>
          <w:szCs w:val="18"/>
          <w:color w:val="auto"/>
        </w:rPr>
      </w:pPr>
    </w:p>
    <w:p>
      <w:pPr>
        <w:ind w:left="660" w:right="80" w:hanging="314"/>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w:t>
      </w:r>
    </w:p>
    <w:p>
      <w:pPr>
        <w:spacing w:after="0" w:line="22" w:lineRule="exact"/>
        <w:rPr>
          <w:rFonts w:ascii="Arial" w:cs="Arial" w:eastAsia="Arial" w:hAnsi="Arial"/>
          <w:sz w:val="16"/>
          <w:szCs w:val="16"/>
          <w:color w:val="auto"/>
        </w:rPr>
      </w:pPr>
    </w:p>
    <w:p>
      <w:pPr>
        <w:ind w:left="660" w:hanging="314"/>
        <w:spacing w:after="0" w:line="29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resulting from maturing loans that seek refinancing. </w:t>
      </w:r>
      <w:r>
        <w:rPr>
          <w:rFonts w:ascii="Arial" w:cs="Arial" w:eastAsia="Arial" w:hAnsi="Arial"/>
          <w:sz w:val="16"/>
          <w:szCs w:val="16"/>
          <w:color w:val="auto"/>
        </w:rPr>
        <w:t>A high volume of financings will</w:t>
      </w:r>
      <w:r>
        <w:rPr>
          <w:rFonts w:ascii="Arial" w:cs="Arial" w:eastAsia="Arial" w:hAnsi="Arial"/>
          <w:sz w:val="16"/>
          <w:szCs w:val="16"/>
          <w:b w:val="1"/>
          <w:bCs w:val="1"/>
          <w:color w:val="auto"/>
        </w:rPr>
        <w:t xml:space="preserve"> </w:t>
      </w:r>
      <w:r>
        <w:rPr>
          <w:rFonts w:ascii="Arial" w:cs="Arial" w:eastAsia="Arial" w:hAnsi="Arial"/>
          <w:sz w:val="16"/>
          <w:szCs w:val="16"/>
          <w:color w:val="auto"/>
        </w:rPr>
        <w:t>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lack of demand offers attractive risk-adjusted returns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underwriting capabilities and more extensive ongoing monitoring are required by the lender.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05"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However, we believe that from time to time there has been a reduction in the amount of debt capital available to middle-market companies. We believe this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maintain a multi-currency $545.0 million Credit Facility which matures in June 2019 and is secured by substantially all of our investment portfolio assets (excluding the assets of our SBIC Funds), under which we had $55.2 million and $145.5 million (including a $28.0 million temporary draw) of debt outstanding with a weighted average interest rate of 2.80% and 3.33% as of September 30, 2014 and 2013, respectively. Pricing of borrowings under our current Credit Facility is set at 225 basis points over LIBOR. As of September 30, 2014 and 2013, we had $489.8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and 80% of our net assets.</w:t>
      </w:r>
    </w:p>
    <w:p>
      <w:pPr>
        <w:spacing w:after="0" w:line="9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As of September 30, 2014 and 2013, our SBIC Funds had $225 million and $150 million in debt commitments, respectively, and $150 million was drawn for each period with a weighted average interest rate of 3.70%, exclusive of 3.43% of upfront fees (4.04% inclusive of the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89"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of September 30,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As of September 30, 2014 and 2013, we had $71.3 million in aggregate principal amount of 2025 Notes. Interest on the 2025 Notes accrues at a rate of 6.25% per year and is paid quarterly.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89" w:lineRule="exact"/>
        <w:rPr>
          <w:sz w:val="20"/>
          <w:szCs w:val="20"/>
          <w:color w:val="auto"/>
        </w:rPr>
      </w:pPr>
    </w:p>
    <w:p>
      <w:pPr>
        <w:ind w:right="100" w:firstLine="565"/>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93"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4" w:lineRule="exact"/>
        <w:rPr>
          <w:sz w:val="20"/>
          <w:szCs w:val="20"/>
          <w:color w:val="auto"/>
        </w:rPr>
      </w:pPr>
    </w:p>
    <w:p>
      <w:pPr>
        <w:ind w:left="1120" w:hanging="437"/>
        <w:spacing w:after="0"/>
        <w:tabs>
          <w:tab w:leader="none" w:pos="11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84" w:lineRule="exact"/>
        <w:rPr>
          <w:sz w:val="20"/>
          <w:szCs w:val="20"/>
          <w:color w:val="auto"/>
        </w:rPr>
      </w:pPr>
    </w:p>
    <w:p>
      <w:pPr>
        <w:ind w:left="1120" w:hanging="437"/>
        <w:spacing w:after="0"/>
        <w:tabs>
          <w:tab w:leader="none" w:pos="112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20" w:hanging="437"/>
        <w:spacing w:after="0"/>
        <w:tabs>
          <w:tab w:leader="none" w:pos="11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 although we are permitted to be non-diversified.</w:t>
      </w:r>
    </w:p>
    <w:p>
      <w:pPr>
        <w:spacing w:after="0" w:line="181" w:lineRule="exact"/>
        <w:rPr>
          <w:sz w:val="20"/>
          <w:szCs w:val="20"/>
          <w:color w:val="auto"/>
        </w:rPr>
      </w:pPr>
    </w:p>
    <w:p>
      <w:pPr>
        <w:ind w:left="1120" w:hanging="437"/>
        <w:spacing w:after="0"/>
        <w:tabs>
          <w:tab w:leader="none" w:pos="11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The Investment Adviser seeks to invest in portfolio companies that we believe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may include:</w:t>
      </w:r>
    </w:p>
    <w:p>
      <w:pPr>
        <w:spacing w:after="0" w:line="158"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3"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58" w:lineRule="exact"/>
        <w:rPr>
          <w:sz w:val="20"/>
          <w:szCs w:val="20"/>
          <w:color w:val="auto"/>
        </w:rPr>
      </w:pPr>
    </w:p>
    <w:p>
      <w:pPr>
        <w:jc w:val="both"/>
        <w:ind w:right="100" w:firstLine="571"/>
        <w:spacing w:after="0" w:line="298" w:lineRule="auto"/>
        <w:rPr>
          <w:sz w:val="20"/>
          <w:szCs w:val="20"/>
          <w:color w:val="auto"/>
        </w:rPr>
      </w:pPr>
      <w:r>
        <w:rPr>
          <w:rFonts w:ascii="Arial" w:cs="Arial" w:eastAsia="Arial" w:hAnsi="Arial"/>
          <w:sz w:val="16"/>
          <w:szCs w:val="16"/>
          <w:color w:val="auto"/>
        </w:rPr>
        <w:t>Typically, our mezzanine debt has maturities of three to ten years. Mezzanine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86"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if a liquidity event takes place, such as the sale or refinancing of a portfolio company.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8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 and to assess the appropriate course of action for each portfolio company.</w:t>
      </w:r>
    </w:p>
    <w:p>
      <w:pPr>
        <w:spacing w:after="0" w:line="58"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120" w:hanging="67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4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Aerospace and Defense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Auto Sector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Beverage, Food and Tobacco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Broadcasting and Entertainment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Buildings and Real Estate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Building Materials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Business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Cable Television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Cargo Transportation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Chemicals, Plastics and Rubber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Consumer Products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Containers Packaging &amp; Glass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Distribution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Manufacturing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Diversified/Conglomerate Services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 Diversified Natural Resources, Precious Metals and Minerals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Education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Electronics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Energy/Utilities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Grocery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Healthcare, Education and Childcare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Home &amp; Office Furnishings, Housewares &amp; Durable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Hotels, Motels, Inns and Gaming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Leisure, Amusement, Motion Picture, Entertainment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Logistics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Manufacturing/Basic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Mining, Steel, Iron and Non-Precious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Oil and 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Other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Personal, Food and Miscellaneous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Printing and Publishing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Retail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Telecommunications</w:t>
      </w:r>
    </w:p>
    <w:p>
      <w:pPr>
        <w:spacing w:after="0" w:line="138"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2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330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RAM Energy LLC</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w w:val="99"/>
              </w:rPr>
              <w:t>8%</w:t>
            </w:r>
          </w:p>
        </w:tc>
        <w:tc>
          <w:tcPr>
            <w:tcW w:w="340" w:type="dxa"/>
            <w:vAlign w:val="bottom"/>
            <w:vMerge w:val="continue"/>
          </w:tcPr>
          <w:p>
            <w:pPr>
              <w:spacing w:after="0"/>
              <w:rPr>
                <w:sz w:val="17"/>
                <w:szCs w:val="17"/>
                <w:color w:val="auto"/>
              </w:rPr>
            </w:pPr>
          </w:p>
        </w:tc>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Foundation Building Materials, LLC</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Magnum Hunter Resources Corporation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Gulf Resources, LLC</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w:t>
            </w: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(Eureka Hunter Pipeline, LLC)</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Pre-Paid Legal Services,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Affinion Group Holdings, Inc.</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Jacobs Entertainment,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AKA Diversified Holdings,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Patriot National, Inc. (f/k/a Old Guard Risk Services, Inc.)</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Vestcom International,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 Cosmetics Holdings, Inc.</w:t>
            </w:r>
          </w:p>
        </w:tc>
        <w:tc>
          <w:tcPr>
            <w:tcW w:w="70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Instant Web, Inc.</w:t>
            </w:r>
          </w:p>
        </w:tc>
        <w:tc>
          <w:tcPr>
            <w:tcW w:w="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Trust Inns Limited</w:t>
            </w:r>
          </w:p>
        </w:tc>
        <w:tc>
          <w:tcPr>
            <w:tcW w:w="70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4780" w:type="dxa"/>
            <w:vAlign w:val="bottom"/>
            <w:gridSpan w:val="2"/>
          </w:tcPr>
          <w:p>
            <w:pPr>
              <w:spacing w:after="0" w:line="196" w:lineRule="exact"/>
              <w:rPr>
                <w:sz w:val="20"/>
                <w:szCs w:val="20"/>
                <w:color w:val="auto"/>
              </w:rPr>
            </w:pPr>
            <w:r>
              <w:rPr>
                <w:rFonts w:ascii="Arial" w:cs="Arial" w:eastAsia="Arial" w:hAnsi="Arial"/>
                <w:sz w:val="18"/>
                <w:szCs w:val="18"/>
                <w:color w:val="auto"/>
              </w:rPr>
              <w:t>Penton Media, Inc.</w:t>
            </w:r>
          </w:p>
        </w:tc>
        <w:tc>
          <w:tcPr>
            <w:tcW w:w="500" w:type="dxa"/>
            <w:vAlign w:val="bottom"/>
          </w:tcPr>
          <w:p>
            <w:pPr>
              <w:ind w:left="400"/>
              <w:spacing w:after="0" w:line="196" w:lineRule="exact"/>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Novitex Acquisition, LLC</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Trak Acquisition Corp.</w:t>
            </w:r>
          </w:p>
        </w:tc>
        <w:tc>
          <w:tcPr>
            <w:tcW w:w="5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Varel International Energy Mezzanine Funding Corp.</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Industry</w:t>
            </w:r>
          </w:p>
        </w:tc>
        <w:tc>
          <w:tcPr>
            <w:tcW w:w="406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b w:val="1"/>
                <w:bCs w:val="1"/>
                <w:color w:val="auto"/>
              </w:rPr>
              <w:t>Industry</w:t>
            </w:r>
          </w:p>
        </w:tc>
        <w:tc>
          <w:tcPr>
            <w:tcW w:w="5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78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00" w:type="dxa"/>
            <w:vAlign w:val="bottom"/>
            <w:tcBorders>
              <w:bottom w:val="single" w:sz="8" w:color="CCEEFF"/>
            </w:tcBorders>
            <w:shd w:val="clear" w:color="auto" w:fill="000000"/>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780" w:type="dxa"/>
            <w:vAlign w:val="bottom"/>
            <w:tcBorders>
              <w:top w:val="single" w:sz="8" w:color="CCEEFF"/>
            </w:tcBorders>
            <w:gridSpan w:val="2"/>
            <w:vMerge w:val="continue"/>
            <w:shd w:val="clear" w:color="auto" w:fill="CCEEFF"/>
          </w:tcPr>
          <w:p>
            <w:pPr>
              <w:spacing w:after="0"/>
              <w:rPr>
                <w:sz w:val="14"/>
                <w:szCs w:val="14"/>
                <w:color w:val="auto"/>
              </w:rPr>
            </w:pPr>
          </w:p>
        </w:tc>
        <w:tc>
          <w:tcPr>
            <w:tcW w:w="700" w:type="dxa"/>
            <w:vAlign w:val="bottom"/>
            <w:tcBorders>
              <w:top w:val="single" w:sz="8" w:color="CCEEFF"/>
            </w:tcBorders>
            <w:gridSpan w:val="2"/>
            <w:shd w:val="clear" w:color="auto" w:fill="CCEEFF"/>
          </w:tcPr>
          <w:p>
            <w:pPr>
              <w:ind w:left="420"/>
              <w:spacing w:after="0" w:line="163" w:lineRule="exact"/>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14"/>
                <w:szCs w:val="14"/>
                <w:color w:val="auto"/>
              </w:rPr>
            </w:pPr>
          </w:p>
        </w:tc>
        <w:tc>
          <w:tcPr>
            <w:tcW w:w="4740" w:type="dxa"/>
            <w:vAlign w:val="bottom"/>
            <w:tcBorders>
              <w:top w:val="single" w:sz="8" w:color="CCEEFF"/>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Personal, Food and Miscellaneous Services</w:t>
            </w:r>
          </w:p>
        </w:tc>
        <w:tc>
          <w:tcPr>
            <w:tcW w:w="500" w:type="dxa"/>
            <w:vAlign w:val="bottom"/>
            <w:tcBorders>
              <w:top w:val="single" w:sz="8" w:color="auto"/>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11</w:t>
            </w:r>
          </w:p>
        </w:tc>
        <w:tc>
          <w:tcPr>
            <w:tcW w:w="240" w:type="dxa"/>
            <w:vAlign w:val="bottom"/>
            <w:tcBorders>
              <w:top w:val="single" w:sz="8" w:color="CCEEFF"/>
              <w:bottom w:val="single" w:sz="8" w:color="CCEEFF"/>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Oil and Gas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Printing and Publishing</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9</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Business Services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Business Services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Energy / Utilities</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8</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Electronics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Building Materials</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Healthcare, Education &amp; Childcare</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Electronics</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6</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Oil and Gas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Insurance</w:t>
            </w:r>
          </w:p>
        </w:tc>
        <w:tc>
          <w:tcPr>
            <w:tcW w:w="70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6"/>
                <w:szCs w:val="16"/>
                <w:color w:val="auto"/>
              </w:rPr>
            </w:pPr>
          </w:p>
        </w:tc>
        <w:tc>
          <w:tcPr>
            <w:tcW w:w="4740" w:type="dxa"/>
            <w:vAlign w:val="bottom"/>
            <w:gridSpan w:val="2"/>
          </w:tcPr>
          <w:p>
            <w:pPr>
              <w:spacing w:after="0" w:line="189" w:lineRule="exact"/>
              <w:rPr>
                <w:sz w:val="20"/>
                <w:szCs w:val="20"/>
                <w:color w:val="auto"/>
              </w:rPr>
            </w:pPr>
            <w:r>
              <w:rPr>
                <w:rFonts w:ascii="Arial" w:cs="Arial" w:eastAsia="Arial" w:hAnsi="Arial"/>
                <w:sz w:val="18"/>
                <w:szCs w:val="18"/>
                <w:color w:val="auto"/>
              </w:rPr>
              <w:t>Chemicals, Plastics and Rubber</w:t>
            </w: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Auto Sector</w:t>
            </w: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4</w:t>
            </w:r>
          </w:p>
        </w:tc>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gridSpan w:val="2"/>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340" w:type="dxa"/>
            <w:vAlign w:val="bottom"/>
            <w:vMerge w:val="continue"/>
          </w:tcPr>
          <w:p>
            <w:pPr>
              <w:spacing w:after="0"/>
              <w:rPr>
                <w:sz w:val="17"/>
                <w:szCs w:val="17"/>
                <w:color w:val="auto"/>
              </w:rPr>
            </w:pPr>
          </w:p>
        </w:tc>
        <w:tc>
          <w:tcPr>
            <w:tcW w:w="474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Consumer Products</w:t>
            </w:r>
          </w:p>
        </w:tc>
        <w:tc>
          <w:tcPr>
            <w:tcW w:w="50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Healthcare, Education and Childcare</w:t>
            </w:r>
          </w:p>
        </w:tc>
        <w:tc>
          <w:tcPr>
            <w:tcW w:w="70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7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7"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2014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Companies Less than 5% Owned</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Acentia,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3130 Fairview Park Drive,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Falls Church, VA 22042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Investments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10039 Bissonnet Street, Ste. 250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77036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AHC Mezzanine,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Park Avenue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Aircell Business Aviation Services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1250 North Arlington Heights Road, Ste. 500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Itasca, IL 60143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AKA Diversified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 Wireless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Ste. 420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Alegeus Technologies,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(Alegeus Technologies Holdings Corp.)</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1601 Trapelo Rd.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Waltham, MA 02451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Diversified Natural Resources,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29950 South Bonanza Highway</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Precious Metals and Minerals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Bonanza, UT 84008</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AP Gaming I,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Hotels, Motels, Inns and Gaming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Asensus,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Dryden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Dresher, PA 19025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ASP LCG Holdings, Inc.</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Education</w:t>
            </w: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Warrants</w:t>
            </w:r>
          </w:p>
        </w:tc>
        <w:tc>
          <w:tcPr>
            <w:tcW w:w="100" w:type="dxa"/>
            <w:vAlign w:val="bottom"/>
          </w:tcPr>
          <w:p>
            <w:pPr>
              <w:spacing w:after="0"/>
              <w:rPr>
                <w:sz w:val="17"/>
                <w:szCs w:val="17"/>
                <w:color w:val="auto"/>
              </w:rPr>
            </w:pPr>
          </w:p>
        </w:tc>
        <w:tc>
          <w:tcPr>
            <w:tcW w:w="1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21333 Haggerty Road, Ste. 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Novi, MI 48375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Broadcasting and Entertainment</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Bennu Oil &amp; Gas,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1330 Post Oak Boulevard, Ste. 1600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Logistics Holdings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(Intermediate Transportation 100,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12404 Park Central Dr., Ste. 300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TX 75251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Carolina Beverage Group,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Beverage, Food and Tobacco</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110 Barley Park Lane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Mooresville, NC 28115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 (Galls) Prime Investment Holdings,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1340 Russell Cave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Lexington, KY 40505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CI (IHS) Investment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3800 North Wilke Road, Ste. 155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Arlington Heights, IL 60004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(Convergint Technologies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1651 Wilkening Rd.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Schaumburg, IL 60173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Credit Infonet,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Holdings,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 Intermediate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925 North Point Parkway, Ste. 350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Energy &amp; Exploration Partners,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Two City Place, Ste. 1700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Hundred Throckmorton St.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Fort Worth, TX 76102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Envision Acquisition Company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2181 East Aurora Road, Ste. 201</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Twinsburg, OH 44087</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Foundation Building Materials,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Building Materials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1431 N Main Street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Orange, CA 92867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Hollander Sleep Products,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6501 Congress Avenue, Ste. 300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Boca Raton, FL 33487</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IDQ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2901 West Kingsley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Garland, TX 75041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Infusystems Holdings, Inc.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Healthcare, Education and Childcare</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31700 Research Park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Madison Heights, MI 48071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 Cosmetics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Jackson Hewitt Tax Services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 Ste. 301</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Jacobs Entertainment,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Hotels, Motels, Inns and Gaming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17301 W. Colfax Ave., Ste. 250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Golden, CO 80401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JF Acquisition,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(MidOcean JF Holdings Corp.)</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1330 St. Mary’s Street, Ste. 210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27605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Kadmon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Alexandria Center for Life Sciences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450 East 29</w:t>
            </w:r>
            <w:r>
              <w:rPr>
                <w:rFonts w:ascii="Arial" w:cs="Arial" w:eastAsia="Arial" w:hAnsi="Arial"/>
                <w:sz w:val="11"/>
                <w:szCs w:val="11"/>
                <w:color w:val="auto"/>
              </w:rPr>
              <w:t>th</w:t>
            </w:r>
            <w:r>
              <w:rPr>
                <w:rFonts w:ascii="Arial" w:cs="Arial" w:eastAsia="Arial" w:hAnsi="Arial"/>
                <w:sz w:val="18"/>
                <w:szCs w:val="18"/>
                <w:color w:val="auto"/>
              </w:rPr>
              <w:t xml:space="preserve"> Street,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New York, NY 10016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500 Park Ave., 8th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K2 Pure Solutions NoCal, L.P.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3515 Massillion Road, Ste. 290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Uniontown, OH 44685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Language Line,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Lower Ragsdale Drive</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2,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Monterey, CA 93940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Lariat ecoserv Co-invest Holdings,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 (4)</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1331 17th Street, Ste. 812</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Denver, CO 80202</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USA GP and</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Energy Finance (USA),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Louisiana Street, Ste. 1500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Magnum Hunter Resources Corporation </w:t>
            </w:r>
            <w:r>
              <w:rPr>
                <w:rFonts w:ascii="Arial" w:cs="Arial" w:eastAsia="Arial" w:hAnsi="Arial"/>
                <w:sz w:val="11"/>
                <w:szCs w:val="11"/>
                <w:color w:val="auto"/>
              </w:rPr>
              <w:t>(5)</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Energy/Utilities Oil and Gas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777 Post Oak Blvd., Ste. 650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MSpark,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New Gulf Resources,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10441 S. Regal Blvd. Ste. 210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Tulsa, OK 74133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Elmcroft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06926</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Paradigm Acquisition Corp.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1277 Treat Boulevard,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Walnut Creek, CA 94597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Patriot National,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Banking, Finance, Insurance and</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Real Estate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Penton Media,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1"/>
                <w:szCs w:val="11"/>
                <w:color w:val="auto"/>
              </w:rPr>
              <w:t>th</w:t>
            </w:r>
            <w:r>
              <w:rPr>
                <w:rFonts w:ascii="Arial" w:cs="Arial" w:eastAsia="Arial" w:hAnsi="Arial"/>
                <w:sz w:val="18"/>
                <w:szCs w:val="18"/>
                <w:color w:val="auto"/>
              </w:rPr>
              <w:t xml:space="preserve"> Street, 4</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Products,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N85 W12545 Westbrook Crossing</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Menomonee Falls, WI 53051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Pre-Paid Legal Services,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Miscellaneous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(MidOcean PPL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Pre-Paid Way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Ada, OK 74820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Prince Mineral Holdings Corp.</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Mining, Steel, Iron and Non-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 East 44th Street</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Precious Metals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RAM Energy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Energy and Utilities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2100 South Utica Avenue, Ste. 165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Tulsa, OK 74114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Randall-Reilly Publishing Company,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3200 Rice Mine Road NE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Tuscaloosa, AL 35406</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Red Point,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Thomas Circle, NW, Ste. 600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Washington, DC 20005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Ride Holdings,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Personal Transportation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1220 Rankin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MI 48083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Robertshaw US Holding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Consumer Goods: Durable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191 East North Avenue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Carol Stream, IL 60188</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Sotera Defense Solutions,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2121 Cooperative Way,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Herndon, VA 20171-5393.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SPG Boyd Holdings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Chemical, Plastic and Rubber</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600 S. McClure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Modesto, CA 95357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TRAK Acquisition Corp.</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 Brickell Bay Drive, 27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Trust Inns Limited </w:t>
            </w:r>
            <w:r>
              <w:rPr>
                <w:rFonts w:ascii="Arial" w:cs="Arial" w:eastAsia="Arial" w:hAnsi="Arial"/>
                <w:sz w:val="11"/>
                <w:szCs w:val="11"/>
                <w:color w:val="auto"/>
              </w:rPr>
              <w:t>(5)</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Buildings and Real Estate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Blenheim House Foxhole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Ackhurst Park Chorley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Lancashire PR7 1NY</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 San Nicolas Drive, Ste. 360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Newport Beach, CA 92660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Well Services,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770 South Post Oak Lane, Ste. 405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Vestcom Parent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7304 Kanis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Little Rock, AR 72204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VText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50 Public Square, 29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Cleveland, OH 44113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Worley Claims Services,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303 Timber Creek,</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Hammond, LA 70403</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Companies 5% to 24% Owned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EnviroSolutions Real Property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(EnviroSolutions Holdings,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11220 Asset Loop, Ste. 201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Manassas, VA 20109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NCP-Performance, L.P.</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Leisure, Amusement, Motion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Performance Way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Pictures, Entertainment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Chapel Hill, NC 27514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PAS International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22.0%</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1234 Atlantic Street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North Kansas City, MO 64116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Service Champ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New Britain Blvd.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Chalfont, PA 18914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4"/>
              </w:rPr>
              <w:t>Voting Percentage</w:t>
            </w:r>
          </w:p>
        </w:tc>
        <w:tc>
          <w:tcPr>
            <w:tcW w:w="0" w:type="dxa"/>
            <w:vAlign w:val="bottom"/>
          </w:tcPr>
          <w:p>
            <w:pPr>
              <w:spacing w:after="0"/>
              <w:rPr>
                <w:sz w:val="1"/>
                <w:szCs w:val="1"/>
                <w:color w:val="auto"/>
              </w:rPr>
            </w:pPr>
          </w:p>
        </w:tc>
      </w:tr>
      <w:tr>
        <w:trPr>
          <w:trHeight w:val="189"/>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960" w:type="dxa"/>
            <w:vAlign w:val="bottom"/>
            <w:gridSpan w:val="2"/>
          </w:tcPr>
          <w:p>
            <w:pPr>
              <w:ind w:left="860"/>
              <w:spacing w:after="0"/>
              <w:rPr>
                <w:sz w:val="20"/>
                <w:szCs w:val="20"/>
                <w:color w:val="auto"/>
              </w:rPr>
            </w:pPr>
            <w:r>
              <w:rPr>
                <w:rFonts w:ascii="Arial" w:cs="Arial" w:eastAsia="Arial" w:hAnsi="Arial"/>
                <w:sz w:val="14"/>
                <w:szCs w:val="14"/>
                <w:b w:val="1"/>
                <w:bCs w:val="1"/>
                <w:color w:val="auto"/>
              </w:rPr>
              <w:t>Type of Investment</w:t>
            </w:r>
          </w:p>
        </w:tc>
        <w:tc>
          <w:tcPr>
            <w:tcW w:w="228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Companies 25% or More Owned</w:t>
            </w:r>
          </w:p>
        </w:tc>
        <w:tc>
          <w:tcPr>
            <w:tcW w:w="120" w:type="dxa"/>
            <w:vAlign w:val="bottom"/>
          </w:tcPr>
          <w:p>
            <w:pPr>
              <w:spacing w:after="0"/>
              <w:rPr>
                <w:sz w:val="19"/>
                <w:szCs w:val="19"/>
                <w:color w:val="auto"/>
              </w:rPr>
            </w:pPr>
          </w:p>
        </w:tc>
        <w:tc>
          <w:tcPr>
            <w:tcW w:w="2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Superior Digital Displays, LLC</w:t>
            </w:r>
          </w:p>
        </w:tc>
        <w:tc>
          <w:tcPr>
            <w:tcW w:w="3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Media</w:t>
            </w: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First Lien Secured Debt</w:t>
            </w:r>
          </w:p>
        </w:tc>
        <w:tc>
          <w:tcPr>
            <w:tcW w:w="2280" w:type="dxa"/>
            <w:vAlign w:val="bottom"/>
            <w:shd w:val="clear" w:color="auto" w:fill="CCEEFF"/>
          </w:tcPr>
          <w:p>
            <w:pPr>
              <w:jc w:val="center"/>
              <w:ind w:right="743"/>
              <w:spacing w:after="0"/>
              <w:rPr>
                <w:sz w:val="20"/>
                <w:szCs w:val="20"/>
                <w:color w:val="auto"/>
              </w:rPr>
            </w:pPr>
            <w:r>
              <w:rPr>
                <w:rFonts w:ascii="Arial" w:cs="Arial" w:eastAsia="Arial" w:hAnsi="Arial"/>
                <w:sz w:val="18"/>
                <w:szCs w:val="18"/>
                <w:color w:val="auto"/>
              </w:rPr>
              <w:t>47.5%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125 Park Ave. 25th Floor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Common Equity</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30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First Lien Secured Debt</w:t>
            </w:r>
          </w:p>
        </w:tc>
        <w:tc>
          <w:tcPr>
            <w:tcW w:w="2280" w:type="dxa"/>
            <w:vAlign w:val="bottom"/>
          </w:tcPr>
          <w:p>
            <w:pPr>
              <w:jc w:val="center"/>
              <w:ind w:right="623"/>
              <w:spacing w:after="0"/>
              <w:rPr>
                <w:sz w:val="20"/>
                <w:szCs w:val="20"/>
                <w:color w:val="auto"/>
              </w:rPr>
            </w:pPr>
            <w:r>
              <w:rPr>
                <w:rFonts w:ascii="Arial" w:cs="Arial" w:eastAsia="Arial" w:hAnsi="Arial"/>
                <w:sz w:val="18"/>
                <w:szCs w:val="18"/>
                <w:color w:val="auto"/>
              </w:rPr>
              <w:t>100.0%</w:t>
            </w: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Subordinated Debt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Preferred Equity</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Equity</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5176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340" w:right="360" w:hanging="332"/>
        <w:spacing w:after="0" w:line="230"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assets unless, at the time the acquisition is made, qualifying assets represent at least 70% of our total assets.</w:t>
      </w:r>
    </w:p>
    <w:p>
      <w:pPr>
        <w:spacing w:after="0" w:line="60"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Foundation Building Materials, LLC (Building Materials)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Foundation Building Materials, LLC is a distributor of drywall and other building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RAM Energy LLC (Energy and Utilities)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RAM Energy LLC is an exploration and production company focused on operations in the Arkansas-Louisiana-Texas and Permian regions.</w:t>
      </w:r>
    </w:p>
    <w:p>
      <w:pPr>
        <w:spacing w:after="0" w:line="194"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ectPr>
          <w:pgSz w:w="11900" w:h="16838" w:orient="portrait"/>
          <w:cols w:equalWidth="0" w:num="1">
            <w:col w:w="11420"/>
          </w:cols>
          <w:pgMar w:left="240" w:top="459" w:right="23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Classification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0</wp:posOffset>
            </wp:positionV>
            <wp:extent cx="1183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49"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auto"/>
        </w:rPr>
        <w:t>2014</w:t>
      </w:r>
      <w:r>
        <w:rPr>
          <w:sz w:val="20"/>
          <w:szCs w:val="20"/>
          <w:color w:val="auto"/>
        </w:rPr>
        <w:tab/>
      </w:r>
      <w:r>
        <w:rPr>
          <w:rFonts w:ascii="Arial" w:cs="Arial" w:eastAsia="Arial" w:hAnsi="Arial"/>
          <w:sz w:val="11"/>
          <w:szCs w:val="11"/>
          <w:b w:val="1"/>
          <w:bCs w:val="1"/>
          <w:color w:val="auto"/>
        </w:rPr>
        <w:t>2013</w:t>
      </w:r>
    </w:p>
    <w:p>
      <w:pPr>
        <w:spacing w:after="0" w:line="55" w:lineRule="exact"/>
        <w:rPr>
          <w:sz w:val="20"/>
          <w:szCs w:val="20"/>
          <w:color w:val="auto"/>
        </w:rPr>
      </w:pPr>
    </w:p>
    <w:p>
      <w:pPr>
        <w:sectPr>
          <w:pgSz w:w="11900" w:h="16838" w:orient="portrait"/>
          <w:cols w:equalWidth="0" w:num="2">
            <w:col w:w="8680" w:space="720"/>
            <w:col w:w="2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Consumer Products</w:t>
            </w:r>
          </w:p>
        </w:tc>
        <w:tc>
          <w:tcPr>
            <w:tcW w:w="3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960"/>
              <w:spacing w:after="0" w:line="189" w:lineRule="exact"/>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Oil and Gas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Business Services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 Materials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Insurance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Auto Sector</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Buildings and Real Estate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Media</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Distribution</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Environmental Services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Printing and Publishing</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5860" w:type="dxa"/>
            <w:vAlign w:val="bottom"/>
            <w:gridSpan w:val="4"/>
          </w:tcPr>
          <w:p>
            <w:pPr>
              <w:jc w:val="right"/>
              <w:ind w:right="96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980" w:type="dxa"/>
            <w:vAlign w:val="bottom"/>
            <w:vMerge w:val="restart"/>
          </w:tcPr>
          <w:p>
            <w:pPr>
              <w:jc w:val="right"/>
              <w:ind w:right="3052"/>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which are refer to as directors,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6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80" w:firstLine="429"/>
        <w:spacing w:after="0" w:line="294" w:lineRule="auto"/>
        <w:rPr>
          <w:sz w:val="20"/>
          <w:szCs w:val="20"/>
          <w:color w:val="auto"/>
        </w:rPr>
      </w:pPr>
      <w:r>
        <w:rPr>
          <w:rFonts w:ascii="Arial" w:cs="Arial" w:eastAsia="Arial" w:hAnsi="Arial"/>
          <w:sz w:val="16"/>
          <w:szCs w:val="16"/>
          <w:color w:val="auto"/>
        </w:rPr>
        <w:t>Adam K. Bernstein (51), Director. Mr. Bernstein became a Director of PennantPark Investment and PennantPark Floating Rate Capital Ltd. in February 2007 and October 2010, respectively. Mr. Bernstein is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Marshall Brozost (47),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6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Jeffrey Flug (52), Director. Mr. Flug became a Director of PennantPark Investment and PennantPark Floating Rate Capital Ltd. in February 2007 and October 2010, respectively. Since 2009, Mr. Flug has held a variety of senior positions, including, currently, President of Union Square Hospitality Group, an exclusive chain of restaurants. Since October 2012, Mr. Flug has been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Samuel L. Katz (49), Director. Mr. Katz became a Director of PennantPark Investment and PennantPark Floating Rate Capital Ltd. in February 2007 and October 2010, respectively.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Arthur H. Penn (51), Founder, Chief Executive Officer and Chairman of the board of directors. Mr. Penn became the Chief Executive Officer and a Director of PennantPark Investment and PennantPark Floating Rate Capital Ltd. at their inception in 2007 and 2010, respectively. He also founded and became Managing Member of PennantPark Investment Advisers in January 2007. Mr. Penn co-founded Apollo Investment Management in 2004, where he was a Managing Partner from 2004 to 2007.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Aviv Efrat (50),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Guy F. Talarico (59), Chief Compliance Officer. Mr. Talarico became Chief Compliance Officer of PennantPark Investment and PennantPark Floating Rate Capital Ltd. in May 2008 and March 2011, respectively. Mr. Talarico has held the position of Chief Compliance Officer for a number of investment advisers, private funds and investment companies from 2004 when he founded Alaric Compliance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For the fiscal year ended September 30, 2014, we held six board of directors meetings, five Audit Committee meetings and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2014, all of the directors attended the annual stockholders’ meeting.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www.pennantpark.com</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2014.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ind w:left="500"/>
              <w:spacing w:after="0"/>
              <w:rPr>
                <w:sz w:val="20"/>
                <w:szCs w:val="20"/>
                <w:color w:val="auto"/>
              </w:rPr>
            </w:pPr>
            <w:r>
              <w:rPr>
                <w:rFonts w:ascii="Arial" w:cs="Arial" w:eastAsia="Arial" w:hAnsi="Arial"/>
                <w:sz w:val="14"/>
                <w:szCs w:val="14"/>
                <w:b w:val="1"/>
                <w:bCs w:val="1"/>
                <w:color w:val="auto"/>
                <w:w w:val="88"/>
              </w:rPr>
              <w:t>PennantPark Investment Corporation</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ind w:left="260"/>
              <w:spacing w:after="0"/>
              <w:rPr>
                <w:sz w:val="20"/>
                <w:szCs w:val="20"/>
                <w:color w:val="auto"/>
              </w:rPr>
            </w:pPr>
            <w:r>
              <w:rPr>
                <w:rFonts w:ascii="Arial" w:cs="Arial" w:eastAsia="Arial" w:hAnsi="Arial"/>
                <w:sz w:val="14"/>
                <w:szCs w:val="14"/>
                <w:b w:val="1"/>
                <w:bCs w:val="1"/>
                <w:color w:val="auto"/>
              </w:rPr>
              <w:t>PennantPark Floating Rate Capital,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Pension or</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20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450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5"/>
              </w:rPr>
              <w:t>expense</w:t>
            </w:r>
            <w:r>
              <w:rPr>
                <w:rFonts w:ascii="Arial" w:cs="Arial" w:eastAsia="Arial" w:hAnsi="Arial"/>
                <w:sz w:val="18"/>
                <w:szCs w:val="18"/>
                <w:b w:val="1"/>
                <w:bCs w:val="1"/>
                <w:color w:val="auto"/>
                <w:w w:val="95"/>
                <w:vertAlign w:val="superscript"/>
              </w:rPr>
              <w:t>(1)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2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tcBorders>
              <w:top w:val="single" w:sz="8" w:color="CCEEFF"/>
            </w:tcBorders>
            <w:gridSpan w:val="2"/>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120,000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120,000</w:t>
            </w:r>
          </w:p>
        </w:tc>
        <w:tc>
          <w:tcPr>
            <w:tcW w:w="2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61,250</w:t>
            </w:r>
          </w:p>
        </w:tc>
        <w:tc>
          <w:tcPr>
            <w:tcW w:w="3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122,500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$61,250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$110,000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Independent Directors have the option to receive their directors’ fees paid in shares of our common stock issued at a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the greater of NAV or the market price at the time of payment. No compensation is expected to be paid to directors who are “interested persons”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1940 Act). Prior to May 7, 2014, each Independent Director received an annual payment of $90,000 for services performed on behalf of us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addition to managing our investments, as of September 30, 2014, our portfolio managers also managed investments on behalf of the following entity:</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ind w:left="60"/>
              <w:spacing w:after="0"/>
              <w:rPr>
                <w:sz w:val="20"/>
                <w:szCs w:val="20"/>
                <w:color w:val="auto"/>
              </w:rPr>
            </w:pPr>
            <w:r>
              <w:rPr>
                <w:rFonts w:ascii="Arial" w:cs="Arial" w:eastAsia="Arial" w:hAnsi="Arial"/>
                <w:sz w:val="18"/>
                <w:szCs w:val="18"/>
                <w:b w:val="1"/>
                <w:bCs w:val="1"/>
                <w:color w:val="auto"/>
              </w:rPr>
              <w:t>Entity</w:t>
            </w:r>
          </w:p>
        </w:tc>
      </w:tr>
      <w:tr>
        <w:trPr>
          <w:trHeight w:val="43"/>
        </w:trPr>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01"/>
        </w:trPr>
        <w:tc>
          <w:tcPr>
            <w:tcW w:w="27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4"/>
              </w:rPr>
              <w:t>PennantPark Floating Rate Capital</w:t>
            </w:r>
          </w:p>
        </w:tc>
        <w:tc>
          <w:tcPr>
            <w:tcW w:w="1620" w:type="dxa"/>
            <w:vAlign w:val="bottom"/>
          </w:tcPr>
          <w:p>
            <w:pPr>
              <w:ind w:left="60"/>
              <w:spacing w:after="0" w:line="201"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Private Investment</w:t>
            </w:r>
          </w:p>
        </w:tc>
      </w:tr>
      <w:tr>
        <w:trPr>
          <w:trHeight w:val="222"/>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40640</wp:posOffset>
            </wp:positionV>
            <wp:extent cx="724662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3" w:lineRule="exact"/>
        <w:rPr>
          <w:sz w:val="20"/>
          <w:szCs w:val="20"/>
          <w:color w:val="auto"/>
        </w:rPr>
      </w:pPr>
    </w:p>
    <w:p>
      <w:pPr>
        <w:ind w:firstLine="44"/>
        <w:spacing w:after="0" w:line="268" w:lineRule="auto"/>
        <w:rPr>
          <w:sz w:val="20"/>
          <w:szCs w:val="20"/>
          <w:color w:val="auto"/>
        </w:rPr>
      </w:pPr>
      <w:r>
        <w:rPr>
          <w:rFonts w:ascii="Arial" w:cs="Arial" w:eastAsia="Arial" w:hAnsi="Arial"/>
          <w:sz w:val="18"/>
          <w:szCs w:val="18"/>
          <w:color w:val="auto"/>
        </w:rPr>
        <w:t>Primarily floating rate loans, with an emphasis on senior secured loans, in middle-market leveraged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Other credit opportunities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Gross Assets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$ 46</w:t>
      </w:r>
    </w:p>
    <w:p>
      <w:pPr>
        <w:spacing w:after="0" w:line="171" w:lineRule="exact"/>
        <w:rPr>
          <w:sz w:val="20"/>
          <w:szCs w:val="20"/>
          <w:color w:val="auto"/>
        </w:rPr>
      </w:pPr>
    </w:p>
    <w:p>
      <w:pPr>
        <w:sectPr>
          <w:pgSz w:w="11900" w:h="16838" w:orient="portrait"/>
          <w:cols w:equalWidth="0" w:num="3">
            <w:col w:w="4320" w:space="100"/>
            <w:col w:w="5280" w:space="640"/>
            <w:col w:w="1040"/>
          </w:cols>
          <w:pgMar w:left="240" w:top="459" w:right="27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As of January 9, 2015, to our knowledge, no person would be deemed to “control” us, as such term is defined in the 1940 Act. Our board of directors consists of an interested director and Independent Directors.</w:t>
      </w:r>
    </w:p>
    <w:p>
      <w:pPr>
        <w:spacing w:after="0" w:line="132"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The following table sets forth, as of January 9, 2015,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7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1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(4)</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w w:val="99"/>
              </w:rPr>
              <w:t>Shares</w:t>
            </w: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24"/>
        </w:trPr>
        <w:tc>
          <w:tcPr>
            <w:tcW w:w="7120" w:type="dxa"/>
            <w:vAlign w:val="bottom"/>
            <w:gridSpan w:val="3"/>
            <w:vMerge w:val="continue"/>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Owned</w:t>
            </w:r>
          </w:p>
        </w:tc>
        <w:tc>
          <w:tcPr>
            <w:tcW w:w="40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88,971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236,088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4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1,055,555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590 Madison Avenue, 15th Floor, New York, New York 10022.</w:t>
      </w:r>
    </w:p>
    <w:p>
      <w:pPr>
        <w:ind w:left="420" w:hanging="412"/>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Bernstein is the President of JAM Investments, LLC and may therefore be deemed to own beneficially the 68,236 shares of PennantPark Investment Corporation held by JAM Investments, LLC.</w:t>
      </w:r>
    </w:p>
    <w:p>
      <w:pPr>
        <w:spacing w:after="0" w:line="10" w:lineRule="exact"/>
        <w:rPr>
          <w:rFonts w:ascii="Arial" w:cs="Arial" w:eastAsia="Arial" w:hAnsi="Arial"/>
          <w:sz w:val="12"/>
          <w:szCs w:val="12"/>
          <w:color w:val="auto"/>
        </w:rPr>
      </w:pPr>
    </w:p>
    <w:p>
      <w:pPr>
        <w:ind w:left="420" w:right="46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353,923 shares of PennantPark Investment Corporation held by the Investment Adviser.</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January 9, 2015.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82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$500,001 -$1,000,000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$ 50,001 -$100,000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$500,001 - $</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$100,001 -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c>
          <w:tcPr>
            <w:tcW w:w="18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w w:val="93"/>
              </w:rPr>
              <w:t>$500,001 - $1,000,000</w:t>
            </w:r>
          </w:p>
        </w:tc>
        <w:tc>
          <w:tcPr>
            <w:tcW w:w="120" w:type="dxa"/>
            <w:vAlign w:val="bottom"/>
          </w:tcPr>
          <w:p>
            <w:pPr>
              <w:spacing w:after="0"/>
              <w:rPr>
                <w:sz w:val="19"/>
                <w:szCs w:val="19"/>
                <w:color w:val="auto"/>
              </w:rPr>
            </w:pP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39" w:lineRule="exact"/>
        <w:rPr>
          <w:sz w:val="20"/>
          <w:szCs w:val="20"/>
          <w:color w:val="auto"/>
        </w:rPr>
      </w:pPr>
    </w:p>
    <w:p>
      <w:pPr>
        <w:ind w:left="660" w:hanging="31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8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63"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90"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60" w:firstLine="571"/>
        <w:spacing w:after="0" w:line="310" w:lineRule="auto"/>
        <w:rPr>
          <w:sz w:val="20"/>
          <w:szCs w:val="20"/>
          <w:color w:val="auto"/>
        </w:rPr>
      </w:pPr>
      <w:r>
        <w:rPr>
          <w:rFonts w:ascii="Arial" w:cs="Arial" w:eastAsia="Arial" w:hAnsi="Arial"/>
          <w:sz w:val="15"/>
          <w:szCs w:val="15"/>
          <w:color w:val="auto"/>
        </w:rPr>
        <w:t>The base management fee is calculated at an annual rate of 2.00% of our “average adjusted gross assets” which equal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5"/>
          <w:szCs w:val="15"/>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base management fees of $24.3 million, $21.3 million and $17.5 million, respectively, from us.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2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8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during the relevant quarter, if applicable. For the fiscal years ended September 30, 2014, 2013 and 2012, the Investment Adviser earned $17.8 million, $16.8 million and $14.2 million, respectively, in incentive fees on net investment income from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2014, 2013 and 2012 the Investment Adviser did not earn an incentive fee on capital gains, as calculated under the Investment Management Agreement (as described above).</w:t>
      </w:r>
    </w:p>
    <w:p>
      <w:pPr>
        <w:spacing w:after="0" w:line="116" w:lineRule="exact"/>
        <w:rPr>
          <w:sz w:val="20"/>
          <w:szCs w:val="20"/>
          <w:color w:val="auto"/>
        </w:rPr>
      </w:pPr>
    </w:p>
    <w:p>
      <w:pPr>
        <w:ind w:right="360"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800"/>
        <w:spacing w:after="0" w:line="331"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240"/>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dividends,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1040"/>
          </w:cols>
          <w:pgMar w:left="240" w:top="459" w:right="61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311"/>
          </w:cols>
          <w:pgMar w:left="240" w:top="459" w:right="61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040"/>
          </w:cols>
          <w:pgMar w:left="240" w:top="459" w:right="619" w:bottom="1440" w:gutter="0" w:footer="0" w:header="0"/>
          <w:type w:val="continuous"/>
        </w:sect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(0)</w:t>
      </w:r>
    </w:p>
    <w:p>
      <w:pPr>
        <w:spacing w:after="0" w:line="36"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0</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incentive fee</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 x (6% -1%)</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5%</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1%</w:t>
      </w:r>
    </w:p>
    <w:p>
      <w:pPr>
        <w:spacing w:after="0" w:line="171" w:lineRule="exact"/>
        <w:rPr>
          <w:sz w:val="20"/>
          <w:szCs w:val="20"/>
          <w:color w:val="auto"/>
        </w:rPr>
      </w:pPr>
    </w:p>
    <w:p>
      <w:pPr>
        <w:sectPr>
          <w:pgSz w:w="11900" w:h="16838" w:orient="portrait"/>
          <w:cols w:equalWidth="0" w:num="2">
            <w:col w:w="2320" w:space="544"/>
            <w:col w:w="8176"/>
          </w:cols>
          <w:pgMar w:left="240" w:top="459" w:right="61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40"/>
          </w:cols>
          <w:pgMar w:left="240" w:top="459" w:right="61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280" w:firstLine="571"/>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2014. Unless terminated earlier as described below, the Investment Management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46"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96"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our SBIC Funds under their administration agreements with us. For providing these services, facilities and personnel, we reimburse the Administrator for its allocable portion of overhead and other expenses incurred by the Administrator in performing its obligations under the Administration Agreement, including rent and our allocable portion of the cost of compensation and related expenses of our Chief Compliance Officer and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2014, 2013 and 2012, the Investment Adviser was reimbursed $3.0 million, $2.9 million and $3.6 million, respectively, from us, including expenses it incurred on behalf of the Administrator for the services described above.</w:t>
      </w:r>
    </w:p>
    <w:p>
      <w:pPr>
        <w:spacing w:after="0" w:line="4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duties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the allocable portion of the cost of compensation and related expenses of our Chief Financial Officer and his respective staff. For the fiscal years ended September 30, 2014, 2013 and 2012, PennantPark Investment was reimbursed $0.5 million, $0.4 million and $0.7 million, respectively, from SPH, including expenses it incurred on behalf of the Administrator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120" w:firstLine="571"/>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2014. Unless terminated earlier as described below, our Administration Agreement will continue in effect for a period of one year through February 2015.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90" w:lineRule="exact"/>
        <w:rPr>
          <w:sz w:val="20"/>
          <w:szCs w:val="20"/>
          <w:color w:val="auto"/>
        </w:rPr>
      </w:pPr>
    </w:p>
    <w:p>
      <w:pPr>
        <w:ind w:firstLine="571"/>
        <w:spacing w:after="0" w:line="310" w:lineRule="auto"/>
        <w:rPr>
          <w:sz w:val="20"/>
          <w:szCs w:val="20"/>
          <w:color w:val="auto"/>
        </w:rPr>
      </w:pPr>
      <w:r>
        <w:rPr>
          <w:rFonts w:ascii="Arial" w:cs="Arial" w:eastAsia="Arial" w:hAnsi="Arial"/>
          <w:sz w:val="15"/>
          <w:szCs w:val="15"/>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w:t>
      </w:r>
    </w:p>
    <w:p>
      <w:pPr>
        <w:spacing w:after="0" w:line="27"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jc w:val="both"/>
        <w:ind w:left="800" w:right="280" w:hanging="346"/>
        <w:spacing w:after="0" w:line="306"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4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62" w:lineRule="exact"/>
        <w:rPr>
          <w:sz w:val="20"/>
          <w:szCs w:val="20"/>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45"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only sell shares of our common stock at a price below net asset value per share if the following conditions are met:</w:t>
      </w:r>
    </w:p>
    <w:p>
      <w:pPr>
        <w:spacing w:after="0" w:line="90" w:lineRule="exact"/>
        <w:rPr>
          <w:sz w:val="20"/>
          <w:szCs w:val="20"/>
          <w:color w:val="auto"/>
        </w:rPr>
      </w:pPr>
    </w:p>
    <w:p>
      <w:pPr>
        <w:ind w:left="660" w:hanging="31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90" w:lineRule="exact"/>
        <w:rPr>
          <w:rFonts w:ascii="Arial" w:cs="Arial" w:eastAsia="Arial" w:hAnsi="Arial"/>
          <w:sz w:val="18"/>
          <w:szCs w:val="18"/>
          <w:color w:val="auto"/>
        </w:rPr>
      </w:pPr>
    </w:p>
    <w:p>
      <w:pPr>
        <w:ind w:left="660" w:right="120" w:hanging="314"/>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4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Generally, we intend to issue new shares to implement the plan, when our shares are trading at a premium to our NAV per share. However, we reserve the right to purchase shares in the open market in connection with our implementation of the plan. The number of new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In that case, you will be treated as receiving a distribution in the amount of the fair market value of our shares of common stock.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2014,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January 9, 2015 was $9.42 per share. As of September 30, 2014, we had 11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75,092,911</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right="40"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2017,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40" w:firstLine="8"/>
        <w:spacing w:after="0" w:line="290"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59"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of September 30, 2014, we had $250.0 million in aggregate principal amount of 2019 Notes.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As of September 30, 2014 and 2013, we had $71.3 million in aggregate principal amount of 2025 Notes. Interest on the 2025 Notes accrues at a rate of 6.25% per year and is paid quarterly. The 2025 Notes mature on February 1, 2025.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September 30, 2014 was $25.20 per $25 of par.</w:t>
      </w:r>
    </w:p>
    <w:p>
      <w:pPr>
        <w:spacing w:after="0" w:line="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60" w:hanging="314"/>
        <w:spacing w:after="0" w:line="26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8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in the case of the 2019 Notes, certain defaults by any of our significant subsidiaries.</w:t>
      </w:r>
    </w:p>
    <w:p>
      <w:pPr>
        <w:spacing w:after="0" w:line="13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in the case of the 2019 Notes, an Event of Default expected in the next to last bullet point above),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alternatively, except in the case of the 2019 Notes,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294"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1" w:lineRule="exact"/>
        <w:rPr>
          <w:rFonts w:ascii="Arial" w:cs="Arial" w:eastAsia="Arial" w:hAnsi="Arial"/>
          <w:sz w:val="16"/>
          <w:szCs w:val="16"/>
          <w:color w:val="auto"/>
        </w:rPr>
      </w:pPr>
    </w:p>
    <w:p>
      <w:pPr>
        <w:ind w:left="660" w:right="200" w:hanging="314"/>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40" w:hanging="314"/>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right="40" w:firstLine="571"/>
        <w:spacing w:after="0" w:line="284"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w:t>
      </w:r>
    </w:p>
    <w:p>
      <w:pPr>
        <w:spacing w:after="0" w:line="1" w:lineRule="exact"/>
        <w:rPr>
          <w:sz w:val="20"/>
          <w:szCs w:val="20"/>
          <w:color w:val="auto"/>
        </w:rPr>
      </w:pPr>
    </w:p>
    <w:p>
      <w:pPr>
        <w:jc w:val="both"/>
        <w:ind w:right="140" w:firstLine="8"/>
        <w:spacing w:after="0" w:line="295"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15"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85" w:lineRule="exact"/>
        <w:rPr>
          <w:sz w:val="20"/>
          <w:szCs w:val="20"/>
          <w:color w:val="auto"/>
        </w:rPr>
      </w:pPr>
    </w:p>
    <w:p>
      <w:pPr>
        <w:ind w:right="4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3"/>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571"/>
        <w:spacing w:after="0" w:line="303" w:lineRule="auto"/>
        <w:rPr>
          <w:sz w:val="20"/>
          <w:szCs w:val="20"/>
          <w:color w:val="auto"/>
        </w:rPr>
      </w:pPr>
      <w:r>
        <w:rPr>
          <w:rFonts w:ascii="Arial" w:cs="Arial" w:eastAsia="Arial" w:hAnsi="Arial"/>
          <w:sz w:val="15"/>
          <w:szCs w:val="15"/>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w:t>
      </w:r>
    </w:p>
    <w:p>
      <w:pPr>
        <w:spacing w:after="0" w:line="1" w:lineRule="exact"/>
        <w:rPr>
          <w:sz w:val="20"/>
          <w:szCs w:val="20"/>
          <w:color w:val="auto"/>
        </w:rPr>
      </w:pPr>
    </w:p>
    <w:p>
      <w:pPr>
        <w:ind w:right="440" w:firstLine="8"/>
        <w:spacing w:after="0" w:line="261"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employees involved in the decision making process or vote administration are prohibited from revealing how we intend to vote on a proposal in order to reduce any attempted 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40" w:hanging="314"/>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60" w:hanging="314"/>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400" w:hanging="314"/>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right="20" w:hanging="314"/>
        <w:spacing w:after="0" w:line="306"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SBA Regulations</w:t>
      </w:r>
    </w:p>
    <w:p>
      <w:pPr>
        <w:spacing w:after="0" w:line="9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Our SBIC Funds are licensed under the SBA as SBICs under Section 301(c) of the 1958 Act. SBIC LP and SBIC II received their licenses in 2010 and 2013, respectively.</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660" w:right="260" w:hanging="314"/>
        <w:spacing w:after="0" w:line="347" w:lineRule="auto"/>
        <w:tabs>
          <w:tab w:leader="none" w:pos="6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ordinary income to provide us with additional liquidity.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200" w:hanging="314"/>
        <w:spacing w:after="0" w:line="259"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In addition, upon satisfying these requirements, we will be subject to U.S. federal income tax at the regular corporate rates on any income or capital gain not distributed (or deemed distributed) to our stockholders.</w:t>
      </w:r>
    </w:p>
    <w:p>
      <w:pPr>
        <w:spacing w:after="0" w:line="1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taxable year a portion of the OID that accrues over the life of the obligation,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We will address these and other issues to the extent necessary in order continue to qualify as a RIC.</w:t>
      </w:r>
    </w:p>
    <w:p>
      <w:pPr>
        <w:spacing w:after="0" w:line="1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taxable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to the extent of our current and accumulated earnings and profits. Subject to certain limitations under the Code, distributions paid by us to corporate</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459" w:right="2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subject to tax as a RIC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taxable years.</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80" w:firstLine="571"/>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34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2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(or if a U.S. Stockholder holds our shares through an intermediary, such intermediary) will provide information to each of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20"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200" w:firstLine="571"/>
        <w:spacing w:after="0" w:line="286"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w:t>
      </w:r>
    </w:p>
    <w:p>
      <w:pPr>
        <w:ind w:right="20" w:firstLine="8"/>
        <w:spacing w:after="0" w:line="253"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In addition, under prior law applicable to taxable years of RICs beginning before January 1, 2014 with respect to certain distributions made by RICs to Non-U.S. Stockholders, no withholding was required and the distributions generally were not subject to U.S. federal income tax if (i) the distributions were properly designated in a notice timely delivered to our stockholders as “interest-related dividends” or “short-term capital gain dividends,” (ii) the distributions were derived from sources specified in the Code for such dividends and (iii) certain other requirements were satisfied. No assurance can be given as to whether legislation will be enacted to extend the application of this provision to taxable years of RICs beginning on or after January 1,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2019 Notes and 2025 Notes.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current independent registered public accounting firm, McGladrey LLP, is located at 1185 Avenue of the Americas, New York, NY 10036.</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60" w:type="dxa"/>
            <w:vAlign w:val="bottom"/>
            <w:gridSpan w:val="8"/>
          </w:tcPr>
          <w:p>
            <w:pPr>
              <w:jc w:val="center"/>
              <w:ind w:right="1320"/>
              <w:spacing w:after="0"/>
              <w:rPr>
                <w:sz w:val="20"/>
                <w:szCs w:val="20"/>
                <w:color w:val="auto"/>
              </w:rPr>
            </w:pPr>
            <w:r>
              <w:rPr>
                <w:rFonts w:ascii="Arial" w:cs="Arial" w:eastAsia="Arial" w:hAnsi="Arial"/>
                <w:sz w:val="14"/>
                <w:szCs w:val="14"/>
                <w:b w:val="1"/>
                <w:bCs w:val="1"/>
                <w:color w:val="auto"/>
              </w:rPr>
              <w:t>INDEX TO CONSOLIDATED FINANCIAL STATEMENTS</w:t>
            </w:r>
          </w:p>
        </w:tc>
        <w:tc>
          <w:tcPr>
            <w:tcW w:w="2040" w:type="dxa"/>
            <w:vAlign w:val="bottom"/>
          </w:tcPr>
          <w:p>
            <w:pPr>
              <w:spacing w:after="0"/>
              <w:rPr>
                <w:sz w:val="16"/>
                <w:szCs w:val="16"/>
                <w:color w:val="auto"/>
              </w:rPr>
            </w:pPr>
          </w:p>
        </w:tc>
      </w:tr>
      <w:tr>
        <w:trPr>
          <w:trHeight w:val="365"/>
        </w:trPr>
        <w:tc>
          <w:tcPr>
            <w:tcW w:w="9300" w:type="dxa"/>
            <w:vAlign w:val="bottom"/>
            <w:gridSpan w:val="10"/>
          </w:tcPr>
          <w:p>
            <w:pPr>
              <w:spacing w:after="0"/>
              <w:rPr>
                <w:sz w:val="20"/>
                <w:szCs w:val="20"/>
                <w:color w:val="auto"/>
              </w:rPr>
            </w:pPr>
            <w:r>
              <w:rPr>
                <w:rFonts w:ascii="Arial" w:cs="Arial" w:eastAsia="Arial" w:hAnsi="Arial"/>
                <w:sz w:val="14"/>
                <w:szCs w:val="14"/>
                <w:b w:val="1"/>
                <w:bCs w:val="1"/>
                <w:color w:val="auto"/>
              </w:rPr>
              <w:t>PennantPark Investment Corporation</w:t>
            </w:r>
          </w:p>
        </w:tc>
        <w:tc>
          <w:tcPr>
            <w:tcW w:w="2040" w:type="dxa"/>
            <w:vAlign w:val="bottom"/>
          </w:tcPr>
          <w:p>
            <w:pPr>
              <w:spacing w:after="0"/>
              <w:rPr>
                <w:sz w:val="24"/>
                <w:szCs w:val="24"/>
                <w:color w:val="auto"/>
              </w:rPr>
            </w:pPr>
          </w:p>
        </w:tc>
      </w:tr>
      <w:tr>
        <w:trPr>
          <w:trHeight w:val="297"/>
        </w:trPr>
        <w:tc>
          <w:tcPr>
            <w:tcW w:w="9300" w:type="dxa"/>
            <w:vAlign w:val="bottom"/>
            <w:gridSpan w:val="10"/>
          </w:tcPr>
          <w:p>
            <w:pPr>
              <w:spacing w:after="0"/>
              <w:rPr>
                <w:sz w:val="20"/>
                <w:szCs w:val="20"/>
                <w:color w:val="auto"/>
              </w:rPr>
            </w:pPr>
            <w:r>
              <w:rPr>
                <w:rFonts w:ascii="Arial" w:cs="Arial" w:eastAsia="Arial" w:hAnsi="Arial"/>
                <w:sz w:val="14"/>
                <w:szCs w:val="14"/>
                <w:b w:val="1"/>
                <w:bCs w:val="1"/>
                <w:color w:val="auto"/>
              </w:rPr>
              <w:t>Annual Financial Statments</w:t>
            </w:r>
          </w:p>
        </w:tc>
        <w:tc>
          <w:tcPr>
            <w:tcW w:w="2040" w:type="dxa"/>
            <w:vAlign w:val="bottom"/>
          </w:tcPr>
          <w:p>
            <w:pPr>
              <w:spacing w:after="0"/>
              <w:rPr>
                <w:sz w:val="24"/>
                <w:szCs w:val="24"/>
                <w:color w:val="auto"/>
              </w:rPr>
            </w:pPr>
          </w:p>
        </w:tc>
      </w:tr>
      <w:tr>
        <w:trPr>
          <w:trHeight w:val="259"/>
        </w:trPr>
        <w:tc>
          <w:tcPr>
            <w:tcW w:w="2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3900" w:type="dxa"/>
            <w:vAlign w:val="bottom"/>
            <w:tcBorders>
              <w:bottom w:val="single" w:sz="8" w:color="0000EE"/>
            </w:tcBorders>
            <w:gridSpan w:val="3"/>
          </w:tcPr>
          <w:p>
            <w:pPr>
              <w:spacing w:after="0" w:line="158" w:lineRule="exact"/>
              <w:rPr>
                <w:rFonts w:ascii="Arial" w:cs="Arial" w:eastAsia="Arial" w:hAnsi="Arial"/>
                <w:sz w:val="14"/>
                <w:szCs w:val="14"/>
                <w:color w:val="0000EE"/>
                <w:w w:val="94"/>
              </w:rPr>
            </w:pPr>
            <w:hyperlink w:anchor="page125">
              <w:r>
                <w:rPr>
                  <w:rFonts w:ascii="Arial" w:cs="Arial" w:eastAsia="Arial" w:hAnsi="Arial"/>
                  <w:sz w:val="14"/>
                  <w:szCs w:val="14"/>
                  <w:color w:val="0000EE"/>
                  <w:w w:val="94"/>
                </w:rPr>
                <w:t>Management’s Report on Internal Control over Financial Reporting</w:t>
              </w:r>
            </w:hyperlink>
          </w:p>
        </w:tc>
        <w:tc>
          <w:tcPr>
            <w:tcW w:w="5400" w:type="dxa"/>
            <w:vAlign w:val="bottom"/>
            <w:gridSpan w:val="7"/>
          </w:tcPr>
          <w:p>
            <w:pPr>
              <w:spacing w:after="0"/>
              <w:rPr>
                <w:sz w:val="13"/>
                <w:szCs w:val="13"/>
                <w:color w:val="auto"/>
              </w:rPr>
            </w:pPr>
          </w:p>
        </w:tc>
        <w:tc>
          <w:tcPr>
            <w:tcW w:w="20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F-2</w:t>
            </w:r>
          </w:p>
        </w:tc>
      </w:tr>
      <w:tr>
        <w:trPr>
          <w:trHeight w:val="304"/>
        </w:trPr>
        <w:tc>
          <w:tcPr>
            <w:tcW w:w="3440" w:type="dxa"/>
            <w:vAlign w:val="bottom"/>
            <w:tcBorders>
              <w:bottom w:val="single" w:sz="8" w:color="0000EE"/>
            </w:tcBorders>
            <w:gridSpan w:val="2"/>
          </w:tcPr>
          <w:p>
            <w:pPr>
              <w:spacing w:after="0"/>
              <w:rPr>
                <w:rFonts w:ascii="Arial" w:cs="Arial" w:eastAsia="Arial" w:hAnsi="Arial"/>
                <w:sz w:val="14"/>
                <w:szCs w:val="14"/>
                <w:color w:val="0000EE"/>
                <w:w w:val="93"/>
              </w:rPr>
            </w:pPr>
            <w:hyperlink w:anchor="page126">
              <w:r>
                <w:rPr>
                  <w:rFonts w:ascii="Arial" w:cs="Arial" w:eastAsia="Arial" w:hAnsi="Arial"/>
                  <w:sz w:val="14"/>
                  <w:szCs w:val="14"/>
                  <w:color w:val="0000EE"/>
                  <w:w w:val="93"/>
                </w:rPr>
                <w:t>Report of Independent Registered Public Accounting Firms</w:t>
              </w:r>
            </w:hyperlink>
          </w:p>
        </w:tc>
        <w:tc>
          <w:tcPr>
            <w:tcW w:w="586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F-3</w:t>
            </w:r>
          </w:p>
        </w:tc>
      </w:tr>
      <w:tr>
        <w:trPr>
          <w:trHeight w:val="304"/>
        </w:trPr>
        <w:tc>
          <w:tcPr>
            <w:tcW w:w="6060" w:type="dxa"/>
            <w:vAlign w:val="bottom"/>
            <w:tcBorders>
              <w:bottom w:val="single" w:sz="8" w:color="0000EE"/>
            </w:tcBorders>
            <w:gridSpan w:val="8"/>
          </w:tcPr>
          <w:p>
            <w:pPr>
              <w:spacing w:after="0"/>
              <w:rPr>
                <w:rFonts w:ascii="Arial" w:cs="Arial" w:eastAsia="Arial" w:hAnsi="Arial"/>
                <w:sz w:val="14"/>
                <w:szCs w:val="14"/>
                <w:color w:val="0000EE"/>
                <w:w w:val="94"/>
              </w:rPr>
            </w:pPr>
            <w:hyperlink w:anchor="page128">
              <w:r>
                <w:rPr>
                  <w:rFonts w:ascii="Arial" w:cs="Arial" w:eastAsia="Arial" w:hAnsi="Arial"/>
                  <w:sz w:val="14"/>
                  <w:szCs w:val="14"/>
                  <w:color w:val="0000EE"/>
                  <w:w w:val="94"/>
                </w:rPr>
                <w:t>Report of Independent Registered Public Accounting Firm On Internal Control Over Financial Reporting</w:t>
              </w:r>
            </w:hyperlink>
          </w:p>
        </w:tc>
        <w:tc>
          <w:tcPr>
            <w:tcW w:w="324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F-5</w:t>
            </w:r>
          </w:p>
        </w:tc>
      </w:tr>
      <w:tr>
        <w:trPr>
          <w:trHeight w:val="304"/>
        </w:trPr>
        <w:tc>
          <w:tcPr>
            <w:tcW w:w="4940" w:type="dxa"/>
            <w:vAlign w:val="bottom"/>
            <w:tcBorders>
              <w:bottom w:val="single" w:sz="8" w:color="0000EE"/>
            </w:tcBorders>
            <w:gridSpan w:val="5"/>
          </w:tcPr>
          <w:p>
            <w:pPr>
              <w:spacing w:after="0"/>
              <w:rPr>
                <w:rFonts w:ascii="Arial" w:cs="Arial" w:eastAsia="Arial" w:hAnsi="Arial"/>
                <w:sz w:val="14"/>
                <w:szCs w:val="14"/>
                <w:color w:val="0000EE"/>
                <w:w w:val="92"/>
              </w:rPr>
            </w:pPr>
            <w:hyperlink w:anchor="page129">
              <w:r>
                <w:rPr>
                  <w:rFonts w:ascii="Arial" w:cs="Arial" w:eastAsia="Arial" w:hAnsi="Arial"/>
                  <w:sz w:val="14"/>
                  <w:szCs w:val="14"/>
                  <w:color w:val="0000EE"/>
                  <w:w w:val="92"/>
                </w:rPr>
                <w:t>Consolidated Statements of Assets and Liabilities as of September 30, 2014 and 2013</w:t>
              </w:r>
            </w:hyperlink>
          </w:p>
        </w:tc>
        <w:tc>
          <w:tcPr>
            <w:tcW w:w="4360" w:type="dxa"/>
            <w:vAlign w:val="bottom"/>
            <w:gridSpan w:val="5"/>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F-6</w:t>
            </w:r>
          </w:p>
        </w:tc>
      </w:tr>
      <w:tr>
        <w:trPr>
          <w:trHeight w:val="304"/>
        </w:trPr>
        <w:tc>
          <w:tcPr>
            <w:tcW w:w="552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130">
              <w:r>
                <w:rPr>
                  <w:rFonts w:ascii="Arial" w:cs="Arial" w:eastAsia="Arial" w:hAnsi="Arial"/>
                  <w:sz w:val="14"/>
                  <w:szCs w:val="14"/>
                  <w:color w:val="0000EE"/>
                  <w:w w:val="91"/>
                </w:rPr>
                <w:t>Consolidated Statements of Operations for the years ended September 30, 2014, 2013 and 2012</w:t>
              </w:r>
            </w:hyperlink>
          </w:p>
        </w:tc>
        <w:tc>
          <w:tcPr>
            <w:tcW w:w="378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F-7</w:t>
            </w:r>
          </w:p>
        </w:tc>
      </w:tr>
      <w:tr>
        <w:trPr>
          <w:trHeight w:val="304"/>
        </w:trPr>
        <w:tc>
          <w:tcPr>
            <w:tcW w:w="6180" w:type="dxa"/>
            <w:vAlign w:val="bottom"/>
            <w:tcBorders>
              <w:bottom w:val="single" w:sz="8" w:color="0000EE"/>
            </w:tcBorders>
            <w:gridSpan w:val="9"/>
          </w:tcPr>
          <w:p>
            <w:pPr>
              <w:spacing w:after="0"/>
              <w:rPr>
                <w:rFonts w:ascii="Arial" w:cs="Arial" w:eastAsia="Arial" w:hAnsi="Arial"/>
                <w:sz w:val="14"/>
                <w:szCs w:val="14"/>
                <w:color w:val="0000EE"/>
                <w:w w:val="91"/>
              </w:rPr>
            </w:pPr>
            <w:hyperlink w:anchor="page131">
              <w:r>
                <w:rPr>
                  <w:rFonts w:ascii="Arial" w:cs="Arial" w:eastAsia="Arial" w:hAnsi="Arial"/>
                  <w:sz w:val="14"/>
                  <w:szCs w:val="14"/>
                  <w:color w:val="0000EE"/>
                  <w:w w:val="91"/>
                </w:rPr>
                <w:t>Consolidated Statements of Changes in Net Assets for the years ended September 30, 2014, 2013 and 2012</w:t>
              </w:r>
            </w:hyperlink>
          </w:p>
        </w:tc>
        <w:tc>
          <w:tcPr>
            <w:tcW w:w="3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F-8</w:t>
            </w:r>
          </w:p>
        </w:tc>
      </w:tr>
      <w:tr>
        <w:trPr>
          <w:trHeight w:val="304"/>
        </w:trPr>
        <w:tc>
          <w:tcPr>
            <w:tcW w:w="556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132">
              <w:r>
                <w:rPr>
                  <w:rFonts w:ascii="Arial" w:cs="Arial" w:eastAsia="Arial" w:hAnsi="Arial"/>
                  <w:sz w:val="14"/>
                  <w:szCs w:val="14"/>
                  <w:color w:val="0000EE"/>
                  <w:w w:val="91"/>
                </w:rPr>
                <w:t>Consolidated Statements of Cash Flows for the years ended September 30, 2014, 2013 and 2012</w:t>
              </w:r>
            </w:hyperlink>
          </w:p>
        </w:tc>
        <w:tc>
          <w:tcPr>
            <w:tcW w:w="374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F-9</w:t>
            </w:r>
          </w:p>
        </w:tc>
      </w:tr>
      <w:tr>
        <w:trPr>
          <w:trHeight w:val="304"/>
        </w:trPr>
        <w:tc>
          <w:tcPr>
            <w:tcW w:w="9300" w:type="dxa"/>
            <w:vAlign w:val="bottom"/>
            <w:gridSpan w:val="10"/>
          </w:tcPr>
          <w:p>
            <w:pPr>
              <w:spacing w:after="0"/>
              <w:rPr>
                <w:rFonts w:ascii="Arial" w:cs="Arial" w:eastAsia="Arial" w:hAnsi="Arial"/>
                <w:sz w:val="14"/>
                <w:szCs w:val="14"/>
                <w:color w:val="0000EE"/>
              </w:rPr>
            </w:pPr>
            <w:hyperlink w:anchor="page133">
              <w:r>
                <w:rPr>
                  <w:rFonts w:ascii="Arial" w:cs="Arial" w:eastAsia="Arial" w:hAnsi="Arial"/>
                  <w:sz w:val="14"/>
                  <w:szCs w:val="14"/>
                  <w:color w:val="0000EE"/>
                </w:rPr>
                <w:t>Consolidated Schedules of Investments as of September 30, 2014 and 2013</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F-10</w:t>
            </w:r>
          </w:p>
        </w:tc>
      </w:tr>
      <w:tr>
        <w:trPr>
          <w:trHeight w:val="304"/>
        </w:trPr>
        <w:tc>
          <w:tcPr>
            <w:tcW w:w="4340" w:type="dxa"/>
            <w:vAlign w:val="bottom"/>
            <w:tcBorders>
              <w:top w:val="single" w:sz="8" w:color="0000EE"/>
            </w:tcBorders>
            <w:gridSpan w:val="4"/>
          </w:tcPr>
          <w:p>
            <w:pPr>
              <w:spacing w:after="0"/>
              <w:rPr>
                <w:rFonts w:ascii="Arial" w:cs="Arial" w:eastAsia="Arial" w:hAnsi="Arial"/>
                <w:sz w:val="14"/>
                <w:szCs w:val="14"/>
                <w:color w:val="0000EE"/>
              </w:rPr>
            </w:pPr>
            <w:hyperlink w:anchor="page142">
              <w:r>
                <w:rPr>
                  <w:rFonts w:ascii="Arial" w:cs="Arial" w:eastAsia="Arial" w:hAnsi="Arial"/>
                  <w:sz w:val="14"/>
                  <w:szCs w:val="14"/>
                  <w:color w:val="0000EE"/>
                </w:rPr>
                <w:t>Notes to the Consolidated Financial Statements</w:t>
              </w:r>
            </w:hyperlink>
          </w:p>
        </w:tc>
        <w:tc>
          <w:tcPr>
            <w:tcW w:w="4960" w:type="dxa"/>
            <w:vAlign w:val="bottom"/>
            <w:gridSpan w:val="6"/>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F-19</w:t>
            </w:r>
          </w:p>
        </w:tc>
      </w:tr>
      <w:tr>
        <w:trPr>
          <w:trHeight w:val="306"/>
        </w:trPr>
        <w:tc>
          <w:tcPr>
            <w:tcW w:w="27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3"/>
          </w:tcPr>
          <w:p>
            <w:pPr>
              <w:jc w:val="center"/>
              <w:ind w:right="3420"/>
              <w:spacing w:after="0"/>
              <w:rPr>
                <w:sz w:val="20"/>
                <w:szCs w:val="20"/>
                <w:color w:val="auto"/>
              </w:rPr>
            </w:pPr>
            <w:r>
              <w:rPr>
                <w:rFonts w:ascii="Arial" w:cs="Arial" w:eastAsia="Arial" w:hAnsi="Arial"/>
                <w:sz w:val="14"/>
                <w:szCs w:val="14"/>
                <w:color w:val="auto"/>
                <w:w w:val="95"/>
              </w:rPr>
              <w:t>F-1</w:t>
            </w:r>
          </w:p>
        </w:tc>
        <w:tc>
          <w:tcPr>
            <w:tcW w:w="20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2014. Our internal control system is a process designed to provide reasonable assurance to our management and board of directors regarding the preparation and fair presentation of published financial statements.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1" w:lineRule="exact"/>
        <w:rPr>
          <w:sz w:val="20"/>
          <w:szCs w:val="20"/>
          <w:color w:val="auto"/>
        </w:rPr>
      </w:pPr>
    </w:p>
    <w:p>
      <w:pPr>
        <w:ind w:firstLine="685"/>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right="180" w:firstLine="685"/>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2014. In making this assessment, we used the criteria set forth by the Committee of Sponsoring Organizations of the Treadway Commission in 1992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2014, our internal control over financial reporting is effective based on those criteria.</w:t>
      </w:r>
    </w:p>
    <w:p>
      <w:pPr>
        <w:spacing w:after="0" w:line="115" w:lineRule="exact"/>
        <w:rPr>
          <w:sz w:val="20"/>
          <w:szCs w:val="20"/>
          <w:color w:val="auto"/>
        </w:rPr>
      </w:pPr>
    </w:p>
    <w:p>
      <w:pPr>
        <w:ind w:right="860" w:firstLine="685"/>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2014. This report appears on page F-5.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73" w:lineRule="exact"/>
        <w:rPr>
          <w:sz w:val="20"/>
          <w:szCs w:val="20"/>
          <w:color w:val="auto"/>
        </w:rPr>
      </w:pPr>
    </w:p>
    <w:p>
      <w:pPr>
        <w:ind w:right="120" w:firstLine="685"/>
        <w:spacing w:after="0" w:line="234" w:lineRule="auto"/>
        <w:rPr>
          <w:sz w:val="20"/>
          <w:szCs w:val="20"/>
          <w:color w:val="auto"/>
        </w:rPr>
      </w:pPr>
      <w:r>
        <w:rPr>
          <w:rFonts w:ascii="Arial" w:cs="Arial" w:eastAsia="Arial" w:hAnsi="Arial"/>
          <w:sz w:val="14"/>
          <w:szCs w:val="14"/>
          <w:color w:val="auto"/>
        </w:rPr>
        <w:t>We have audited the accompanying consolidated statement of assets and liabilities of PennantPark Investment Corporation and its Subsidiaries (the “Company”), including the consolidated schedule of investments as of September 30, 2014, and the related consolidated statements of operations, changes in net assets, and cash flows for the year ended September 30, 2014. These consolidated financial statements are the responsibility of the Company’s management. Our responsibility is to express an opinion on these consolidated financial statements based on our audit.</w:t>
      </w:r>
    </w:p>
    <w:p>
      <w:pPr>
        <w:spacing w:after="0" w:line="115"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2014 by correspondence with the custodians.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3" w:lineRule="exact"/>
        <w:rPr>
          <w:sz w:val="20"/>
          <w:szCs w:val="20"/>
          <w:color w:val="auto"/>
        </w:rPr>
      </w:pPr>
    </w:p>
    <w:p>
      <w:pPr>
        <w:ind w:right="18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2014, and the results of their operations, changes in net assets and their cash flows for the year then ended in conformity with U.S. generally accepted accounting principles.</w:t>
      </w:r>
    </w:p>
    <w:p>
      <w:pPr>
        <w:spacing w:after="0" w:line="11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PennantPark Investment Corporation and its Subsidiaries’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and our report dated November 12, 2014 expressed an unqualified opinion on the effectiveness of the Company’s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59"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audited the accompanying consolidated statements of assets and liabilities of PennantPark Investment Corporation and its Subsidiaries (collectively referred to as the “Company”), including the consolidated schedule of investments as of September 30, 2013 and the related consolidated statements of operations, changes in net assets, and cash flows for the years ended September 30, 2013 and 2012. These consolidated financial statements are the responsibility of the Company’s management. Our responsibility is to express an opinion on these consolidated financial statements based on our audits.</w:t>
      </w:r>
    </w:p>
    <w:p>
      <w:pPr>
        <w:spacing w:after="0" w:line="115" w:lineRule="exact"/>
        <w:rPr>
          <w:sz w:val="20"/>
          <w:szCs w:val="20"/>
          <w:color w:val="auto"/>
        </w:rPr>
      </w:pPr>
    </w:p>
    <w:p>
      <w:pPr>
        <w:ind w:right="40" w:firstLine="685"/>
        <w:spacing w:after="0" w:line="231"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420" w:firstLine="685"/>
        <w:spacing w:after="0" w:line="238"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Investment Corporation and its Subsidiaries as of September 30, 2013 and the results of their operations and their cash flows for the years ended September 30, 2013 and 2012, in conformity with U.S. generally accepted accounting principles.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13, 2013</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340"/>
          </w:cols>
          <w:pgMar w:left="240" w:top="459" w:right="3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192" w:lineRule="exact"/>
        <w:rPr>
          <w:sz w:val="20"/>
          <w:szCs w:val="20"/>
          <w:color w:val="auto"/>
        </w:rPr>
      </w:pPr>
    </w:p>
    <w:p>
      <w:pPr>
        <w:ind w:right="120" w:firstLine="685"/>
        <w:spacing w:after="0" w:line="231" w:lineRule="auto"/>
        <w:rPr>
          <w:sz w:val="20"/>
          <w:szCs w:val="20"/>
          <w:color w:val="auto"/>
        </w:rPr>
      </w:pPr>
      <w:r>
        <w:rPr>
          <w:rFonts w:ascii="Arial" w:cs="Arial" w:eastAsia="Arial" w:hAnsi="Arial"/>
          <w:sz w:val="14"/>
          <w:szCs w:val="14"/>
          <w:color w:val="auto"/>
        </w:rPr>
        <w:t xml:space="preserve">We have audited PennantPark Investment Corporation and its Subsidiaries (the “Company”)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issued by the Committee of Sponsoring Organizations of the Treadway Commission (COSO) in 1992.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on page 53. Our responsibility is to express an opinion on the Company’s internal control over financial reporting based on our audit.</w:t>
      </w:r>
    </w:p>
    <w:p>
      <w:pPr>
        <w:spacing w:after="0" w:line="103"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5" w:lineRule="exact"/>
        <w:rPr>
          <w:sz w:val="20"/>
          <w:szCs w:val="20"/>
          <w:color w:val="auto"/>
        </w:rPr>
      </w:pPr>
    </w:p>
    <w:p>
      <w:pPr>
        <w:ind w:right="20" w:firstLine="685"/>
        <w:spacing w:after="0" w:line="248"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jc w:val="both"/>
        <w:ind w:right="100" w:firstLine="8"/>
        <w:spacing w:after="0" w:line="229" w:lineRule="auto"/>
        <w:tabs>
          <w:tab w:leader="none" w:pos="196" w:val="left"/>
        </w:tabs>
        <w:numPr>
          <w:ilvl w:val="0"/>
          <w:numId w:val="91"/>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ind w:right="60" w:firstLine="685"/>
        <w:spacing w:after="0" w:line="253" w:lineRule="auto"/>
        <w:rPr>
          <w:sz w:val="20"/>
          <w:szCs w:val="20"/>
          <w:color w:val="auto"/>
        </w:rPr>
      </w:pPr>
      <w:r>
        <w:rPr>
          <w:rFonts w:ascii="Arial" w:cs="Arial" w:eastAsia="Arial" w:hAnsi="Arial"/>
          <w:sz w:val="14"/>
          <w:szCs w:val="14"/>
          <w:color w:val="auto"/>
        </w:rPr>
        <w:t xml:space="preserve">In our opinion, PennantPark Investment Corporation and its Subsidiaries maintained, in all material respects, effective internal control over financial reporting as of September 30, 2014,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 in 1992.</w:t>
      </w:r>
    </w:p>
    <w:p>
      <w:pPr>
        <w:spacing w:after="0" w:line="106" w:lineRule="exact"/>
        <w:rPr>
          <w:sz w:val="20"/>
          <w:szCs w:val="20"/>
          <w:color w:val="auto"/>
        </w:rPr>
      </w:pPr>
    </w:p>
    <w:p>
      <w:pPr>
        <w:ind w:right="340" w:firstLine="685"/>
        <w:spacing w:after="0" w:line="23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 of assets and liabilities of PennantPark Investment Corporation and its Subsidiaries, including the schedule of investments as of September 30, 2014, and the related consolidated statements of operations, changes in net assets, and cash flows for the year then ended and our report dated November 12, 2014 expressed an unqualified opinion.</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12,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September 30, 2014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Non-controlled, non-affiliated investments (cost—$1,171,573,359 and $928,078,589,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1,212,515,400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968,471,042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ind w:left="340"/>
              <w:spacing w:after="0" w:line="149" w:lineRule="exact"/>
              <w:rPr>
                <w:sz w:val="20"/>
                <w:szCs w:val="20"/>
                <w:color w:val="auto"/>
              </w:rPr>
            </w:pPr>
            <w:r>
              <w:rPr>
                <w:rFonts w:ascii="Arial" w:cs="Arial" w:eastAsia="Arial" w:hAnsi="Arial"/>
                <w:sz w:val="14"/>
                <w:szCs w:val="14"/>
                <w:color w:val="auto"/>
              </w:rPr>
              <w:t>Non-controlled, affiliated investments (cost—$108,572,406 and $99,021,141, respectively)</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67,847,521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76,735,800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Controlled, affiliated investments (cost—$38,708,555 and $64,418,155, respectively)</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37,691,845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32,968,711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ind w:left="340"/>
              <w:spacing w:after="0" w:line="155" w:lineRule="exact"/>
              <w:rPr>
                <w:sz w:val="20"/>
                <w:szCs w:val="20"/>
                <w:color w:val="auto"/>
              </w:rPr>
            </w:pPr>
            <w:r>
              <w:rPr>
                <w:rFonts w:ascii="Arial" w:cs="Arial" w:eastAsia="Arial" w:hAnsi="Arial"/>
                <w:sz w:val="14"/>
                <w:szCs w:val="14"/>
                <w:color w:val="auto"/>
              </w:rPr>
              <w:t>Total of investments (cost—$1,318,854,320 and $1,091,517,885, respectively)</w:t>
            </w:r>
          </w:p>
        </w:tc>
        <w:tc>
          <w:tcPr>
            <w:tcW w:w="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1,318,054,766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1,078,175,553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(cost—$66,600,195 and $58,440,829, respectively) (See Note 9)</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13,703,525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10,894,893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13,550,224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5,815,817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700"/>
              <w:spacing w:after="0" w:line="155" w:lineRule="exact"/>
              <w:rPr>
                <w:sz w:val="20"/>
                <w:szCs w:val="20"/>
                <w:color w:val="auto"/>
              </w:rPr>
            </w:pPr>
            <w:r>
              <w:rPr>
                <w:rFonts w:ascii="Arial" w:cs="Arial" w:eastAsia="Arial" w:hAnsi="Arial"/>
                <w:sz w:val="14"/>
                <w:szCs w:val="14"/>
                <w:b w:val="1"/>
                <w:bCs w:val="1"/>
                <w:color w:val="auto"/>
              </w:rPr>
              <w:t>Total assets</w:t>
            </w: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1,411,827,197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21,026,015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18,619,812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52,544,704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15,607,059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7,241,667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(cost—$55,226,300 and $145,500,000, respectively) (See Notes 5 and 11)</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53,497,620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11)</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(cost—$250,000,000) (See Notes 5 and 11)</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2025 Notes payable (cost—$71,250,000) (See Notes 5 and 11)</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68,400,000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6,385,103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5,419,557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4,622,754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4,274,881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1,962,264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1,810,466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60" w:type="dxa"/>
            <w:vAlign w:val="bottom"/>
          </w:tcPr>
          <w:p>
            <w:pPr>
              <w:spacing w:after="0"/>
              <w:rPr>
                <w:sz w:val="13"/>
                <w:szCs w:val="13"/>
                <w:color w:val="auto"/>
              </w:rPr>
            </w:pPr>
          </w:p>
        </w:tc>
        <w:tc>
          <w:tcPr>
            <w:tcW w:w="1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3,113,683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2,009,806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583,817,248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455,820,893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380" w:type="dxa"/>
            <w:vAlign w:val="bottom"/>
          </w:tcPr>
          <w:p>
            <w:pPr>
              <w:spacing w:after="0" w:line="130" w:lineRule="exact"/>
              <w:rPr>
                <w:sz w:val="20"/>
                <w:szCs w:val="20"/>
                <w:color w:val="auto"/>
              </w:rPr>
            </w:pPr>
            <w:r>
              <w:rPr>
                <w:rFonts w:ascii="Arial" w:cs="Arial" w:eastAsia="Arial" w:hAnsi="Arial"/>
                <w:sz w:val="14"/>
                <w:szCs w:val="14"/>
                <w:color w:val="auto"/>
              </w:rPr>
              <w:t>Common stock, 75,092,911 and 66,499,327 shares issued and outstanding, respectively.</w:t>
            </w: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tcPr>
          <w:p>
            <w:pPr>
              <w:ind w:left="500"/>
              <w:spacing w:after="0"/>
              <w:rPr>
                <w:sz w:val="20"/>
                <w:szCs w:val="20"/>
                <w:color w:val="auto"/>
              </w:rPr>
            </w:pPr>
            <w:r>
              <w:rPr>
                <w:rFonts w:ascii="Arial" w:cs="Arial" w:eastAsia="Arial" w:hAnsi="Arial"/>
                <w:sz w:val="14"/>
                <w:szCs w:val="14"/>
                <w:color w:val="auto"/>
              </w:rPr>
              <w:t>Par value $0.001 per share and 100,000,000 shares authorized.</w:t>
            </w:r>
          </w:p>
        </w:tc>
        <w:tc>
          <w:tcPr>
            <w:tcW w:w="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75,093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852,465,375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756,017,096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6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(11,802,580)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(4,675,217)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(11,655,302)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(43,409,847)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investments and cash</w:t>
            </w:r>
          </w:p>
        </w:tc>
        <w:tc>
          <w:tcPr>
            <w:tcW w:w="6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(881,067)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(13,342,332)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debt</w:t>
            </w:r>
          </w:p>
        </w:tc>
        <w:tc>
          <w:tcPr>
            <w:tcW w:w="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(191,570)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80" w:type="dxa"/>
            <w:vAlign w:val="bottom"/>
          </w:tcPr>
          <w:p>
            <w:pPr>
              <w:ind w:left="700"/>
              <w:spacing w:after="0" w:line="155" w:lineRule="exact"/>
              <w:rPr>
                <w:sz w:val="20"/>
                <w:szCs w:val="20"/>
                <w:color w:val="auto"/>
              </w:rPr>
            </w:pPr>
            <w:r>
              <w:rPr>
                <w:rFonts w:ascii="Arial" w:cs="Arial" w:eastAsia="Arial" w:hAnsi="Arial"/>
                <w:sz w:val="14"/>
                <w:szCs w:val="14"/>
                <w:b w:val="1"/>
                <w:bCs w:val="1"/>
                <w:color w:val="auto"/>
              </w:rPr>
              <w:t>Total net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697,506,199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1,411,827,197</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1,153,327,092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gridSpan w:val="2"/>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124,850,558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107,058,958</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99,663,198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9,692,254</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10,883,261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8,486,387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5,656,300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5,841,127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3,542,583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597,400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7,278,060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4,806,329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459,166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147,936,338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129,187,075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113,392,390</w:t>
            </w:r>
          </w:p>
        </w:tc>
        <w:tc>
          <w:tcPr>
            <w:tcW w:w="0" w:type="dxa"/>
            <w:vAlign w:val="bottom"/>
          </w:tcPr>
          <w:p>
            <w:pPr>
              <w:spacing w:after="0"/>
              <w:rPr>
                <w:sz w:val="1"/>
                <w:szCs w:val="1"/>
                <w:color w:val="auto"/>
              </w:rPr>
            </w:pPr>
          </w:p>
        </w:tc>
      </w:tr>
      <w:tr>
        <w:trPr>
          <w:trHeight w:val="156"/>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Base management fee (See Note 3)</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24,291,420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21,288,728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17,507,262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17,832,129</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16,793,089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14,223,777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Interest and expenses on debt (See Note 11)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20,260,652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15,384,208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11,680,634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2,953,423</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3,161,158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3,745,741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2,860,094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2,857,739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3,496,326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8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68,197,718</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59,484,922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50,653,740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Tax expense (benefit)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72,603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(53,468)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Debt issuance costs (See Note 5)</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8,337,500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2,757,500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5,361,319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Total expenses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76,607,821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62,188,954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56,323,049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180" w:type="dxa"/>
            <w:vAlign w:val="bottom"/>
          </w:tcPr>
          <w:p>
            <w:pPr>
              <w:ind w:left="4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71,328,517</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66,998,121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57,069,341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30,235,265</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Non-controlled, non-affiliated investments and cash</w:t>
            </w:r>
          </w:p>
        </w:tc>
        <w:tc>
          <w:tcPr>
            <w:tcW w:w="1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468,076</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17,932,839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42,727,722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11,993,189</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(13,143,019)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(22,085,553)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460"/>
              <w:spacing w:after="0" w:line="149" w:lineRule="exact"/>
              <w:rPr>
                <w:sz w:val="20"/>
                <w:szCs w:val="20"/>
                <w:color w:val="auto"/>
              </w:rPr>
            </w:pPr>
            <w:r>
              <w:rPr>
                <w:rFonts w:ascii="Arial" w:cs="Arial" w:eastAsia="Arial" w:hAnsi="Arial"/>
                <w:sz w:val="14"/>
                <w:szCs w:val="14"/>
                <w:color w:val="auto"/>
              </w:rPr>
              <w:t>Debt (appreciation) depreciation (See Notes 5 and 11)</w:t>
            </w:r>
          </w:p>
        </w:tc>
        <w:tc>
          <w:tcPr>
            <w:tcW w:w="1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(3,041,570)</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Net change in unrealized appreciation (depreciation) on investments, cash and debt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9,419,695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7,092,320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19,081,794</w:t>
            </w:r>
          </w:p>
        </w:tc>
        <w:tc>
          <w:tcPr>
            <w:tcW w:w="0" w:type="dxa"/>
            <w:vAlign w:val="bottom"/>
          </w:tcPr>
          <w:p>
            <w:pPr>
              <w:spacing w:after="0"/>
              <w:rPr>
                <w:sz w:val="1"/>
                <w:szCs w:val="1"/>
                <w:color w:val="auto"/>
              </w:rPr>
            </w:pPr>
          </w:p>
        </w:tc>
      </w:tr>
      <w:tr>
        <w:trPr>
          <w:trHeight w:val="163"/>
        </w:trPr>
        <w:tc>
          <w:tcPr>
            <w:tcW w:w="8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39,654,960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24,779,531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6,283,759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110,983,477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91,777,652</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63,353,100</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 per common share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89"/>
              <w:spacing w:after="0"/>
              <w:rPr>
                <w:sz w:val="20"/>
                <w:szCs w:val="20"/>
                <w:color w:val="auto"/>
              </w:rPr>
            </w:pPr>
            <w:r>
              <w:rPr>
                <w:rFonts w:ascii="Arial" w:cs="Arial" w:eastAsia="Arial" w:hAnsi="Arial"/>
                <w:sz w:val="14"/>
                <w:szCs w:val="14"/>
                <w:b w:val="1"/>
                <w:bCs w:val="1"/>
                <w:color w:val="auto"/>
              </w:rPr>
              <w:t>Years Ended 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Net investment income</w:t>
            </w:r>
          </w:p>
        </w:tc>
        <w:tc>
          <w:tcPr>
            <w:tcW w:w="1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71,328,517</w:t>
            </w:r>
          </w:p>
        </w:tc>
        <w:tc>
          <w:tcPr>
            <w:tcW w:w="24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66,998,121</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57,069,341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realized gain (loss) on investments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30,235,265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17,687,211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Net change in unrealized appreciation on investments and cash</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12,461,265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4,789,820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20,642,169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Net change in debt depreciation (appreciation)</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(3,041,570)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2,302,500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8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110,983,477</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91,777,652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63,353,100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Distribution of net investment income</w:t>
            </w: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(76,937,761)</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(74,398,129)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(60,137,978)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3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Public offerings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98,855,000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7,574,000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206,572,500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Offering costs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(3,465,650)</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(265,090)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Reinvestment of distributions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1,068,684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3,100,719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4,989,529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96,458,034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10,409,629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203,844,729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130,503,750</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27,789,152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207,059,851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Beginning of year</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697,506,199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669,717,047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462,657,196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End of year</w:t>
            </w:r>
          </w:p>
        </w:tc>
        <w:tc>
          <w:tcPr>
            <w:tcW w:w="1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828,009,949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697,506,199</w:t>
            </w:r>
          </w:p>
        </w:tc>
        <w:tc>
          <w:tcPr>
            <w:tcW w:w="32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669,717,047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500"/>
              <w:spacing w:after="0"/>
              <w:rPr>
                <w:sz w:val="20"/>
                <w:szCs w:val="20"/>
                <w:color w:val="auto"/>
              </w:rPr>
            </w:pPr>
            <w:r>
              <w:rPr>
                <w:rFonts w:ascii="Arial" w:cs="Arial" w:eastAsia="Arial" w:hAnsi="Arial"/>
                <w:sz w:val="14"/>
                <w:szCs w:val="14"/>
                <w:color w:val="auto"/>
              </w:rPr>
              <w:t>(Distributions in excess of) Undistributed net investment income, end of year</w:t>
            </w: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(11,802,580)</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(4,675,217)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2,804,397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480"/>
              <w:spacing w:after="0" w:line="149" w:lineRule="exact"/>
              <w:rPr>
                <w:sz w:val="20"/>
                <w:szCs w:val="20"/>
                <w:color w:val="auto"/>
              </w:rPr>
            </w:pPr>
            <w:r>
              <w:rPr>
                <w:rFonts w:ascii="Arial" w:cs="Arial" w:eastAsia="Arial" w:hAnsi="Arial"/>
                <w:sz w:val="14"/>
                <w:szCs w:val="14"/>
                <w:color w:val="auto"/>
              </w:rPr>
              <w:t>Shares issued from public offerings</w:t>
            </w: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19,350,000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Shares issued from reinvestment of distributions</w:t>
            </w: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93,584</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284,824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4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110,983,477</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91,777,652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63,353,100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4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rPr>
              <w:t>Adjustments to reconcile net increase in net assets resulting from operations to net cash (used) provided by operating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change in net unrealized appreciation on investments and cash</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(12,461,265)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(4,789,820)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(20,642,169)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change in unrealized appreciation (depreciation) on debt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3,041,570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(2,302,500)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1,560,375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Net realized (loss) gain on investments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(30,235,265)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(17,687,211)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(8,027,104)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(5,856,654)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(10,357,608)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(795,089,483)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(504,373,719)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(347,517,775)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Payment-in-kind interest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(10,961,812)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(11,814,084)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(9,065,502)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disposition of investments</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625,551,026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437,147,602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201,656,926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interest receivable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(2,808,632)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4,033,969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(4,050,626)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12,240,763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deferred financing costs and other assets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(6,984,407)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168,130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(48,112,204)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52,544,704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(18,572,499)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interest payable on debt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151,798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955,741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Increase in management fees payable</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965,546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627,644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performance-based incentive fees payable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347,873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67,892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accrued other expenses</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1,103,877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(172,535,005)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40,324,126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(115,339,638)</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Public offerings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98,855,000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7,574,000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206,572,500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Offering costs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(3,465,650)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(265,090)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(7,717,300)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(73,462,877)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(68,501,660)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(51,660,628)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Proceeds from 2019 Notes issuance (See Note 11)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Proceeds from 2025 Notes issuance (See Note 11)</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71,250,000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Borrowings under Credit Facility (See Note 11)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1,186,753,100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1,099,800,000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927,900,000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860"/>
              <w:spacing w:after="0" w:line="149" w:lineRule="exact"/>
              <w:rPr>
                <w:sz w:val="20"/>
                <w:szCs w:val="20"/>
                <w:color w:val="auto"/>
              </w:rPr>
            </w:pPr>
            <w:r>
              <w:rPr>
                <w:rFonts w:ascii="Arial" w:cs="Arial" w:eastAsia="Arial" w:hAnsi="Arial"/>
                <w:sz w:val="14"/>
                <w:szCs w:val="14"/>
                <w:color w:val="auto"/>
              </w:rPr>
              <w:t>Repayments under Credit Facility (See Note 11)</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(1,277,026,800)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(1,099,300,000)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(1,023,800,000)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180,902,773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10,557,250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51,294,572</w:t>
            </w:r>
          </w:p>
        </w:tc>
        <w:tc>
          <w:tcPr>
            <w:tcW w:w="0" w:type="dxa"/>
            <w:vAlign w:val="bottom"/>
          </w:tcPr>
          <w:p>
            <w:pPr>
              <w:spacing w:after="0"/>
              <w:rPr>
                <w:sz w:val="1"/>
                <w:szCs w:val="1"/>
                <w:color w:val="auto"/>
              </w:rPr>
            </w:pPr>
          </w:p>
        </w:tc>
      </w:tr>
      <w:tr>
        <w:trPr>
          <w:trHeight w:val="156"/>
        </w:trPr>
        <w:tc>
          <w:tcPr>
            <w:tcW w:w="7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8,367,768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50,881,376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(64,045,066)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(289,915)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year</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7,559,453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71,604,519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58,440,829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7,559,453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19,575,955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12,765,891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10,643,840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40" w:type="dxa"/>
            <w:vAlign w:val="bottom"/>
          </w:tcPr>
          <w:p>
            <w:pPr>
              <w:ind w:left="420"/>
              <w:spacing w:after="0" w:line="155" w:lineRule="exact"/>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258,550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reinvested</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1,068,682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3,100,719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4,989,529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ind w:left="420"/>
              <w:spacing w:after="0" w:line="155" w:lineRule="exact"/>
              <w:rPr>
                <w:sz w:val="20"/>
                <w:szCs w:val="20"/>
                <w:color w:val="auto"/>
              </w:rPr>
            </w:pPr>
            <w:r>
              <w:rPr>
                <w:rFonts w:ascii="Arial" w:cs="Arial" w:eastAsia="Arial" w:hAnsi="Arial"/>
                <w:sz w:val="14"/>
                <w:szCs w:val="14"/>
                <w:color w:val="auto"/>
              </w:rPr>
              <w:t>Conversions and non-cash exchanges</w:t>
            </w: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59,126,053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58,478,391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43,596,371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2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Maturity /</w:t>
            </w:r>
          </w:p>
        </w:tc>
        <w:tc>
          <w:tcPr>
            <w:tcW w:w="128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820" w:type="dxa"/>
            <w:vAlign w:val="bottom"/>
            <w:gridSpan w:val="2"/>
            <w:vMerge w:val="continue"/>
          </w:tcPr>
          <w:p>
            <w:pPr>
              <w:spacing w:after="0"/>
              <w:rPr>
                <w:sz w:val="12"/>
                <w:szCs w:val="12"/>
                <w:color w:val="auto"/>
              </w:rPr>
            </w:pPr>
          </w:p>
        </w:tc>
        <w:tc>
          <w:tcPr>
            <w:tcW w:w="1220" w:type="dxa"/>
            <w:vAlign w:val="bottom"/>
          </w:tcPr>
          <w:p>
            <w:pPr>
              <w:ind w:left="620"/>
              <w:spacing w:after="0"/>
              <w:rPr>
                <w:sz w:val="20"/>
                <w:szCs w:val="20"/>
                <w:color w:val="auto"/>
              </w:rPr>
            </w:pPr>
            <w:r>
              <w:rPr>
                <w:rFonts w:ascii="Arial" w:cs="Arial" w:eastAsia="Arial" w:hAnsi="Arial"/>
                <w:sz w:val="12"/>
                <w:szCs w:val="12"/>
                <w:b w:val="1"/>
                <w:bCs w:val="1"/>
                <w:color w:val="auto"/>
                <w:w w:val="98"/>
              </w:rPr>
              <w:t>Expiration</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9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Companies—146.4% </w:t>
            </w:r>
            <w:r>
              <w:rPr>
                <w:rFonts w:ascii="Arial" w:cs="Arial" w:eastAsia="Arial" w:hAnsi="Arial"/>
                <w:sz w:val="9"/>
                <w:szCs w:val="9"/>
                <w:b w:val="1"/>
                <w:bCs w:val="1"/>
                <w:color w:val="auto"/>
              </w:rPr>
              <w:t>(1), (2)</w:t>
            </w:r>
          </w:p>
        </w:tc>
        <w:tc>
          <w:tcPr>
            <w:tcW w:w="122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First Lien Secured Debt—52.4%</w:t>
            </w:r>
          </w:p>
        </w:tc>
        <w:tc>
          <w:tcPr>
            <w:tcW w:w="12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03/21/2018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L+975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23,301,182</w:t>
            </w:r>
          </w:p>
        </w:tc>
        <w:tc>
          <w:tcPr>
            <w:tcW w:w="760" w:type="dxa"/>
            <w:vAlign w:val="bottom"/>
          </w:tcPr>
          <w:p>
            <w:pPr>
              <w:jc w:val="right"/>
              <w:spacing w:after="0"/>
              <w:rPr>
                <w:sz w:val="20"/>
                <w:szCs w:val="20"/>
                <w:color w:val="auto"/>
              </w:rPr>
            </w:pPr>
            <w:r>
              <w:rPr>
                <w:rFonts w:ascii="Arial" w:cs="Arial" w:eastAsia="Arial" w:hAnsi="Arial"/>
                <w:sz w:val="12"/>
                <w:szCs w:val="12"/>
                <w:color w:val="auto"/>
              </w:rPr>
              <w:t>$  22,545,408</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  24,466,241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AKA Diversified Holdings,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04/02/2018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11.92%</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38,382,219</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37,594,531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38,835,189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(9)</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04/02/2018</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Retail</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7,500,000</w:t>
            </w:r>
          </w:p>
        </w:tc>
        <w:tc>
          <w:tcPr>
            <w:tcW w:w="760" w:type="dxa"/>
            <w:vAlign w:val="bottom"/>
          </w:tcPr>
          <w:p>
            <w:pPr>
              <w:jc w:val="right"/>
              <w:spacing w:after="0"/>
              <w:rPr>
                <w:sz w:val="20"/>
                <w:szCs w:val="20"/>
                <w:color w:val="auto"/>
              </w:rPr>
            </w:pPr>
            <w:r>
              <w:rPr>
                <w:rFonts w:ascii="Arial" w:cs="Arial" w:eastAsia="Arial" w:hAnsi="Arial"/>
                <w:sz w:val="12"/>
                <w:szCs w:val="12"/>
                <w:color w:val="auto"/>
              </w:rPr>
              <w:t>7,500,000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7,588,512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AP Gaming I,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12/21/2020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Hotels, Motels, Inns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9.25%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5,210,625</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5,067,986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5,236,678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and Gaming</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10/20/2020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4,500,000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4,432,500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4,432,500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03/30/2017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Auto Sector</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11,500,000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11,369,159</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12,463,125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InfuSystem Holdings, Inc.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11/30/2016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13.16%</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P+992</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8,000,000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8,000,000</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8,190,480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10/16/2017</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7,777,902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7,774,409</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7,739,013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K2 Pure Solutions NoCal, L.P.</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08/19/2019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6"/>
              </w:rPr>
              <w:t>Chemicals, Plastics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L+900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22,342,352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21,957,793</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22,003,560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Rubber</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9.63%</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5,626,850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5,626,850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5,851,924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Patriot National, Inc.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11/27/2018</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7"/>
              </w:rPr>
              <w:t>Insurance</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49,851,923</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47,685,257</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50,350,442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ind w:left="100"/>
              <w:spacing w:after="0"/>
              <w:rPr>
                <w:sz w:val="20"/>
                <w:szCs w:val="20"/>
                <w:color w:val="auto"/>
              </w:rPr>
            </w:pPr>
            <w:r>
              <w:rPr>
                <w:rFonts w:ascii="Arial" w:cs="Arial" w:eastAsia="Arial" w:hAnsi="Arial"/>
                <w:sz w:val="12"/>
                <w:szCs w:val="12"/>
                <w:color w:val="auto"/>
              </w:rPr>
              <w:t>(f/k/a Old Guard Risk Services, Inc.)</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2500" w:type="dxa"/>
            <w:vAlign w:val="bottom"/>
            <w:gridSpan w:val="2"/>
            <w:shd w:val="clear" w:color="auto" w:fill="CCEEFF"/>
          </w:tcPr>
          <w:p>
            <w:pPr>
              <w:ind w:left="620"/>
              <w:spacing w:after="0" w:line="136" w:lineRule="exact"/>
              <w:rPr>
                <w:sz w:val="20"/>
                <w:szCs w:val="20"/>
                <w:color w:val="auto"/>
              </w:rPr>
            </w:pPr>
            <w:r>
              <w:rPr>
                <w:rFonts w:ascii="Arial" w:cs="Arial" w:eastAsia="Arial" w:hAnsi="Arial"/>
                <w:sz w:val="12"/>
                <w:szCs w:val="12"/>
                <w:color w:val="auto"/>
                <w:w w:val="97"/>
              </w:rPr>
              <w:t>12/16/2019   Mining, Steel, Iron and</w:t>
            </w:r>
          </w:p>
        </w:tc>
        <w:tc>
          <w:tcPr>
            <w:tcW w:w="680" w:type="dxa"/>
            <w:vAlign w:val="bottom"/>
            <w:shd w:val="clear" w:color="auto" w:fill="CCEEFF"/>
          </w:tcPr>
          <w:p>
            <w:pPr>
              <w:jc w:val="right"/>
              <w:ind w:right="22"/>
              <w:spacing w:after="0" w:line="136" w:lineRule="exact"/>
              <w:rPr>
                <w:sz w:val="20"/>
                <w:szCs w:val="20"/>
                <w:color w:val="auto"/>
              </w:rPr>
            </w:pPr>
            <w:r>
              <w:rPr>
                <w:rFonts w:ascii="Arial" w:cs="Arial" w:eastAsia="Arial" w:hAnsi="Arial"/>
                <w:sz w:val="12"/>
                <w:szCs w:val="12"/>
                <w:color w:val="auto"/>
              </w:rPr>
              <w:t>11.50%</w:t>
            </w:r>
          </w:p>
        </w:tc>
        <w:tc>
          <w:tcPr>
            <w:tcW w:w="80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6"/>
              </w:rPr>
              <w:t>14,250,000</w:t>
            </w:r>
          </w:p>
        </w:tc>
        <w:tc>
          <w:tcPr>
            <w:tcW w:w="9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14,116,948</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15,960,000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Non-Precious Metals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RAM Energy LLC, Tranche A</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07/18/2019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75,000,000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73,440,857</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74,250,000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RAM Energy LLC, Tranche B</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07/20/2015</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Energy and Utilities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L+1,300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26,727,390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Robertshaw US Holding Corp.</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06/18/2019</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12,352,942</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12,235,053</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12,331,043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ind w:left="100"/>
              <w:spacing w:after="0"/>
              <w:rPr>
                <w:sz w:val="20"/>
                <w:szCs w:val="20"/>
                <w:color w:val="auto"/>
              </w:rPr>
            </w:pPr>
            <w:r>
              <w:rPr>
                <w:rFonts w:ascii="Arial" w:cs="Arial" w:eastAsia="Arial" w:hAnsi="Arial"/>
                <w:sz w:val="12"/>
                <w:szCs w:val="12"/>
                <w:color w:val="auto"/>
              </w:rPr>
              <w:t>(f/k/a Fox US Bidco Corp.)</w:t>
            </w: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Robertshaw US Holding Corp.</w:t>
            </w:r>
          </w:p>
        </w:tc>
        <w:tc>
          <w:tcPr>
            <w:tcW w:w="1220" w:type="dxa"/>
            <w:vAlign w:val="bottom"/>
            <w:shd w:val="clear" w:color="auto" w:fill="CCEEFF"/>
          </w:tcPr>
          <w:p>
            <w:pPr>
              <w:ind w:left="620"/>
              <w:spacing w:after="0" w:line="136" w:lineRule="exact"/>
              <w:rPr>
                <w:sz w:val="20"/>
                <w:szCs w:val="20"/>
                <w:color w:val="auto"/>
              </w:rPr>
            </w:pPr>
            <w:r>
              <w:rPr>
                <w:rFonts w:ascii="Arial" w:cs="Arial" w:eastAsia="Arial" w:hAnsi="Arial"/>
                <w:sz w:val="12"/>
                <w:szCs w:val="12"/>
                <w:color w:val="auto"/>
                <w:w w:val="96"/>
              </w:rPr>
              <w:t>06/18/2019</w:t>
            </w:r>
          </w:p>
        </w:tc>
        <w:tc>
          <w:tcPr>
            <w:tcW w:w="12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8"/>
              </w:rPr>
              <w:t>Electronics</w:t>
            </w:r>
          </w:p>
        </w:tc>
        <w:tc>
          <w:tcPr>
            <w:tcW w:w="68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rPr>
              <w:t>2,647,058</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2,647,058</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2,642,366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xml:space="preserve">(f/k/a Fox US Bidco Corp.) </w:t>
            </w:r>
            <w:r>
              <w:rPr>
                <w:rFonts w:ascii="Arial" w:cs="Arial" w:eastAsia="Arial" w:hAnsi="Arial"/>
                <w:sz w:val="9"/>
                <w:szCs w:val="9"/>
                <w:color w:val="auto"/>
              </w:rPr>
              <w:t>(9)</w:t>
            </w:r>
          </w:p>
        </w:tc>
        <w:tc>
          <w:tcPr>
            <w:tcW w:w="1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Sotera Defense Solutions,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04/21/2017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19,838,145</w:t>
            </w:r>
          </w:p>
        </w:tc>
        <w:tc>
          <w:tcPr>
            <w:tcW w:w="760" w:type="dxa"/>
            <w:vAlign w:val="bottom"/>
          </w:tcPr>
          <w:p>
            <w:pPr>
              <w:jc w:val="right"/>
              <w:spacing w:after="0"/>
              <w:rPr>
                <w:sz w:val="20"/>
                <w:szCs w:val="20"/>
                <w:color w:val="auto"/>
              </w:rPr>
            </w:pPr>
            <w:r>
              <w:rPr>
                <w:rFonts w:ascii="Arial" w:cs="Arial" w:eastAsia="Arial" w:hAnsi="Arial"/>
                <w:sz w:val="12"/>
                <w:szCs w:val="12"/>
                <w:color w:val="auto"/>
              </w:rPr>
              <w:t>18,826,225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17,854,331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04/30/2018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23,952,411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23,659,108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23,952,411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TRAK Acquisition Corp. </w:t>
            </w:r>
            <w:r>
              <w:rPr>
                <w:rFonts w:ascii="Arial" w:cs="Arial" w:eastAsia="Arial" w:hAnsi="Arial"/>
                <w:sz w:val="9"/>
                <w:szCs w:val="9"/>
                <w:color w:val="auto"/>
              </w:rPr>
              <w:t>(9)</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1,000,000</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985,000</w:t>
            </w:r>
          </w:p>
        </w:tc>
        <w:tc>
          <w:tcPr>
            <w:tcW w:w="780" w:type="dxa"/>
            <w:vAlign w:val="bottom"/>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(10), (12)</w:t>
            </w:r>
          </w:p>
        </w:tc>
        <w:tc>
          <w:tcPr>
            <w:tcW w:w="250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w w:val="91"/>
              </w:rPr>
              <w:t>02/12/2020  Buildings and Real Estate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11.06%</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27,118,544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42,793,869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44,024,504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U.S. Well Services,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05/02/2019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16,235,293</w:t>
            </w:r>
          </w:p>
        </w:tc>
        <w:tc>
          <w:tcPr>
            <w:tcW w:w="760" w:type="dxa"/>
            <w:vAlign w:val="bottom"/>
          </w:tcPr>
          <w:p>
            <w:pPr>
              <w:jc w:val="right"/>
              <w:spacing w:after="0"/>
              <w:rPr>
                <w:sz w:val="20"/>
                <w:szCs w:val="20"/>
                <w:color w:val="auto"/>
              </w:rPr>
            </w:pPr>
            <w:r>
              <w:rPr>
                <w:rFonts w:ascii="Arial" w:cs="Arial" w:eastAsia="Arial" w:hAnsi="Arial"/>
                <w:sz w:val="12"/>
                <w:szCs w:val="12"/>
                <w:color w:val="auto"/>
              </w:rPr>
              <w:t>15,901,463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16,206,786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Worley Claims Services, LLC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07/06/2017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11,201,270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11,201,270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11,425,295</w:t>
            </w: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422,088,134</w:t>
            </w:r>
          </w:p>
        </w:tc>
        <w:tc>
          <w:tcPr>
            <w:tcW w:w="1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434,304,400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Debt—58.5%</w:t>
            </w: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09/01/2017</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91"/>
              </w:rPr>
              <w:t>Diversified Natural</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11.50%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25,400,000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25,400,000</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27,432,000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84"/>
              </w:rPr>
              <w:t>Resources, Precious</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9"/>
              </w:rPr>
              <w:t>Metals and Minerals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Ascensus,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12/02/2020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15,500,000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15,297,220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Bennu Oil &amp; Gas,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11/01/2018</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8.75%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L+750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19,750,360</w:t>
            </w:r>
          </w:p>
        </w:tc>
        <w:tc>
          <w:tcPr>
            <w:tcW w:w="760" w:type="dxa"/>
            <w:vAlign w:val="bottom"/>
          </w:tcPr>
          <w:p>
            <w:pPr>
              <w:jc w:val="right"/>
              <w:spacing w:after="0"/>
              <w:rPr>
                <w:sz w:val="20"/>
                <w:szCs w:val="20"/>
                <w:color w:val="auto"/>
              </w:rPr>
            </w:pPr>
            <w:r>
              <w:rPr>
                <w:rFonts w:ascii="Arial" w:cs="Arial" w:eastAsia="Arial" w:hAnsi="Arial"/>
                <w:sz w:val="12"/>
                <w:szCs w:val="12"/>
                <w:color w:val="auto"/>
              </w:rPr>
              <w:t>19,659,292</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19,635,216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Carolina Beverage Group,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08/01/2018</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Beverage,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10.63%</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13,125,000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13,125,000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13,551,562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Tobacco</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CT Technologies Intermediate Holdings,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10/05/2020</w:t>
            </w:r>
          </w:p>
        </w:tc>
        <w:tc>
          <w:tcPr>
            <w:tcW w:w="128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9.25%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L+800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14,000,000</w:t>
            </w:r>
          </w:p>
        </w:tc>
        <w:tc>
          <w:tcPr>
            <w:tcW w:w="760" w:type="dxa"/>
            <w:vAlign w:val="bottom"/>
          </w:tcPr>
          <w:p>
            <w:pPr>
              <w:jc w:val="right"/>
              <w:spacing w:after="0"/>
              <w:rPr>
                <w:sz w:val="20"/>
                <w:szCs w:val="20"/>
                <w:color w:val="auto"/>
              </w:rPr>
            </w:pPr>
            <w:r>
              <w:rPr>
                <w:rFonts w:ascii="Arial" w:cs="Arial" w:eastAsia="Arial" w:hAnsi="Arial"/>
                <w:sz w:val="12"/>
                <w:szCs w:val="12"/>
                <w:color w:val="auto"/>
              </w:rPr>
              <w:t>13,817,560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13,930,000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11/04/2021</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Healthcare, Education</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24,700,000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24,324,871</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24,700,000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and Childcare</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Foundation Building Materials, LLC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04/30/2019</w:t>
            </w: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Building Materials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12.00%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L+1,100</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44,557,044</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44,981,600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Foundation Building Materials, LLC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04/30/2019</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2"/>
              </w:rPr>
              <w:t>Building Materials</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L+1,200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32,776,212</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32,181,185</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32,762,810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2"/>
                <w:szCs w:val="12"/>
                <w:color w:val="auto"/>
                <w:w w:val="95"/>
              </w:rPr>
              <w:t>(PIK 1.00%)</w:t>
            </w: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03/01/2017</w:t>
            </w:r>
          </w:p>
        </w:tc>
        <w:tc>
          <w:tcPr>
            <w:tcW w:w="1280" w:type="dxa"/>
            <w:vAlign w:val="bottom"/>
          </w:tcPr>
          <w:p>
            <w:pPr>
              <w:jc w:val="center"/>
              <w:spacing w:after="0"/>
              <w:rPr>
                <w:sz w:val="20"/>
                <w:szCs w:val="20"/>
                <w:color w:val="auto"/>
              </w:rPr>
            </w:pPr>
            <w:r>
              <w:rPr>
                <w:rFonts w:ascii="Arial" w:cs="Arial" w:eastAsia="Arial" w:hAnsi="Arial"/>
                <w:sz w:val="12"/>
                <w:szCs w:val="12"/>
                <w:color w:val="auto"/>
                <w:w w:val="86"/>
              </w:rPr>
              <w:t>Cargo Transport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w:t>
            </w:r>
            <w:r>
              <w:rPr>
                <w:rFonts w:ascii="Arial" w:cs="Arial" w:eastAsia="Arial" w:hAnsi="Arial"/>
                <w:sz w:val="9"/>
                <w:szCs w:val="9"/>
                <w:color w:val="auto"/>
              </w:rPr>
              <w:t>(6)</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3,945,483</w:t>
            </w:r>
          </w:p>
        </w:tc>
        <w:tc>
          <w:tcPr>
            <w:tcW w:w="760" w:type="dxa"/>
            <w:vAlign w:val="bottom"/>
          </w:tcPr>
          <w:p>
            <w:pPr>
              <w:jc w:val="right"/>
              <w:spacing w:after="0"/>
              <w:rPr>
                <w:sz w:val="20"/>
                <w:szCs w:val="20"/>
                <w:color w:val="auto"/>
              </w:rPr>
            </w:pPr>
            <w:r>
              <w:rPr>
                <w:rFonts w:ascii="Arial" w:cs="Arial" w:eastAsia="Arial" w:hAnsi="Arial"/>
                <w:sz w:val="12"/>
                <w:szCs w:val="12"/>
                <w:color w:val="auto"/>
              </w:rPr>
              <w:t>3,945,485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1,183,645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J.A. Cosmetics Holdings,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07/31/2019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11.00%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L+1,000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34,000,000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33,374,349</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34,505,954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Jacobs Entertainment, Inc.</w:t>
            </w:r>
          </w:p>
        </w:tc>
        <w:tc>
          <w:tcPr>
            <w:tcW w:w="2500" w:type="dxa"/>
            <w:vAlign w:val="bottom"/>
            <w:gridSpan w:val="2"/>
          </w:tcPr>
          <w:p>
            <w:pPr>
              <w:ind w:left="620"/>
              <w:spacing w:after="0" w:line="129" w:lineRule="exact"/>
              <w:rPr>
                <w:sz w:val="20"/>
                <w:szCs w:val="20"/>
                <w:color w:val="auto"/>
              </w:rPr>
            </w:pPr>
            <w:r>
              <w:rPr>
                <w:rFonts w:ascii="Arial" w:cs="Arial" w:eastAsia="Arial" w:hAnsi="Arial"/>
                <w:sz w:val="12"/>
                <w:szCs w:val="12"/>
                <w:color w:val="auto"/>
                <w:w w:val="95"/>
              </w:rPr>
              <w:t>10/29/2019  Hotels, Motels, Inns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13.00%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L+1,175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38,950,000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38,400,639</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36,223,500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90"/>
              </w:rPr>
              <w:t>Gaming</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KIK Custom Products Inc.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10/29/2019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L+825</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9,500,000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9,368,296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9,515,865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220" w:type="dxa"/>
            <w:vAlign w:val="bottom"/>
          </w:tcPr>
          <w:p>
            <w:pPr>
              <w:ind w:left="620"/>
              <w:spacing w:after="0" w:line="129" w:lineRule="exact"/>
              <w:rPr>
                <w:sz w:val="20"/>
                <w:szCs w:val="20"/>
                <w:color w:val="auto"/>
              </w:rPr>
            </w:pPr>
            <w:r>
              <w:rPr>
                <w:rFonts w:ascii="Arial" w:cs="Arial" w:eastAsia="Arial" w:hAnsi="Arial"/>
                <w:sz w:val="12"/>
                <w:szCs w:val="12"/>
                <w:color w:val="auto"/>
                <w:w w:val="96"/>
              </w:rPr>
              <w:t>12/20/2016</w:t>
            </w:r>
          </w:p>
        </w:tc>
        <w:tc>
          <w:tcPr>
            <w:tcW w:w="1280" w:type="dxa"/>
            <w:vAlign w:val="bottom"/>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10.50%</w:t>
            </w:r>
          </w:p>
        </w:tc>
        <w:tc>
          <w:tcPr>
            <w:tcW w:w="80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L+875</w:t>
            </w:r>
          </w:p>
        </w:tc>
        <w:tc>
          <w:tcPr>
            <w:tcW w:w="82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6"/>
              </w:rPr>
              <w:t>33,750,000</w:t>
            </w:r>
          </w:p>
        </w:tc>
        <w:tc>
          <w:tcPr>
            <w:tcW w:w="760" w:type="dxa"/>
            <w:vAlign w:val="bottom"/>
          </w:tcPr>
          <w:p>
            <w:pPr>
              <w:jc w:val="right"/>
              <w:spacing w:after="0" w:line="129" w:lineRule="exact"/>
              <w:rPr>
                <w:sz w:val="20"/>
                <w:szCs w:val="20"/>
                <w:color w:val="auto"/>
              </w:rPr>
            </w:pPr>
            <w:r>
              <w:rPr>
                <w:rFonts w:ascii="Arial" w:cs="Arial" w:eastAsia="Arial" w:hAnsi="Arial"/>
                <w:sz w:val="12"/>
                <w:szCs w:val="12"/>
                <w:color w:val="auto"/>
              </w:rPr>
              <w:t>33,397,785</w:t>
            </w:r>
          </w:p>
        </w:tc>
        <w:tc>
          <w:tcPr>
            <w:tcW w:w="1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33,384,487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Linc USA GP and Linc Energy Finance (USA), Inc. </w:t>
            </w:r>
            <w:r>
              <w:rPr>
                <w:rFonts w:ascii="Arial" w:cs="Arial" w:eastAsia="Arial" w:hAnsi="Arial"/>
                <w:sz w:val="9"/>
                <w:szCs w:val="9"/>
                <w:color w:val="auto"/>
              </w:rPr>
              <w:t>(5)</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10/31/2017</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12.50%</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11,875,000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11,585,997</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12,379,687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05/15/2019</w:t>
            </w:r>
          </w:p>
        </w:tc>
        <w:tc>
          <w:tcPr>
            <w:tcW w:w="12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45,000,000</w:t>
            </w:r>
          </w:p>
        </w:tc>
        <w:tc>
          <w:tcPr>
            <w:tcW w:w="760" w:type="dxa"/>
            <w:vAlign w:val="bottom"/>
          </w:tcPr>
          <w:p>
            <w:pPr>
              <w:jc w:val="right"/>
              <w:spacing w:after="0"/>
              <w:rPr>
                <w:sz w:val="20"/>
                <w:szCs w:val="20"/>
                <w:color w:val="auto"/>
              </w:rPr>
            </w:pPr>
            <w:r>
              <w:rPr>
                <w:rFonts w:ascii="Arial" w:cs="Arial" w:eastAsia="Arial" w:hAnsi="Arial"/>
                <w:sz w:val="12"/>
                <w:szCs w:val="12"/>
                <w:color w:val="auto"/>
              </w:rPr>
              <w:t>44,615,705</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45,675,000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Novitex Acquisition, LLC</w:t>
            </w:r>
          </w:p>
        </w:tc>
        <w:tc>
          <w:tcPr>
            <w:tcW w:w="122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6"/>
              </w:rPr>
              <w:t>07/07/2021</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11.75%</w:t>
            </w:r>
          </w:p>
        </w:tc>
        <w:tc>
          <w:tcPr>
            <w:tcW w:w="8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p>
        </w:tc>
        <w:tc>
          <w:tcPr>
            <w:tcW w:w="82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6"/>
              </w:rPr>
              <w:t>41,250,000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40,850,421</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40,425,000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Penton Media, Inc.</w:t>
            </w:r>
          </w:p>
        </w:tc>
        <w:tc>
          <w:tcPr>
            <w:tcW w:w="1220" w:type="dxa"/>
            <w:vAlign w:val="bottom"/>
          </w:tcPr>
          <w:p>
            <w:pPr>
              <w:ind w:left="620"/>
              <w:spacing w:after="0"/>
              <w:rPr>
                <w:sz w:val="20"/>
                <w:szCs w:val="20"/>
                <w:color w:val="auto"/>
              </w:rPr>
            </w:pPr>
            <w:r>
              <w:rPr>
                <w:rFonts w:ascii="Arial" w:cs="Arial" w:eastAsia="Arial" w:hAnsi="Arial"/>
                <w:sz w:val="12"/>
                <w:szCs w:val="12"/>
                <w:color w:val="auto"/>
                <w:w w:val="96"/>
              </w:rPr>
              <w:t>10/02/2020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800" w:type="dxa"/>
            <w:vAlign w:val="bottom"/>
          </w:tcPr>
          <w:p>
            <w:pPr>
              <w:jc w:val="right"/>
              <w:ind w:right="122"/>
              <w:spacing w:after="0"/>
              <w:rPr>
                <w:sz w:val="20"/>
                <w:szCs w:val="20"/>
                <w:color w:val="auto"/>
              </w:rPr>
            </w:pPr>
            <w:r>
              <w:rPr>
                <w:rFonts w:ascii="Arial" w:cs="Arial" w:eastAsia="Arial" w:hAnsi="Arial"/>
                <w:sz w:val="12"/>
                <w:szCs w:val="12"/>
                <w:color w:val="auto"/>
              </w:rPr>
              <w:t>L+775</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w w:val="96"/>
              </w:rPr>
              <w:t>21,000,000</w:t>
            </w:r>
          </w:p>
        </w:tc>
        <w:tc>
          <w:tcPr>
            <w:tcW w:w="760" w:type="dxa"/>
            <w:vAlign w:val="bottom"/>
          </w:tcPr>
          <w:p>
            <w:pPr>
              <w:jc w:val="right"/>
              <w:spacing w:after="0"/>
              <w:rPr>
                <w:sz w:val="20"/>
                <w:szCs w:val="20"/>
                <w:color w:val="auto"/>
              </w:rPr>
            </w:pPr>
            <w:r>
              <w:rPr>
                <w:rFonts w:ascii="Arial" w:cs="Arial" w:eastAsia="Arial" w:hAnsi="Arial"/>
                <w:sz w:val="12"/>
                <w:szCs w:val="12"/>
                <w:color w:val="auto"/>
              </w:rPr>
              <w:t>20,728,983</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20,973,750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Pre-Paid Legal Services, Inc.</w:t>
            </w:r>
          </w:p>
        </w:tc>
        <w:tc>
          <w:tcPr>
            <w:tcW w:w="1220" w:type="dxa"/>
            <w:vAlign w:val="bottom"/>
            <w:shd w:val="clear" w:color="auto" w:fill="CCEEFF"/>
          </w:tcPr>
          <w:p>
            <w:pPr>
              <w:ind w:left="620"/>
              <w:spacing w:after="0" w:line="129" w:lineRule="exact"/>
              <w:rPr>
                <w:sz w:val="20"/>
                <w:szCs w:val="20"/>
                <w:color w:val="auto"/>
              </w:rPr>
            </w:pPr>
            <w:r>
              <w:rPr>
                <w:rFonts w:ascii="Arial" w:cs="Arial" w:eastAsia="Arial" w:hAnsi="Arial"/>
                <w:sz w:val="12"/>
                <w:szCs w:val="12"/>
                <w:color w:val="auto"/>
                <w:w w:val="96"/>
              </w:rPr>
              <w:t>07/01/2020</w:t>
            </w:r>
          </w:p>
        </w:tc>
        <w:tc>
          <w:tcPr>
            <w:tcW w:w="12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Personal, Food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9.75%</w:t>
            </w:r>
          </w:p>
        </w:tc>
        <w:tc>
          <w:tcPr>
            <w:tcW w:w="80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L+850</w:t>
            </w:r>
          </w:p>
        </w:tc>
        <w:tc>
          <w:tcPr>
            <w:tcW w:w="82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6"/>
              </w:rPr>
              <w:t>56,750,000</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56,012,103</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57,317,500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Miscellaneous Services</w:t>
            </w: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480,641,935</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484,232,576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ind w:right="62"/>
              <w:spacing w:after="0"/>
              <w:rPr>
                <w:sz w:val="20"/>
                <w:szCs w:val="20"/>
                <w:color w:val="auto"/>
              </w:rPr>
            </w:pPr>
            <w:r>
              <w:rPr>
                <w:rFonts w:ascii="Arial" w:cs="Arial" w:eastAsia="Arial" w:hAnsi="Arial"/>
                <w:sz w:val="12"/>
                <w:szCs w:val="12"/>
                <w:b w:val="1"/>
                <w:bCs w:val="1"/>
                <w:color w:val="auto"/>
                <w:w w:val="91"/>
              </w:rPr>
              <w:t>Basis Point</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760" w:type="dxa"/>
            <w:vAlign w:val="bottom"/>
          </w:tcPr>
          <w:p>
            <w:pPr>
              <w:jc w:val="center"/>
              <w:ind w:left="1002"/>
              <w:spacing w:after="0" w:line="135" w:lineRule="exact"/>
              <w:rPr>
                <w:sz w:val="20"/>
                <w:szCs w:val="20"/>
                <w:color w:val="auto"/>
              </w:rPr>
            </w:pPr>
            <w:r>
              <w:rPr>
                <w:rFonts w:ascii="Arial" w:cs="Arial" w:eastAsia="Arial" w:hAnsi="Arial"/>
                <w:sz w:val="12"/>
                <w:szCs w:val="12"/>
                <w:b w:val="1"/>
                <w:bCs w:val="1"/>
                <w:color w:val="auto"/>
                <w:w w:val="93"/>
              </w:rPr>
              <w:t>Maturity /</w:t>
            </w:r>
          </w:p>
        </w:tc>
        <w:tc>
          <w:tcPr>
            <w:tcW w:w="184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1760" w:type="dxa"/>
            <w:vAlign w:val="bottom"/>
          </w:tcPr>
          <w:p>
            <w:pPr>
              <w:jc w:val="center"/>
              <w:ind w:left="962"/>
              <w:spacing w:after="0"/>
              <w:rPr>
                <w:sz w:val="20"/>
                <w:szCs w:val="20"/>
                <w:color w:val="auto"/>
              </w:rPr>
            </w:pPr>
            <w:r>
              <w:rPr>
                <w:rFonts w:ascii="Arial" w:cs="Arial" w:eastAsia="Arial" w:hAnsi="Arial"/>
                <w:sz w:val="12"/>
                <w:szCs w:val="12"/>
                <w:b w:val="1"/>
                <w:bCs w:val="1"/>
                <w:color w:val="auto"/>
                <w:w w:val="91"/>
              </w:rPr>
              <w:t>Expiration</w:t>
            </w:r>
          </w:p>
        </w:tc>
        <w:tc>
          <w:tcPr>
            <w:tcW w:w="184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Notes—24.8%</w:t>
            </w:r>
          </w:p>
        </w:tc>
        <w:tc>
          <w:tcPr>
            <w:tcW w:w="176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Acentia, LLC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10/02/2017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14.00%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19,000,000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  18,697,637</w:t>
            </w:r>
          </w:p>
        </w:tc>
        <w:tc>
          <w:tcPr>
            <w:tcW w:w="780" w:type="dxa"/>
            <w:vAlign w:val="bottom"/>
          </w:tcPr>
          <w:p>
            <w:pPr>
              <w:jc w:val="right"/>
              <w:spacing w:after="0"/>
              <w:rPr>
                <w:sz w:val="20"/>
                <w:szCs w:val="20"/>
                <w:color w:val="auto"/>
              </w:rPr>
            </w:pPr>
            <w:r>
              <w:rPr>
                <w:rFonts w:ascii="Arial" w:cs="Arial" w:eastAsia="Arial" w:hAnsi="Arial"/>
                <w:sz w:val="12"/>
                <w:szCs w:val="12"/>
                <w:color w:val="auto"/>
              </w:rPr>
              <w:t>$  19,145,804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09/14/2018</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35,983,184</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31,471,438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30,585,706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14.50%)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08/15/2018</w:t>
            </w:r>
          </w:p>
        </w:tc>
        <w:tc>
          <w:tcPr>
            <w:tcW w:w="184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15,096,000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15,096,000</w:t>
            </w:r>
          </w:p>
        </w:tc>
        <w:tc>
          <w:tcPr>
            <w:tcW w:w="780" w:type="dxa"/>
            <w:vAlign w:val="bottom"/>
          </w:tcPr>
          <w:p>
            <w:pPr>
              <w:jc w:val="right"/>
              <w:spacing w:after="0"/>
              <w:rPr>
                <w:sz w:val="20"/>
                <w:szCs w:val="20"/>
                <w:color w:val="auto"/>
              </w:rPr>
            </w:pPr>
            <w:r>
              <w:rPr>
                <w:rFonts w:ascii="Arial" w:cs="Arial" w:eastAsia="Arial" w:hAnsi="Arial"/>
                <w:sz w:val="12"/>
                <w:szCs w:val="12"/>
                <w:color w:val="auto"/>
              </w:rPr>
              <w:t>14,039,280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Alegeus Technologies,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86"/>
              </w:rPr>
              <w:t>02/15/2019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8,930,000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8,795,450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8,805,334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86"/>
              </w:rPr>
              <w:t>03/26/2018</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w w:val="99"/>
              </w:rPr>
              <w:t>23,753,813</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23,422,959</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23,991,351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1.00%)</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1760" w:type="dxa"/>
            <w:vAlign w:val="bottom"/>
            <w:shd w:val="clear" w:color="auto" w:fill="CCEEFF"/>
          </w:tcPr>
          <w:p>
            <w:pPr>
              <w:jc w:val="center"/>
              <w:ind w:left="982"/>
              <w:spacing w:after="0" w:line="136" w:lineRule="exact"/>
              <w:rPr>
                <w:sz w:val="20"/>
                <w:szCs w:val="20"/>
                <w:color w:val="auto"/>
              </w:rPr>
            </w:pPr>
            <w:r>
              <w:rPr>
                <w:rFonts w:ascii="Arial" w:cs="Arial" w:eastAsia="Arial" w:hAnsi="Arial"/>
                <w:sz w:val="12"/>
                <w:szCs w:val="12"/>
                <w:color w:val="auto"/>
                <w:w w:val="86"/>
              </w:rPr>
              <w:t>10/26/2018</w:t>
            </w:r>
          </w:p>
        </w:tc>
        <w:tc>
          <w:tcPr>
            <w:tcW w:w="184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5"/>
              </w:rPr>
              <w:t>Personal, Food and</w:t>
            </w:r>
          </w:p>
        </w:tc>
        <w:tc>
          <w:tcPr>
            <w:tcW w:w="84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12.50%</w:t>
            </w:r>
          </w:p>
        </w:tc>
        <w:tc>
          <w:tcPr>
            <w:tcW w:w="74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9"/>
              </w:rPr>
              <w:t>10,633,397</w:t>
            </w:r>
          </w:p>
        </w:tc>
        <w:tc>
          <w:tcPr>
            <w:tcW w:w="9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10,462,892</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10,261,422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Miscellaneous Services</w:t>
            </w:r>
          </w:p>
        </w:tc>
        <w:tc>
          <w:tcPr>
            <w:tcW w:w="84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(PIK</w:t>
            </w: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1.25%)</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Energy &amp; Exploration Partners,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07/01/2019</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9,500,000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9,500,000</w:t>
            </w:r>
          </w:p>
        </w:tc>
        <w:tc>
          <w:tcPr>
            <w:tcW w:w="780" w:type="dxa"/>
            <w:vAlign w:val="bottom"/>
          </w:tcPr>
          <w:p>
            <w:pPr>
              <w:jc w:val="right"/>
              <w:spacing w:after="0"/>
              <w:rPr>
                <w:sz w:val="20"/>
                <w:szCs w:val="20"/>
                <w:color w:val="auto"/>
              </w:rPr>
            </w:pPr>
            <w:r>
              <w:rPr>
                <w:rFonts w:ascii="Arial" w:cs="Arial" w:eastAsia="Arial" w:hAnsi="Arial"/>
                <w:sz w:val="12"/>
                <w:szCs w:val="12"/>
                <w:color w:val="auto"/>
              </w:rPr>
              <w:t>9,310,000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JF Acquisition, LLC</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06/30/2017</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19,874,148</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19,543,873</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17,886,733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MSPark,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06/15/2017</w:t>
            </w:r>
          </w:p>
        </w:tc>
        <w:tc>
          <w:tcPr>
            <w:tcW w:w="184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14,758,098</w:t>
            </w:r>
          </w:p>
        </w:tc>
        <w:tc>
          <w:tcPr>
            <w:tcW w:w="780" w:type="dxa"/>
            <w:vAlign w:val="bottom"/>
          </w:tcPr>
          <w:p>
            <w:pPr>
              <w:jc w:val="right"/>
              <w:spacing w:after="0"/>
              <w:rPr>
                <w:sz w:val="20"/>
                <w:szCs w:val="20"/>
                <w:color w:val="auto"/>
              </w:rPr>
            </w:pPr>
            <w:r>
              <w:rPr>
                <w:rFonts w:ascii="Arial" w:cs="Arial" w:eastAsia="Arial" w:hAnsi="Arial"/>
                <w:sz w:val="12"/>
                <w:szCs w:val="12"/>
                <w:color w:val="auto"/>
              </w:rPr>
              <w:t>15,000,000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86"/>
              </w:rPr>
              <w:t>11/15/2019</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13,500,000</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13,040,004</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10,665,000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12.00%)</w:t>
            </w: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Power Products, LLC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86"/>
              </w:rPr>
              <w:t>12/11/2020</w:t>
            </w:r>
          </w:p>
        </w:tc>
        <w:tc>
          <w:tcPr>
            <w:tcW w:w="184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12.75%</w:t>
            </w:r>
            <w:r>
              <w:rPr>
                <w:rFonts w:ascii="Arial" w:cs="Arial" w:eastAsia="Arial" w:hAnsi="Arial"/>
                <w:sz w:val="9"/>
                <w:szCs w:val="9"/>
                <w:color w:val="auto"/>
              </w:rPr>
              <w:t>(7)</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15,000,000</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14,793,246</w:t>
            </w:r>
          </w:p>
        </w:tc>
        <w:tc>
          <w:tcPr>
            <w:tcW w:w="780" w:type="dxa"/>
            <w:vAlign w:val="bottom"/>
          </w:tcPr>
          <w:p>
            <w:pPr>
              <w:jc w:val="right"/>
              <w:spacing w:after="0"/>
              <w:rPr>
                <w:sz w:val="20"/>
                <w:szCs w:val="20"/>
                <w:color w:val="auto"/>
              </w:rPr>
            </w:pPr>
            <w:r>
              <w:rPr>
                <w:rFonts w:ascii="Arial" w:cs="Arial" w:eastAsia="Arial" w:hAnsi="Arial"/>
                <w:sz w:val="12"/>
                <w:szCs w:val="12"/>
                <w:color w:val="auto"/>
              </w:rPr>
              <w:t>15,225,000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Randall-Reilly Publishing Company,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86"/>
              </w:rPr>
              <w:t>04/15/2019</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99"/>
              </w:rPr>
              <w:t>30,400,000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29,860,100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30,704,000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209,441,697</w:t>
            </w:r>
          </w:p>
        </w:tc>
        <w:tc>
          <w:tcPr>
            <w:tcW w:w="780" w:type="dxa"/>
            <w:vAlign w:val="bottom"/>
          </w:tcPr>
          <w:p>
            <w:pPr>
              <w:jc w:val="right"/>
              <w:spacing w:after="0"/>
              <w:rPr>
                <w:sz w:val="20"/>
                <w:szCs w:val="20"/>
                <w:color w:val="auto"/>
              </w:rPr>
            </w:pPr>
            <w:r>
              <w:rPr>
                <w:rFonts w:ascii="Arial" w:cs="Arial" w:eastAsia="Arial" w:hAnsi="Arial"/>
                <w:sz w:val="12"/>
                <w:szCs w:val="12"/>
                <w:color w:val="auto"/>
              </w:rPr>
              <w:t>205,619,630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Interests—1.6% </w:t>
            </w:r>
            <w:r>
              <w:rPr>
                <w:rFonts w:ascii="Arial" w:cs="Arial" w:eastAsia="Arial" w:hAnsi="Arial"/>
                <w:sz w:val="9"/>
                <w:szCs w:val="9"/>
                <w:b w:val="1"/>
                <w:bCs w:val="1"/>
                <w:color w:val="auto"/>
              </w:rPr>
              <w:t>(6)</w:t>
            </w:r>
          </w:p>
        </w:tc>
        <w:tc>
          <w:tcPr>
            <w:tcW w:w="17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AH Holdings,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211</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500,000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7,505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318,896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949</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427,965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76,357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765,307</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2,216,474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38,179</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382,654</w:t>
            </w:r>
          </w:p>
        </w:tc>
        <w:tc>
          <w:tcPr>
            <w:tcW w:w="780" w:type="dxa"/>
            <w:vAlign w:val="bottom"/>
          </w:tcPr>
          <w:p>
            <w:pPr>
              <w:jc w:val="right"/>
              <w:spacing w:after="0"/>
              <w:rPr>
                <w:sz w:val="20"/>
                <w:szCs w:val="20"/>
                <w:color w:val="auto"/>
              </w:rPr>
            </w:pPr>
            <w:r>
              <w:rPr>
                <w:rFonts w:ascii="Arial" w:cs="Arial" w:eastAsia="Arial" w:hAnsi="Arial"/>
                <w:sz w:val="12"/>
                <w:szCs w:val="12"/>
                <w:color w:val="auto"/>
              </w:rPr>
              <w:t>1,108,237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760" w:type="dxa"/>
            <w:vAlign w:val="bottom"/>
            <w:shd w:val="clear" w:color="auto" w:fill="CCEEFF"/>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2,375</w:t>
            </w:r>
          </w:p>
        </w:tc>
        <w:tc>
          <w:tcPr>
            <w:tcW w:w="92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2,375,000</w:t>
            </w:r>
          </w:p>
        </w:tc>
        <w:tc>
          <w:tcPr>
            <w:tcW w:w="9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2,790,511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(Convergint Technologies LLC)</w:t>
            </w: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1760" w:type="dxa"/>
            <w:vAlign w:val="bottom"/>
          </w:tcPr>
          <w:p>
            <w:pPr>
              <w:jc w:val="center"/>
              <w:ind w:left="982"/>
              <w:spacing w:after="0" w:line="129" w:lineRule="exact"/>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3,397</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3,397,484</w:t>
            </w: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3,580,328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180"/>
              <w:spacing w:after="0"/>
              <w:rPr>
                <w:sz w:val="20"/>
                <w:szCs w:val="20"/>
                <w:color w:val="auto"/>
              </w:rPr>
            </w:pPr>
            <w:r>
              <w:rPr>
                <w:rFonts w:ascii="Arial" w:cs="Arial" w:eastAsia="Arial" w:hAnsi="Arial"/>
                <w:sz w:val="12"/>
                <w:szCs w:val="12"/>
                <w:color w:val="auto"/>
              </w:rPr>
              <w:t>(J.A. Cosmetics Holdings, Inc.)</w:t>
            </w: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Red Point, LLC</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3,591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21,727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31,851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Ride Holdings, Inc.</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1,966,667</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2,251,667</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712,145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760" w:type="dxa"/>
            <w:vAlign w:val="bottom"/>
            <w:shd w:val="clear" w:color="auto" w:fill="CCEEFF"/>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686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685,820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760" w:type="dxa"/>
            <w:vAlign w:val="bottom"/>
          </w:tcPr>
          <w:p>
            <w:pPr>
              <w:jc w:val="center"/>
              <w:ind w:left="982"/>
              <w:spacing w:after="0"/>
              <w:rPr>
                <w:sz w:val="20"/>
                <w:szCs w:val="20"/>
                <w:color w:val="auto"/>
              </w:rPr>
            </w:pPr>
            <w:r>
              <w:rPr>
                <w:rFonts w:ascii="Arial" w:cs="Arial" w:eastAsia="Arial" w:hAnsi="Arial"/>
                <w:sz w:val="12"/>
                <w:szCs w:val="12"/>
                <w:color w:val="auto"/>
                <w:w w:val="99"/>
              </w:rPr>
              <w:t>—</w:t>
            </w:r>
          </w:p>
        </w:tc>
        <w:tc>
          <w:tcPr>
            <w:tcW w:w="184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1,312</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1,312,006</w:t>
            </w:r>
          </w:p>
        </w:tc>
        <w:tc>
          <w:tcPr>
            <w:tcW w:w="780" w:type="dxa"/>
            <w:vAlign w:val="bottom"/>
          </w:tcPr>
          <w:p>
            <w:pPr>
              <w:jc w:val="right"/>
              <w:spacing w:after="0"/>
              <w:rPr>
                <w:sz w:val="20"/>
                <w:szCs w:val="20"/>
                <w:color w:val="auto"/>
              </w:rPr>
            </w:pPr>
            <w:r>
              <w:rPr>
                <w:rFonts w:ascii="Arial" w:cs="Arial" w:eastAsia="Arial" w:hAnsi="Arial"/>
                <w:sz w:val="12"/>
                <w:szCs w:val="12"/>
                <w:color w:val="auto"/>
              </w:rPr>
              <w:t>1,799,366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7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12,959,611</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13,352,697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2"/>
              </w:rPr>
              <w:t>Basis Point</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Maturity /</w:t>
            </w: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87"/>
              </w:rPr>
              <w:t>Current</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20" w:type="dxa"/>
            <w:vAlign w:val="bottom"/>
            <w:gridSpan w:val="2"/>
            <w:vMerge w:val="continue"/>
          </w:tcPr>
          <w:p>
            <w:pPr>
              <w:spacing w:after="0"/>
              <w:rPr>
                <w:sz w:val="12"/>
                <w:szCs w:val="12"/>
                <w:color w:val="auto"/>
              </w:rPr>
            </w:pPr>
          </w:p>
        </w:tc>
        <w:tc>
          <w:tcPr>
            <w:tcW w:w="1080" w:type="dxa"/>
            <w:vAlign w:val="bottom"/>
          </w:tcPr>
          <w:p>
            <w:pPr>
              <w:ind w:left="460"/>
              <w:spacing w:after="0"/>
              <w:rPr>
                <w:sz w:val="20"/>
                <w:szCs w:val="20"/>
                <w:color w:val="auto"/>
              </w:rPr>
            </w:pPr>
            <w:r>
              <w:rPr>
                <w:rFonts w:ascii="Arial" w:cs="Arial" w:eastAsia="Arial" w:hAnsi="Arial"/>
                <w:sz w:val="12"/>
                <w:szCs w:val="12"/>
                <w:b w:val="1"/>
                <w:bCs w:val="1"/>
                <w:color w:val="auto"/>
              </w:rPr>
              <w:t>Expiration</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3"/>
              </w:rPr>
              <w:t>Coupon</w:t>
            </w: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9"/>
              </w:rPr>
              <w:t>Shares</w:t>
            </w:r>
          </w:p>
        </w:tc>
        <w:tc>
          <w:tcPr>
            <w:tcW w:w="80" w:type="dxa"/>
            <w:vAlign w:val="bottom"/>
          </w:tcPr>
          <w:p>
            <w:pPr>
              <w:spacing w:after="0"/>
              <w:rPr>
                <w:sz w:val="12"/>
                <w:szCs w:val="12"/>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Equity/Partnership Interests/Warrants—9.1% </w:t>
            </w:r>
            <w:r>
              <w:rPr>
                <w:rFonts w:ascii="Arial" w:cs="Arial" w:eastAsia="Arial" w:hAnsi="Arial"/>
                <w:sz w:val="9"/>
                <w:szCs w:val="9"/>
                <w:b w:val="1"/>
                <w:bCs w:val="1"/>
                <w:color w:val="auto"/>
              </w:rPr>
              <w:t>(6)</w:t>
            </w:r>
          </w:p>
        </w:tc>
        <w:tc>
          <w:tcPr>
            <w:tcW w:w="108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1,998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2,000,000</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825,006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 Series A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12/12/2023</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3"/>
              </w:rPr>
              <w:t>4,798,624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10,265,972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8,997,421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Affinion Group Holdings, Inc., Series B (Warrants)</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86"/>
              </w:rPr>
              <w:t>12/12/2023</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6"/>
              </w:rPr>
              <w:t>Consumer Products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9,822,196</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196,444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03/23/2021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428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ASP LCG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05/05/2026</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Education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933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586,975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540,370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Autumn Games, LLC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Broadcasting and Entertainment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1,333,333</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(11)</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6"/>
              </w:rPr>
              <w:t>Cargo Transport</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137,923</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(f/k/a Transportation 100 Holdco, L.L.C.)</w:t>
            </w:r>
          </w:p>
        </w:tc>
        <w:tc>
          <w:tcPr>
            <w:tcW w:w="10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(Intermediate Transportation 100,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207,242</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2,377,491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(Foundation Building Materials,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92"/>
              </w:rPr>
              <w:t>Building Materials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103,621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1,125,000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1,188,746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(Foundation Building Materials,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1,505,000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1,505,000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1,847,186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CI (IHS) Investment Holdings, LLC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23,416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234,693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679,750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11,708</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339,875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2,375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760,634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(Convergint Technologies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5,556</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545,887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3,725,224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(CT Technologies Intermediate Holdings, Inc.)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J.A. Cosmetics US, Inc.</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86"/>
              </w:rPr>
              <w:t>Consumer Products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2,516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493,464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(J.A. Cosmetics Holdings, Inc.)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1,079,920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1,236,832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9,906,155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3"/>
              </w:rPr>
              <w:t>1,079,920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(11)</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Environmental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w w:val="93"/>
              </w:rPr>
              <w:t>1,000,000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856,105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Magnum Hunter Resources Corporation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04/16/2016</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122,192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182,498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91,644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93"/>
              </w:rPr>
              <w:t>Distribution</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1,850</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1,850,294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49,057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140"/>
              <w:spacing w:after="0"/>
              <w:rPr>
                <w:sz w:val="20"/>
                <w:szCs w:val="20"/>
                <w:color w:val="auto"/>
              </w:rPr>
            </w:pPr>
            <w:r>
              <w:rPr>
                <w:rFonts w:ascii="Arial" w:cs="Arial" w:eastAsia="Arial" w:hAnsi="Arial"/>
                <w:sz w:val="12"/>
                <w:szCs w:val="12"/>
                <w:color w:val="auto"/>
              </w:rPr>
              <w:t>(JF Acquisitions,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MidOcean PPL Holdings, Corp.</w:t>
            </w:r>
          </w:p>
        </w:tc>
        <w:tc>
          <w:tcPr>
            <w:tcW w:w="1080" w:type="dxa"/>
            <w:vAlign w:val="bottom"/>
            <w:shd w:val="clear" w:color="auto" w:fill="CCEEFF"/>
          </w:tcPr>
          <w:p>
            <w:pPr>
              <w:jc w:val="center"/>
              <w:ind w:left="302"/>
              <w:spacing w:after="0" w:line="136"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2"/>
                <w:szCs w:val="12"/>
                <w:color w:val="auto"/>
                <w:w w:val="86"/>
              </w:rPr>
              <w:t>Personal, Food and Miscellaneous</w:t>
            </w:r>
          </w:p>
        </w:tc>
        <w:tc>
          <w:tcPr>
            <w:tcW w:w="66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3,000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5,993,832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Legal Services, Inc.)</w:t>
            </w:r>
          </w:p>
        </w:tc>
        <w:tc>
          <w:tcPr>
            <w:tcW w:w="10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6"/>
              </w:rPr>
              <w:t>Services</w:t>
            </w: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(11)</w:t>
            </w:r>
            <w:r>
              <w:rPr>
                <w:rFonts w:ascii="Arial" w:cs="Arial" w:eastAsia="Arial" w:hAnsi="Arial"/>
                <w:sz w:val="12"/>
                <w:szCs w:val="12"/>
                <w:color w:val="auto"/>
              </w:rPr>
              <w:t xml:space="preserve"> (Warrants)</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86"/>
              </w:rPr>
              <w:t>05/09/2024</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Oil and Gas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13,500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495,000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Patriot National, Inc.</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86"/>
              </w:rPr>
              <w:t>11/27/2023</w:t>
            </w:r>
          </w:p>
        </w:tc>
        <w:tc>
          <w:tcPr>
            <w:tcW w:w="200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7"/>
              </w:rPr>
              <w:t>Insurance</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62,932</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1,290,904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3,398,932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(f/k/a Old Guard Risk Services, Inc.) (Warrants)</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7"/>
              </w:rPr>
              <w:t>Healthcare, Education and Childcare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20,000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1,171,851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2,800,714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w w:val="93"/>
              </w:rPr>
              <w:t>1,350,000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1,657,516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(Power Products, LLC)</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1080" w:type="dxa"/>
            <w:vAlign w:val="bottom"/>
          </w:tcPr>
          <w:p>
            <w:pPr>
              <w:jc w:val="center"/>
              <w:ind w:left="302"/>
              <w:spacing w:after="0" w:line="129" w:lineRule="exact"/>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150,000</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184,168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ind w:left="200"/>
              <w:spacing w:after="0"/>
              <w:rPr>
                <w:sz w:val="20"/>
                <w:szCs w:val="20"/>
                <w:color w:val="auto"/>
              </w:rPr>
            </w:pPr>
            <w:r>
              <w:rPr>
                <w:rFonts w:ascii="Arial" w:cs="Arial" w:eastAsia="Arial" w:hAnsi="Arial"/>
                <w:sz w:val="12"/>
                <w:szCs w:val="12"/>
                <w:color w:val="auto"/>
              </w:rPr>
              <w:t>(Power Products, LLC)</w:t>
            </w:r>
          </w:p>
        </w:tc>
        <w:tc>
          <w:tcPr>
            <w:tcW w:w="1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RAM Energy LLC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Energy and Utilities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828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827,922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827,922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Red Point, LLC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Other Media</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388,378</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1,629,791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3,444,803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Ride Holdings, Inc.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7"/>
              </w:rPr>
              <w:t>Personal Transportation</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9,882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SPG Boyd Holdings Corp.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Chemical, Plastic and Rubber</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2,419,203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9,457,220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TRAK Acquisition Corp.</w:t>
            </w:r>
          </w:p>
        </w:tc>
        <w:tc>
          <w:tcPr>
            <w:tcW w:w="1080" w:type="dxa"/>
            <w:vAlign w:val="bottom"/>
            <w:shd w:val="clear" w:color="auto" w:fill="CCEEFF"/>
          </w:tcPr>
          <w:p>
            <w:pPr>
              <w:jc w:val="center"/>
              <w:ind w:left="302"/>
              <w:spacing w:after="0" w:line="129" w:lineRule="exact"/>
              <w:rPr>
                <w:sz w:val="20"/>
                <w:szCs w:val="20"/>
                <w:color w:val="auto"/>
              </w:rPr>
            </w:pPr>
            <w:r>
              <w:rPr>
                <w:rFonts w:ascii="Arial" w:cs="Arial" w:eastAsia="Arial" w:hAnsi="Arial"/>
                <w:sz w:val="12"/>
                <w:szCs w:val="12"/>
                <w:color w:val="auto"/>
                <w:w w:val="86"/>
              </w:rPr>
              <w:t>12/29/2019</w:t>
            </w:r>
          </w:p>
        </w:tc>
        <w:tc>
          <w:tcPr>
            <w:tcW w:w="2000" w:type="dxa"/>
            <w:vAlign w:val="bottom"/>
            <w:gridSpan w:val="2"/>
            <w:shd w:val="clear" w:color="auto" w:fill="CCEEFF"/>
          </w:tcPr>
          <w:p>
            <w:pPr>
              <w:jc w:val="center"/>
              <w:ind w:right="80"/>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3,500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29,400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542,155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(Warrants)</w:t>
            </w:r>
          </w:p>
        </w:tc>
        <w:tc>
          <w:tcPr>
            <w:tcW w:w="10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TZ Holdings, L.P.</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100"/>
              <w:spacing w:after="0"/>
              <w:rPr>
                <w:sz w:val="20"/>
                <w:szCs w:val="20"/>
                <w:color w:val="auto"/>
              </w:rPr>
            </w:pPr>
            <w:r>
              <w:rPr>
                <w:rFonts w:ascii="Arial" w:cs="Arial" w:eastAsia="Arial" w:hAnsi="Arial"/>
                <w:sz w:val="12"/>
                <w:szCs w:val="12"/>
                <w:color w:val="auto"/>
                <w:w w:val="87"/>
              </w:rPr>
              <w:t>Insurance</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9,567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1,819,448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Vestcom Parent Holdings, Inc.</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Printing and Publishing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211,797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793,873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3,413,412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VText Holdings, Inc.</w:t>
            </w:r>
          </w:p>
        </w:tc>
        <w:tc>
          <w:tcPr>
            <w:tcW w:w="1080" w:type="dxa"/>
            <w:vAlign w:val="bottom"/>
          </w:tcPr>
          <w:p>
            <w:pPr>
              <w:jc w:val="center"/>
              <w:ind w:left="302"/>
              <w:spacing w:after="0"/>
              <w:rPr>
                <w:sz w:val="20"/>
                <w:szCs w:val="20"/>
                <w:color w:val="auto"/>
              </w:rPr>
            </w:pPr>
            <w:r>
              <w:rPr>
                <w:rFonts w:ascii="Arial" w:cs="Arial" w:eastAsia="Arial" w:hAnsi="Arial"/>
                <w:sz w:val="12"/>
                <w:szCs w:val="12"/>
                <w:color w:val="auto"/>
                <w:w w:val="99"/>
              </w:rPr>
              <w:t>—</w:t>
            </w:r>
          </w:p>
        </w:tc>
        <w:tc>
          <w:tcPr>
            <w:tcW w:w="2000" w:type="dxa"/>
            <w:vAlign w:val="bottom"/>
            <w:gridSpan w:val="2"/>
          </w:tcPr>
          <w:p>
            <w:pPr>
              <w:jc w:val="center"/>
              <w:ind w:right="80"/>
              <w:spacing w:after="0"/>
              <w:rPr>
                <w:sz w:val="20"/>
                <w:szCs w:val="20"/>
                <w:color w:val="auto"/>
              </w:rPr>
            </w:pPr>
            <w:r>
              <w:rPr>
                <w:rFonts w:ascii="Arial" w:cs="Arial" w:eastAsia="Arial" w:hAnsi="Arial"/>
                <w:sz w:val="12"/>
                <w:szCs w:val="12"/>
                <w:color w:val="auto"/>
                <w:w w:val="85"/>
              </w:rPr>
              <w:t>Business Services</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35,526</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4,050,000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4,135,148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Z Wireless Holdings, Inc. (Warrants)</w:t>
            </w:r>
          </w:p>
        </w:tc>
        <w:tc>
          <w:tcPr>
            <w:tcW w:w="10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86"/>
              </w:rPr>
              <w:t>10/21/2021</w:t>
            </w:r>
          </w:p>
        </w:tc>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Retail</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1,736</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168,799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457,020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1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46,441,982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75,006,097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10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1,171,573,359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1,212,515,400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380"/>
              <w:spacing w:after="0" w:line="135" w:lineRule="exact"/>
              <w:rPr>
                <w:sz w:val="20"/>
                <w:szCs w:val="20"/>
                <w:color w:val="auto"/>
              </w:rPr>
            </w:pPr>
            <w:r>
              <w:rPr>
                <w:rFonts w:ascii="Arial" w:cs="Arial" w:eastAsia="Arial" w:hAnsi="Arial"/>
                <w:sz w:val="12"/>
                <w:szCs w:val="12"/>
                <w:b w:val="1"/>
                <w:bCs w:val="1"/>
                <w:color w:val="auto"/>
              </w:rPr>
              <w:t>Maturity /</w:t>
            </w: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00" w:type="dxa"/>
            <w:vAlign w:val="bottom"/>
            <w:gridSpan w:val="2"/>
            <w:vMerge w:val="continue"/>
          </w:tcPr>
          <w:p>
            <w:pPr>
              <w:spacing w:after="0"/>
              <w:rPr>
                <w:sz w:val="12"/>
                <w:szCs w:val="12"/>
                <w:color w:val="auto"/>
              </w:rPr>
            </w:pPr>
          </w:p>
        </w:tc>
        <w:tc>
          <w:tcPr>
            <w:tcW w:w="960" w:type="dxa"/>
            <w:vAlign w:val="bottom"/>
          </w:tcPr>
          <w:p>
            <w:pPr>
              <w:ind w:left="380"/>
              <w:spacing w:after="0"/>
              <w:rPr>
                <w:sz w:val="20"/>
                <w:szCs w:val="20"/>
                <w:color w:val="auto"/>
              </w:rPr>
            </w:pPr>
            <w:r>
              <w:rPr>
                <w:rFonts w:ascii="Arial" w:cs="Arial" w:eastAsia="Arial" w:hAnsi="Arial"/>
                <w:sz w:val="12"/>
                <w:szCs w:val="12"/>
                <w:b w:val="1"/>
                <w:bCs w:val="1"/>
                <w:color w:val="auto"/>
                <w:w w:val="95"/>
              </w:rPr>
              <w:t>Expiration</w:t>
            </w:r>
          </w:p>
        </w:tc>
        <w:tc>
          <w:tcPr>
            <w:tcW w:w="1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 xml:space="preserve">Investments in Non-Controlled, Affiliated Portfolio Companies—8.2% </w:t>
            </w:r>
            <w:r>
              <w:rPr>
                <w:rFonts w:ascii="Arial" w:cs="Arial" w:eastAsia="Arial" w:hAnsi="Arial"/>
                <w:sz w:val="9"/>
                <w:szCs w:val="9"/>
                <w:b w:val="1"/>
                <w:bCs w:val="1"/>
                <w:color w:val="auto"/>
                <w:w w:val="98"/>
              </w:rPr>
              <w:t>(1), (2)</w:t>
            </w:r>
          </w:p>
        </w:tc>
        <w:tc>
          <w:tcPr>
            <w:tcW w:w="96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Second Lien Secured Debt—1.1%</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Real Property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12/26/2017</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L+800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9,409,740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9,171,387</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9,127,448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Notes—4.8%</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86"/>
              </w:rPr>
              <w:t>11/05/2019</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12.00%</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w w:val="93"/>
              </w:rPr>
              <w:t>11,632,136</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11,632,137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11,283,172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8"/>
              </w:rPr>
              <w:t>(PIK 12.00%)</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Service Champ,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10/02/2017</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9"/>
              </w:rPr>
              <w:t>Auto Sector</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28,000,000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27,581,798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28,257,554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39,213,935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39,540,726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 –0.2% </w:t>
            </w:r>
            <w:r>
              <w:rPr>
                <w:rFonts w:ascii="Arial" w:cs="Arial" w:eastAsia="Arial" w:hAnsi="Arial"/>
                <w:sz w:val="9"/>
                <w:szCs w:val="9"/>
                <w:b w:val="1"/>
                <w:bCs w:val="1"/>
                <w:color w:val="auto"/>
              </w:rPr>
              <w:t>(6)</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PAS International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Aerospace and</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53,071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20,059,340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1,650,729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4"/>
              </w:rPr>
              <w:t>Defense</w:t>
            </w: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Interests/Warrants—2.1% </w:t>
            </w:r>
            <w:r>
              <w:rPr>
                <w:rFonts w:ascii="Arial" w:cs="Arial" w:eastAsia="Arial" w:hAnsi="Arial"/>
                <w:sz w:val="9"/>
                <w:szCs w:val="9"/>
                <w:b w:val="1"/>
                <w:bCs w:val="1"/>
                <w:color w:val="auto"/>
              </w:rPr>
              <w:t>(6)</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104,719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21,492,822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11/05/2022</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6"/>
              </w:rPr>
              <w:t>Consumer Products</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15,486</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Environmental Services</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143,668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11,960,702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12,140,931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8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(EnviroSolutions Real Property Holdings,</w:t>
            </w:r>
          </w:p>
        </w:tc>
        <w:tc>
          <w:tcPr>
            <w:tcW w:w="9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w:t>
            </w: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960" w:type="dxa"/>
            <w:vAlign w:val="bottom"/>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86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375,000</w:t>
            </w: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3,750,000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9"/>
              </w:rPr>
              <w:t>Motion Pictures and Entertainment</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960" w:type="dxa"/>
            <w:vAlign w:val="bottom"/>
            <w:shd w:val="clear" w:color="auto" w:fill="CCEEFF"/>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86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16,800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2,721,600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5,387,687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Champ, Inc.)</w:t>
            </w:r>
          </w:p>
        </w:tc>
        <w:tc>
          <w:tcPr>
            <w:tcW w:w="9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53,071</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202,620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40,127,744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17,528,618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108,572,406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67,847,521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Companies—4.6% </w:t>
            </w:r>
            <w:r>
              <w:rPr>
                <w:rFonts w:ascii="Arial" w:cs="Arial" w:eastAsia="Arial" w:hAnsi="Arial"/>
                <w:sz w:val="9"/>
                <w:szCs w:val="9"/>
                <w:b w:val="1"/>
                <w:bCs w:val="1"/>
                <w:color w:val="auto"/>
              </w:rPr>
              <w:t>(1), (2)</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b w:val="1"/>
                <w:bCs w:val="1"/>
                <w:color w:val="auto"/>
              </w:rPr>
              <w:t>First Lien Secured Debt—3.8%</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Superior Digital Displays, LLC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12/31/2018</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1"/>
              </w:rPr>
              <w:t>Media</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L+1,250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22,150,000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19,924,736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19,282,328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6"/>
              </w:rPr>
              <w:t>12/31/2018</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2,850,000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2,572,719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2,481,022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86"/>
              </w:rPr>
              <w:t>06/30/2020</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9,250,000</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9,526,144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31,747,455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31,289,494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89"/>
              </w:rPr>
              <w:t>6/30/2020</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1,986,611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(6)</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2,500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2,487,245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Equity—0.2% </w:t>
            </w:r>
            <w:r>
              <w:rPr>
                <w:rFonts w:ascii="Arial" w:cs="Arial" w:eastAsia="Arial" w:hAnsi="Arial"/>
                <w:sz w:val="9"/>
                <w:szCs w:val="9"/>
                <w:b w:val="1"/>
                <w:bCs w:val="1"/>
                <w:color w:val="auto"/>
              </w:rPr>
              <w:t>(6)</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960" w:type="dxa"/>
            <w:vAlign w:val="bottom"/>
          </w:tcPr>
          <w:p>
            <w:pPr>
              <w:jc w:val="center"/>
              <w:ind w:left="262"/>
              <w:spacing w:after="0" w:line="129" w:lineRule="exact"/>
              <w:rPr>
                <w:sz w:val="20"/>
                <w:szCs w:val="20"/>
                <w:color w:val="auto"/>
              </w:rPr>
            </w:pPr>
            <w:r>
              <w:rPr>
                <w:rFonts w:ascii="Arial" w:cs="Arial" w:eastAsia="Arial" w:hAnsi="Arial"/>
                <w:sz w:val="12"/>
                <w:szCs w:val="12"/>
                <w:color w:val="auto"/>
                <w:w w:val="99"/>
              </w:rPr>
              <w:t>—</w:t>
            </w:r>
          </w:p>
        </w:tc>
        <w:tc>
          <w:tcPr>
            <w:tcW w:w="1740" w:type="dxa"/>
            <w:vAlign w:val="bottom"/>
            <w:gridSpan w:val="2"/>
          </w:tcPr>
          <w:p>
            <w:pPr>
              <w:jc w:val="center"/>
              <w:spacing w:after="0" w:line="129" w:lineRule="exact"/>
              <w:rPr>
                <w:sz w:val="20"/>
                <w:szCs w:val="20"/>
                <w:color w:val="auto"/>
              </w:rPr>
            </w:pPr>
            <w:r>
              <w:rPr>
                <w:rFonts w:ascii="Arial" w:cs="Arial" w:eastAsia="Arial" w:hAnsi="Arial"/>
                <w:sz w:val="12"/>
                <w:szCs w:val="12"/>
                <w:color w:val="auto"/>
                <w:w w:val="91"/>
              </w:rPr>
              <w:t>Media</w:t>
            </w:r>
          </w:p>
        </w:tc>
        <w:tc>
          <w:tcPr>
            <w:tcW w:w="860" w:type="dxa"/>
            <w:vAlign w:val="bottom"/>
            <w:gridSpan w:val="2"/>
          </w:tcPr>
          <w:p>
            <w:pPr>
              <w:jc w:val="right"/>
              <w:ind w:right="280"/>
              <w:spacing w:after="0" w:line="129"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4,750</w:t>
            </w:r>
          </w:p>
        </w:tc>
        <w:tc>
          <w:tcPr>
            <w:tcW w:w="100" w:type="dxa"/>
            <w:vAlign w:val="bottom"/>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2,211,000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1,928,495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80" w:type="dxa"/>
            <w:vAlign w:val="bottom"/>
          </w:tcPr>
          <w:p>
            <w:pPr>
              <w:ind w:left="140"/>
              <w:spacing w:after="0"/>
              <w:rPr>
                <w:sz w:val="20"/>
                <w:szCs w:val="20"/>
                <w:color w:val="auto"/>
              </w:rPr>
            </w:pPr>
            <w:r>
              <w:rPr>
                <w:rFonts w:ascii="Arial" w:cs="Arial" w:eastAsia="Arial" w:hAnsi="Arial"/>
                <w:sz w:val="12"/>
                <w:szCs w:val="12"/>
                <w:color w:val="auto"/>
              </w:rPr>
              <w:t>(Superior Digital Displays, LLC)</w:t>
            </w: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62"/>
              <w:spacing w:after="0"/>
              <w:rPr>
                <w:sz w:val="20"/>
                <w:szCs w:val="20"/>
                <w:color w:val="auto"/>
              </w:rPr>
            </w:pPr>
            <w:r>
              <w:rPr>
                <w:rFonts w:ascii="Arial" w:cs="Arial" w:eastAsia="Arial" w:hAnsi="Arial"/>
                <w:sz w:val="12"/>
                <w:szCs w:val="12"/>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2,211,100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1,928,495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38,708,555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37,691,845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Investments—159.2%</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w w:val="91"/>
              </w:rPr>
              <w:t>1,318,854,320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1,318,054,766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Equivalents—8.0%</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6,805,293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6,805,293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 and Cash</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59,794,902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59,713,389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66,600,195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66,518,682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Equivalents—167.2%</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1,385,454,515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1,384,573,448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Assets—(67.2%)</w:t>
            </w: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(556,563,499)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9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828,009,949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663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92"/>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9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ind w:right="142"/>
              <w:spacing w:after="0"/>
              <w:rPr>
                <w:sz w:val="20"/>
                <w:szCs w:val="20"/>
                <w:color w:val="auto"/>
              </w:rPr>
            </w:pPr>
            <w:r>
              <w:rPr>
                <w:rFonts w:ascii="Arial" w:cs="Arial" w:eastAsia="Arial" w:hAnsi="Arial"/>
                <w:sz w:val="12"/>
                <w:szCs w:val="12"/>
                <w:b w:val="1"/>
                <w:bCs w:val="1"/>
                <w:color w:val="auto"/>
                <w:w w:val="82"/>
              </w:rPr>
              <w:t>Basis Point</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3"/>
              </w:rPr>
              <w:t>Spread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6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jc w:val="right"/>
              <w:ind w:right="262"/>
              <w:spacing w:after="0" w:line="135" w:lineRule="exact"/>
              <w:rPr>
                <w:sz w:val="20"/>
                <w:szCs w:val="20"/>
                <w:color w:val="auto"/>
              </w:rPr>
            </w:pPr>
            <w:r>
              <w:rPr>
                <w:rFonts w:ascii="Arial" w:cs="Arial" w:eastAsia="Arial" w:hAnsi="Arial"/>
                <w:sz w:val="12"/>
                <w:szCs w:val="12"/>
                <w:b w:val="1"/>
                <w:bCs w:val="1"/>
                <w:color w:val="auto"/>
              </w:rPr>
              <w:t>Current</w:t>
            </w:r>
          </w:p>
        </w:tc>
        <w:tc>
          <w:tcPr>
            <w:tcW w:w="980" w:type="dxa"/>
            <w:vAlign w:val="bottom"/>
          </w:tcPr>
          <w:p>
            <w:pPr>
              <w:jc w:val="center"/>
              <w:ind w:right="142"/>
              <w:spacing w:after="0" w:line="135" w:lineRule="exact"/>
              <w:rPr>
                <w:sz w:val="20"/>
                <w:szCs w:val="20"/>
                <w:color w:val="auto"/>
              </w:rPr>
            </w:pPr>
            <w:r>
              <w:rPr>
                <w:rFonts w:ascii="Arial" w:cs="Arial" w:eastAsia="Arial" w:hAnsi="Arial"/>
                <w:sz w:val="12"/>
                <w:szCs w:val="12"/>
                <w:b w:val="1"/>
                <w:bCs w:val="1"/>
                <w:color w:val="auto"/>
                <w:w w:val="81"/>
              </w:rPr>
              <w:t>Above</w:t>
            </w:r>
          </w:p>
        </w:tc>
        <w:tc>
          <w:tcPr>
            <w:tcW w:w="960" w:type="dxa"/>
            <w:vAlign w:val="bottom"/>
          </w:tcPr>
          <w:p>
            <w:pPr>
              <w:jc w:val="right"/>
              <w:ind w:right="40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660" w:type="dxa"/>
            <w:vAlign w:val="bottom"/>
          </w:tcPr>
          <w:p>
            <w:pPr>
              <w:jc w:val="center"/>
              <w:ind w:right="22"/>
              <w:spacing w:after="0"/>
              <w:rPr>
                <w:sz w:val="20"/>
                <w:szCs w:val="20"/>
                <w:color w:val="auto"/>
              </w:rPr>
            </w:pPr>
            <w:r>
              <w:rPr>
                <w:rFonts w:ascii="Arial" w:cs="Arial" w:eastAsia="Arial" w:hAnsi="Arial"/>
                <w:sz w:val="12"/>
                <w:szCs w:val="12"/>
                <w:b w:val="1"/>
                <w:bCs w:val="1"/>
                <w:color w:val="auto"/>
                <w:w w:val="98"/>
              </w:rPr>
              <w:t>Maturity</w:t>
            </w: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820" w:type="dxa"/>
            <w:vAlign w:val="bottom"/>
          </w:tcPr>
          <w:p>
            <w:pPr>
              <w:jc w:val="right"/>
              <w:ind w:right="262"/>
              <w:spacing w:after="0"/>
              <w:rPr>
                <w:sz w:val="20"/>
                <w:szCs w:val="20"/>
                <w:color w:val="auto"/>
              </w:rPr>
            </w:pPr>
            <w:r>
              <w:rPr>
                <w:rFonts w:ascii="Arial" w:cs="Arial" w:eastAsia="Arial" w:hAnsi="Arial"/>
                <w:sz w:val="12"/>
                <w:szCs w:val="12"/>
                <w:b w:val="1"/>
                <w:bCs w:val="1"/>
                <w:color w:val="auto"/>
              </w:rPr>
              <w:t>Coupon</w:t>
            </w:r>
          </w:p>
        </w:tc>
        <w:tc>
          <w:tcPr>
            <w:tcW w:w="980" w:type="dxa"/>
            <w:vAlign w:val="bottom"/>
          </w:tcPr>
          <w:p>
            <w:pPr>
              <w:jc w:val="center"/>
              <w:ind w:right="1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96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Companies—138.9% </w:t>
            </w:r>
            <w:r>
              <w:rPr>
                <w:rFonts w:ascii="Arial" w:cs="Arial" w:eastAsia="Arial" w:hAnsi="Arial"/>
                <w:sz w:val="9"/>
                <w:szCs w:val="9"/>
                <w:b w:val="1"/>
                <w:bCs w:val="1"/>
                <w:color w:val="auto"/>
                <w:w w:val="90"/>
              </w:rPr>
              <w:t>(1), (2)</w:t>
            </w:r>
          </w:p>
        </w:tc>
        <w:tc>
          <w:tcPr>
            <w:tcW w:w="660" w:type="dxa"/>
            <w:vAlign w:val="bottom"/>
            <w:tcBorders>
              <w:top w:val="single" w:sz="8" w:color="auto"/>
            </w:tcBorders>
            <w:shd w:val="clear" w:color="auto" w:fill="CCEEFF"/>
          </w:tcPr>
          <w:p>
            <w:pPr>
              <w:spacing w:after="0"/>
              <w:rPr>
                <w:sz w:val="11"/>
                <w:szCs w:val="11"/>
                <w:color w:val="auto"/>
              </w:rPr>
            </w:pPr>
          </w:p>
        </w:tc>
        <w:tc>
          <w:tcPr>
            <w:tcW w:w="19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Debt—41.3%</w:t>
            </w:r>
          </w:p>
        </w:tc>
        <w:tc>
          <w:tcPr>
            <w:tcW w:w="6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06/21/2017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11.25%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23,912,894</w:t>
            </w:r>
          </w:p>
        </w:tc>
        <w:tc>
          <w:tcPr>
            <w:tcW w:w="720" w:type="dxa"/>
            <w:vAlign w:val="bottom"/>
          </w:tcPr>
          <w:p>
            <w:pPr>
              <w:jc w:val="right"/>
              <w:spacing w:after="0"/>
              <w:rPr>
                <w:sz w:val="20"/>
                <w:szCs w:val="20"/>
                <w:color w:val="auto"/>
              </w:rPr>
            </w:pPr>
            <w:r>
              <w:rPr>
                <w:rFonts w:ascii="Arial" w:cs="Arial" w:eastAsia="Arial" w:hAnsi="Arial"/>
                <w:sz w:val="12"/>
                <w:szCs w:val="12"/>
                <w:color w:val="auto"/>
                <w:w w:val="99"/>
              </w:rPr>
              <w:t>$ 23,012,057</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25,347,668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12/21/2016</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Retail</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L+1,225</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14,550,084</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14,694,828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1.50%)</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 (10)</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10/01/2016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Cargo Transport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11.63%</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tcPr>
          <w:p>
            <w:pPr>
              <w:jc w:val="right"/>
              <w:spacing w:after="0"/>
              <w:rPr>
                <w:sz w:val="20"/>
                <w:szCs w:val="20"/>
                <w:color w:val="auto"/>
              </w:rPr>
            </w:pPr>
            <w:r>
              <w:rPr>
                <w:rFonts w:ascii="Arial" w:cs="Arial" w:eastAsia="Arial" w:hAnsi="Arial"/>
                <w:sz w:val="12"/>
                <w:szCs w:val="12"/>
                <w:color w:val="auto"/>
              </w:rPr>
              <w:t>7,385,251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7,725,000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11/20/2014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Communications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10,000,000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Cydcor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06/12/2017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9.75%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7,342,967</w:t>
            </w:r>
          </w:p>
        </w:tc>
        <w:tc>
          <w:tcPr>
            <w:tcW w:w="720" w:type="dxa"/>
            <w:vAlign w:val="bottom"/>
          </w:tcPr>
          <w:p>
            <w:pPr>
              <w:jc w:val="right"/>
              <w:spacing w:after="0"/>
              <w:rPr>
                <w:sz w:val="20"/>
                <w:szCs w:val="20"/>
                <w:color w:val="auto"/>
              </w:rPr>
            </w:pPr>
            <w:r>
              <w:rPr>
                <w:rFonts w:ascii="Arial" w:cs="Arial" w:eastAsia="Arial" w:hAnsi="Arial"/>
                <w:sz w:val="12"/>
                <w:szCs w:val="12"/>
                <w:color w:val="auto"/>
              </w:rPr>
              <w:t>7,342,967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7,342,967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12/01/2016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12,000,000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11,835,907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03/30/2017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11,500,000</w:t>
            </w: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11,326,110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12,391,250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InfuSystem Holdings, Inc.</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11/30/2016</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11.95%</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11,600,000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Instant Web, Inc.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08/07/2014</w:t>
            </w:r>
          </w:p>
        </w:tc>
        <w:tc>
          <w:tcPr>
            <w:tcW w:w="190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14.50%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23,934,268</w:t>
            </w:r>
          </w:p>
        </w:tc>
        <w:tc>
          <w:tcPr>
            <w:tcW w:w="720" w:type="dxa"/>
            <w:vAlign w:val="bottom"/>
          </w:tcPr>
          <w:p>
            <w:pPr>
              <w:jc w:val="right"/>
              <w:spacing w:after="0"/>
              <w:rPr>
                <w:sz w:val="20"/>
                <w:szCs w:val="20"/>
                <w:color w:val="auto"/>
              </w:rPr>
            </w:pPr>
            <w:r>
              <w:rPr>
                <w:rFonts w:ascii="Arial" w:cs="Arial" w:eastAsia="Arial" w:hAnsi="Arial"/>
                <w:sz w:val="12"/>
                <w:szCs w:val="12"/>
                <w:color w:val="auto"/>
              </w:rPr>
              <w:t>23,788,980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22,976,897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08/07/2014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Printing and Publishing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L+338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18,199,679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14,559,743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Interactive Health Solutions, Inc.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10/04/2016</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18,050,000</w:t>
            </w:r>
          </w:p>
        </w:tc>
        <w:tc>
          <w:tcPr>
            <w:tcW w:w="720" w:type="dxa"/>
            <w:vAlign w:val="bottom"/>
          </w:tcPr>
          <w:p>
            <w:pPr>
              <w:jc w:val="right"/>
              <w:spacing w:after="0"/>
              <w:rPr>
                <w:sz w:val="20"/>
                <w:szCs w:val="20"/>
                <w:color w:val="auto"/>
              </w:rPr>
            </w:pPr>
            <w:r>
              <w:rPr>
                <w:rFonts w:ascii="Arial" w:cs="Arial" w:eastAsia="Arial" w:hAnsi="Arial"/>
                <w:sz w:val="12"/>
                <w:szCs w:val="12"/>
                <w:color w:val="auto"/>
              </w:rPr>
              <w:t>17,770,705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18,050,000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10/16/2017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10.00%</w:t>
            </w:r>
          </w:p>
        </w:tc>
        <w:tc>
          <w:tcPr>
            <w:tcW w:w="9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8,355,469</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8,349,704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8,230,137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08/19/2019</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10.00%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22,342,352</w:t>
            </w:r>
          </w:p>
        </w:tc>
        <w:tc>
          <w:tcPr>
            <w:tcW w:w="720" w:type="dxa"/>
            <w:vAlign w:val="bottom"/>
          </w:tcPr>
          <w:p>
            <w:pPr>
              <w:jc w:val="right"/>
              <w:spacing w:after="0"/>
              <w:rPr>
                <w:sz w:val="20"/>
                <w:szCs w:val="20"/>
                <w:color w:val="auto"/>
              </w:rPr>
            </w:pPr>
            <w:r>
              <w:rPr>
                <w:rFonts w:ascii="Arial" w:cs="Arial" w:eastAsia="Arial" w:hAnsi="Arial"/>
                <w:sz w:val="12"/>
                <w:szCs w:val="12"/>
                <w:color w:val="auto"/>
              </w:rPr>
              <w:t>21,899,258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22,007,217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08/01/2014</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6.00%</w:t>
            </w:r>
          </w:p>
        </w:tc>
        <w:tc>
          <w:tcPr>
            <w:tcW w:w="98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37,950,152</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36,110,124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37,523,212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(PIK 2.00%)</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12/16/2019</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91"/>
              </w:rPr>
              <w:t>Mining, Steel, Iron and</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8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14,250,000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15,176,250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Non-Precious Metals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04/30/2018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34,270,800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34,270,800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07/06/2017</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12,451,096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12,451,096</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12,388,840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278,962,489</w:t>
            </w: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288,043,239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Debt—48.9%</w:t>
            </w: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shd w:val="clear" w:color="auto" w:fill="CCEEFF"/>
          </w:tcPr>
          <w:p>
            <w:pPr>
              <w:jc w:val="center"/>
              <w:ind w:right="22"/>
              <w:spacing w:after="0" w:line="136" w:lineRule="exact"/>
              <w:rPr>
                <w:sz w:val="20"/>
                <w:szCs w:val="20"/>
                <w:color w:val="auto"/>
              </w:rPr>
            </w:pPr>
            <w:r>
              <w:rPr>
                <w:rFonts w:ascii="Arial" w:cs="Arial" w:eastAsia="Arial" w:hAnsi="Arial"/>
                <w:sz w:val="12"/>
                <w:szCs w:val="12"/>
                <w:color w:val="auto"/>
                <w:w w:val="89"/>
              </w:rPr>
              <w:t>09/01/2017</w:t>
            </w:r>
          </w:p>
        </w:tc>
        <w:tc>
          <w:tcPr>
            <w:tcW w:w="190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0"/>
              </w:rPr>
              <w:t>Diversified Natural Resources,</w:t>
            </w:r>
          </w:p>
        </w:tc>
        <w:tc>
          <w:tcPr>
            <w:tcW w:w="82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202"/>
              <w:spacing w:after="0" w:line="136"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36" w:lineRule="exact"/>
              <w:rPr>
                <w:sz w:val="20"/>
                <w:szCs w:val="20"/>
                <w:color w:val="auto"/>
              </w:rPr>
            </w:pPr>
            <w:r>
              <w:rPr>
                <w:rFonts w:ascii="Arial" w:cs="Arial" w:eastAsia="Arial" w:hAnsi="Arial"/>
                <w:sz w:val="12"/>
                <w:szCs w:val="12"/>
                <w:color w:val="auto"/>
              </w:rPr>
              <w:t>25,400,000</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25,400,000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25,971,500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Precious Metals and Minerals</w:t>
            </w: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10/01/2020</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Business Services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11.75%</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18,750,000</w:t>
            </w:r>
          </w:p>
        </w:tc>
        <w:tc>
          <w:tcPr>
            <w:tcW w:w="720" w:type="dxa"/>
            <w:vAlign w:val="bottom"/>
          </w:tcPr>
          <w:p>
            <w:pPr>
              <w:jc w:val="right"/>
              <w:spacing w:after="0"/>
              <w:rPr>
                <w:sz w:val="20"/>
                <w:szCs w:val="20"/>
                <w:color w:val="auto"/>
              </w:rPr>
            </w:pPr>
            <w:r>
              <w:rPr>
                <w:rFonts w:ascii="Arial" w:cs="Arial" w:eastAsia="Arial" w:hAnsi="Arial"/>
                <w:sz w:val="12"/>
                <w:szCs w:val="12"/>
                <w:color w:val="auto"/>
              </w:rPr>
              <w:t>18,375,000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18,687,563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10/23/2019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Energy / Utilities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42,278,570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43,159,233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08/01/2018</w:t>
            </w:r>
          </w:p>
        </w:tc>
        <w:tc>
          <w:tcPr>
            <w:tcW w:w="1900" w:type="dxa"/>
            <w:vAlign w:val="bottom"/>
          </w:tcPr>
          <w:p>
            <w:pPr>
              <w:jc w:val="center"/>
              <w:spacing w:after="0"/>
              <w:rPr>
                <w:sz w:val="20"/>
                <w:szCs w:val="20"/>
                <w:color w:val="auto"/>
              </w:rPr>
            </w:pPr>
            <w:r>
              <w:rPr>
                <w:rFonts w:ascii="Arial" w:cs="Arial" w:eastAsia="Arial" w:hAnsi="Arial"/>
                <w:sz w:val="12"/>
                <w:szCs w:val="12"/>
                <w:color w:val="auto"/>
                <w:w w:val="85"/>
              </w:rPr>
              <w:t>Beverage, Food and Tobacco</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10.63%</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13,125,000</w:t>
            </w:r>
          </w:p>
        </w:tc>
        <w:tc>
          <w:tcPr>
            <w:tcW w:w="720" w:type="dxa"/>
            <w:vAlign w:val="bottom"/>
          </w:tcPr>
          <w:p>
            <w:pPr>
              <w:jc w:val="right"/>
              <w:spacing w:after="0"/>
              <w:rPr>
                <w:sz w:val="20"/>
                <w:szCs w:val="20"/>
                <w:color w:val="auto"/>
              </w:rPr>
            </w:pPr>
            <w:r>
              <w:rPr>
                <w:rFonts w:ascii="Arial" w:cs="Arial" w:eastAsia="Arial" w:hAnsi="Arial"/>
                <w:sz w:val="12"/>
                <w:szCs w:val="12"/>
                <w:color w:val="auto"/>
              </w:rPr>
              <w:t>13,125,000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13,420,313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Envision Acquisition Company, LLC</w:t>
            </w:r>
          </w:p>
        </w:tc>
        <w:tc>
          <w:tcPr>
            <w:tcW w:w="6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11/04/2021</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9.75%</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19,000,000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18,620,000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18,905,000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660" w:type="dxa"/>
            <w:vAlign w:val="bottom"/>
          </w:tcPr>
          <w:p>
            <w:pPr>
              <w:jc w:val="center"/>
              <w:ind w:right="22"/>
              <w:spacing w:after="0"/>
              <w:rPr>
                <w:sz w:val="20"/>
                <w:szCs w:val="20"/>
                <w:color w:val="auto"/>
              </w:rPr>
            </w:pPr>
            <w:r>
              <w:rPr>
                <w:rFonts w:ascii="Arial" w:cs="Arial" w:eastAsia="Arial" w:hAnsi="Arial"/>
                <w:sz w:val="12"/>
                <w:szCs w:val="12"/>
                <w:color w:val="auto"/>
                <w:w w:val="89"/>
              </w:rPr>
              <w:t>08/16/2018</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Energy / Utilities</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12.50%</w:t>
            </w:r>
          </w:p>
        </w:tc>
        <w:tc>
          <w:tcPr>
            <w:tcW w:w="9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42"/>
              <w:spacing w:after="0"/>
              <w:rPr>
                <w:sz w:val="20"/>
                <w:szCs w:val="20"/>
                <w:color w:val="auto"/>
              </w:rPr>
            </w:pPr>
            <w:r>
              <w:rPr>
                <w:rFonts w:ascii="Arial" w:cs="Arial" w:eastAsia="Arial" w:hAnsi="Arial"/>
                <w:sz w:val="12"/>
                <w:szCs w:val="12"/>
                <w:color w:val="auto"/>
              </w:rPr>
              <w:t>45,000,000</w:t>
            </w:r>
          </w:p>
        </w:tc>
        <w:tc>
          <w:tcPr>
            <w:tcW w:w="720" w:type="dxa"/>
            <w:vAlign w:val="bottom"/>
          </w:tcPr>
          <w:p>
            <w:pPr>
              <w:jc w:val="right"/>
              <w:spacing w:after="0"/>
              <w:rPr>
                <w:sz w:val="20"/>
                <w:szCs w:val="20"/>
                <w:color w:val="auto"/>
              </w:rPr>
            </w:pPr>
            <w:r>
              <w:rPr>
                <w:rFonts w:ascii="Arial" w:cs="Arial" w:eastAsia="Arial" w:hAnsi="Arial"/>
                <w:sz w:val="12"/>
                <w:szCs w:val="12"/>
                <w:color w:val="auto"/>
              </w:rPr>
              <w:t>44,599,796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46,575,000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06/14/2019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Electronics</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11.50%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7,500,000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03/01/2017</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9"/>
              </w:rPr>
              <w:t>Cargo Transport</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11.00%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3,544,833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3,544,833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11.00%)</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Jacobs Entertainment, Inc.</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10/29/2019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13.00%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38,950,000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38,287,499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39,096,063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12/20/2016</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10.50%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33,750,000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33,187,388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Linc USA GP and Linc Energy Finance (USA),</w:t>
            </w:r>
          </w:p>
        </w:tc>
        <w:tc>
          <w:tcPr>
            <w:tcW w:w="66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10/31/2017</w:t>
            </w:r>
          </w:p>
        </w:tc>
        <w:tc>
          <w:tcPr>
            <w:tcW w:w="1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2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12.50%</w:t>
            </w:r>
          </w:p>
        </w:tc>
        <w:tc>
          <w:tcPr>
            <w:tcW w:w="9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11,875,000</w:t>
            </w:r>
          </w:p>
        </w:tc>
        <w:tc>
          <w:tcPr>
            <w:tcW w:w="98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11,511,878</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13,062,500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 xml:space="preserve">Inc. </w:t>
            </w:r>
            <w:r>
              <w:rPr>
                <w:rFonts w:ascii="Arial" w:cs="Arial" w:eastAsia="Arial" w:hAnsi="Arial"/>
                <w:sz w:val="9"/>
                <w:szCs w:val="9"/>
                <w:color w:val="auto"/>
              </w:rPr>
              <w:t>(5)</w:t>
            </w:r>
          </w:p>
        </w:tc>
        <w:tc>
          <w:tcPr>
            <w:tcW w:w="6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07/01/2020</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Personal, Food and Miscellaneous</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9.75%</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56,750,000</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56,040,625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82"/>
              </w:rPr>
              <w:t>Services</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12/15/2014</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Other Media</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9.50%</w:t>
            </w: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2,395,378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2,371,424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66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9"/>
              </w:rPr>
              <w:t>12/15/2015</w:t>
            </w:r>
          </w:p>
        </w:tc>
        <w:tc>
          <w:tcPr>
            <w:tcW w:w="1900" w:type="dxa"/>
            <w:vAlign w:val="bottom"/>
          </w:tcPr>
          <w:p>
            <w:pPr>
              <w:jc w:val="center"/>
              <w:spacing w:after="0" w:line="129" w:lineRule="exact"/>
              <w:rPr>
                <w:sz w:val="20"/>
                <w:szCs w:val="20"/>
                <w:color w:val="auto"/>
              </w:rPr>
            </w:pPr>
            <w:r>
              <w:rPr>
                <w:rFonts w:ascii="Arial" w:cs="Arial" w:eastAsia="Arial" w:hAnsi="Arial"/>
                <w:sz w:val="12"/>
                <w:szCs w:val="12"/>
                <w:color w:val="auto"/>
                <w:w w:val="87"/>
              </w:rPr>
              <w:t>Other Media</w:t>
            </w:r>
          </w:p>
        </w:tc>
        <w:tc>
          <w:tcPr>
            <w:tcW w:w="82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11.50%</w:t>
            </w:r>
          </w:p>
        </w:tc>
        <w:tc>
          <w:tcPr>
            <w:tcW w:w="980" w:type="dxa"/>
            <w:vAlign w:val="bottom"/>
          </w:tcPr>
          <w:p>
            <w:pPr>
              <w:jc w:val="right"/>
              <w:ind w:right="82"/>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96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2,502,333</w:t>
            </w: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2,452,286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w w:val="98"/>
              </w:rPr>
              <w:t>(PIK 11.50%)</w:t>
            </w: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ROC Finance LLC and ROC Finance 1 Corp.</w:t>
            </w:r>
          </w:p>
        </w:tc>
        <w:tc>
          <w:tcPr>
            <w:tcW w:w="66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08/31/2018</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Hotels, Motels, Inns and Gaming</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12.13%</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16,000,000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15,785,252</w:t>
            </w:r>
          </w:p>
        </w:tc>
        <w:tc>
          <w:tcPr>
            <w:tcW w:w="2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332,007,946</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341,093,728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82"/>
              </w:rPr>
              <w:t>Basis Point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83"/>
              </w:rPr>
              <w:t>Spread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40" w:type="dxa"/>
            <w:vAlign w:val="bottom"/>
          </w:tcPr>
          <w:p>
            <w:pPr>
              <w:jc w:val="right"/>
              <w:ind w:right="302"/>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auto"/>
                <w:w w:val="87"/>
              </w:rPr>
              <w:t>Above</w:t>
            </w:r>
          </w:p>
        </w:tc>
        <w:tc>
          <w:tcPr>
            <w:tcW w:w="76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vMerge w:val="continue"/>
          </w:tcPr>
          <w:p>
            <w:pPr>
              <w:spacing w:after="0"/>
              <w:rPr>
                <w:sz w:val="12"/>
                <w:szCs w:val="12"/>
                <w:color w:val="auto"/>
              </w:rPr>
            </w:pPr>
          </w:p>
        </w:tc>
        <w:tc>
          <w:tcPr>
            <w:tcW w:w="1720" w:type="dxa"/>
            <w:vAlign w:val="bottom"/>
          </w:tcPr>
          <w:p>
            <w:pPr>
              <w:ind w:left="1180"/>
              <w:spacing w:after="0"/>
              <w:rPr>
                <w:sz w:val="20"/>
                <w:szCs w:val="20"/>
                <w:color w:val="auto"/>
              </w:rPr>
            </w:pPr>
            <w:r>
              <w:rPr>
                <w:rFonts w:ascii="Arial" w:cs="Arial" w:eastAsia="Arial" w:hAnsi="Arial"/>
                <w:sz w:val="12"/>
                <w:szCs w:val="12"/>
                <w:b w:val="1"/>
                <w:bCs w:val="1"/>
                <w:color w:val="auto"/>
              </w:rPr>
              <w:t>Maturity</w:t>
            </w:r>
          </w:p>
        </w:tc>
        <w:tc>
          <w:tcPr>
            <w:tcW w:w="182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40" w:type="dxa"/>
            <w:vAlign w:val="bottom"/>
          </w:tcPr>
          <w:p>
            <w:pPr>
              <w:jc w:val="right"/>
              <w:ind w:right="302"/>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ind w:right="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760" w:type="dxa"/>
            <w:vAlign w:val="bottom"/>
          </w:tcPr>
          <w:p>
            <w:pPr>
              <w:jc w:val="right"/>
              <w:ind w:right="1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72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Acentia, LLC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10/02/2017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13.75%</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19,000,000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  18,629,082</w:t>
            </w:r>
          </w:p>
        </w:tc>
        <w:tc>
          <w:tcPr>
            <w:tcW w:w="1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18,879,139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86"/>
              </w:rPr>
              <w:t>11/15/2015</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11.63%</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35,552,000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20,442,400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02/15/2019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8,930,000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8,773,751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8,888,617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03/26/2018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12.00%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23,514,494</w:t>
            </w:r>
          </w:p>
        </w:tc>
        <w:tc>
          <w:tcPr>
            <w:tcW w:w="940" w:type="dxa"/>
            <w:vAlign w:val="bottom"/>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23,114,286</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1.00%)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3540" w:type="dxa"/>
            <w:vAlign w:val="bottom"/>
            <w:gridSpan w:val="2"/>
          </w:tcPr>
          <w:p>
            <w:pPr>
              <w:ind w:left="1140"/>
              <w:spacing w:after="0" w:line="129" w:lineRule="exact"/>
              <w:rPr>
                <w:sz w:val="20"/>
                <w:szCs w:val="20"/>
                <w:color w:val="auto"/>
              </w:rPr>
            </w:pPr>
            <w:r>
              <w:rPr>
                <w:rFonts w:ascii="Arial" w:cs="Arial" w:eastAsia="Arial" w:hAnsi="Arial"/>
                <w:sz w:val="12"/>
                <w:szCs w:val="12"/>
                <w:color w:val="auto"/>
                <w:w w:val="93"/>
              </w:rPr>
              <w:t>10/26/2018   Personal, Food and Miscellaneous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12.25%</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10,600,000</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10,399,101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10,653,423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2"/>
                <w:szCs w:val="12"/>
                <w:color w:val="auto"/>
                <w:w w:val="86"/>
              </w:rPr>
              <w:t>Services</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Escort, Inc.</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06/01/2016</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14.75%</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25,965,563</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25,579,621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26,484,875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2.75%)</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720" w:type="dxa"/>
            <w:vAlign w:val="bottom"/>
          </w:tcPr>
          <w:p>
            <w:pPr>
              <w:jc w:val="center"/>
              <w:ind w:left="1042"/>
              <w:spacing w:after="0" w:line="129" w:lineRule="exact"/>
              <w:rPr>
                <w:sz w:val="20"/>
                <w:szCs w:val="20"/>
                <w:color w:val="auto"/>
              </w:rPr>
            </w:pPr>
            <w:r>
              <w:rPr>
                <w:rFonts w:ascii="Arial" w:cs="Arial" w:eastAsia="Arial" w:hAnsi="Arial"/>
                <w:sz w:val="12"/>
                <w:szCs w:val="12"/>
                <w:color w:val="auto"/>
                <w:w w:val="89"/>
              </w:rPr>
              <w:t>06/30/2017</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17,517,386</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17,160,955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17,517,386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(PIK 2.00%)</w:t>
            </w: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Learning Care Group (US) Inc.</w:t>
            </w:r>
          </w:p>
        </w:tc>
        <w:tc>
          <w:tcPr>
            <w:tcW w:w="1720" w:type="dxa"/>
            <w:vAlign w:val="bottom"/>
            <w:shd w:val="clear" w:color="auto" w:fill="CCEEFF"/>
          </w:tcPr>
          <w:p>
            <w:pPr>
              <w:jc w:val="center"/>
              <w:ind w:left="1042"/>
              <w:spacing w:after="0" w:line="136" w:lineRule="exact"/>
              <w:rPr>
                <w:sz w:val="20"/>
                <w:szCs w:val="20"/>
                <w:color w:val="auto"/>
              </w:rPr>
            </w:pPr>
            <w:r>
              <w:rPr>
                <w:rFonts w:ascii="Arial" w:cs="Arial" w:eastAsia="Arial" w:hAnsi="Arial"/>
                <w:sz w:val="12"/>
                <w:szCs w:val="12"/>
                <w:color w:val="auto"/>
                <w:w w:val="89"/>
              </w:rPr>
              <w:t>05/08/2020</w:t>
            </w:r>
          </w:p>
        </w:tc>
        <w:tc>
          <w:tcPr>
            <w:tcW w:w="182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9"/>
              </w:rPr>
              <w:t>Education</w:t>
            </w:r>
          </w:p>
        </w:tc>
        <w:tc>
          <w:tcPr>
            <w:tcW w:w="840" w:type="dxa"/>
            <w:vAlign w:val="bottom"/>
            <w:shd w:val="clear" w:color="auto" w:fill="CCEEFF"/>
          </w:tcPr>
          <w:p>
            <w:pPr>
              <w:jc w:val="right"/>
              <w:ind w:right="122"/>
              <w:spacing w:after="0" w:line="136" w:lineRule="exact"/>
              <w:rPr>
                <w:sz w:val="20"/>
                <w:szCs w:val="20"/>
                <w:color w:val="auto"/>
              </w:rPr>
            </w:pPr>
            <w:r>
              <w:rPr>
                <w:rFonts w:ascii="Arial" w:cs="Arial" w:eastAsia="Arial" w:hAnsi="Arial"/>
                <w:sz w:val="12"/>
                <w:szCs w:val="12"/>
                <w:color w:val="auto"/>
              </w:rPr>
              <w:t>15.00%</w:t>
            </w:r>
          </w:p>
        </w:tc>
        <w:tc>
          <w:tcPr>
            <w:tcW w:w="80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7,215,989</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6,754,246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7,215,989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5"/>
              </w:rPr>
              <w:t>(PIK 15.00%)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01/19/2019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30,000,000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30,000,000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30,525,000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86"/>
              </w:rPr>
              <w:t>01/11/2014</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Chemicals, Plastics and Rubber</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5,087,500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MSPark,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06/15/2017</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15,000,000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14,691,342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14,700,000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w:t>
            </w:r>
          </w:p>
        </w:tc>
        <w:tc>
          <w:tcPr>
            <w:tcW w:w="1720" w:type="dxa"/>
            <w:vAlign w:val="bottom"/>
            <w:shd w:val="clear" w:color="auto" w:fill="CCEEFF"/>
          </w:tcPr>
          <w:p>
            <w:pPr>
              <w:jc w:val="center"/>
              <w:ind w:left="1042"/>
              <w:spacing w:after="0" w:line="129" w:lineRule="exact"/>
              <w:rPr>
                <w:sz w:val="20"/>
                <w:szCs w:val="20"/>
                <w:color w:val="auto"/>
              </w:rPr>
            </w:pPr>
            <w:r>
              <w:rPr>
                <w:rFonts w:ascii="Arial" w:cs="Arial" w:eastAsia="Arial" w:hAnsi="Arial"/>
                <w:sz w:val="12"/>
                <w:szCs w:val="12"/>
                <w:color w:val="auto"/>
                <w:w w:val="89"/>
              </w:rPr>
              <w:t>01/15/2018</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4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14.00%</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37,070,637</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36,720,586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Corp.</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(PIK 4.00%)</w:t>
            </w: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720" w:type="dxa"/>
            <w:vAlign w:val="bottom"/>
          </w:tcPr>
          <w:p>
            <w:pPr>
              <w:jc w:val="center"/>
              <w:ind w:left="1042"/>
              <w:spacing w:after="0"/>
              <w:rPr>
                <w:sz w:val="20"/>
                <w:szCs w:val="20"/>
                <w:color w:val="auto"/>
              </w:rPr>
            </w:pPr>
            <w:r>
              <w:rPr>
                <w:rFonts w:ascii="Arial" w:cs="Arial" w:eastAsia="Arial" w:hAnsi="Arial"/>
                <w:sz w:val="12"/>
                <w:szCs w:val="12"/>
                <w:color w:val="auto"/>
                <w:w w:val="89"/>
              </w:rPr>
              <w:t>06/27/2019</w:t>
            </w:r>
          </w:p>
        </w:tc>
        <w:tc>
          <w:tcPr>
            <w:tcW w:w="18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39,892,933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39,147,926</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39,827,248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7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270,087,700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260,809,374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211</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500,000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AHC Mezzanine, LLC</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7,505</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318,896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720" w:type="dxa"/>
            <w:vAlign w:val="bottom"/>
            <w:shd w:val="clear" w:color="auto" w:fill="CCEEFF"/>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8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949</w:t>
            </w:r>
          </w:p>
        </w:tc>
        <w:tc>
          <w:tcPr>
            <w:tcW w:w="940" w:type="dxa"/>
            <w:vAlign w:val="bottom"/>
            <w:gridSpan w:val="3"/>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Series A (Alegeus Technologies, LLC)</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720" w:type="dxa"/>
            <w:vAlign w:val="bottom"/>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76,357</w:t>
            </w:r>
          </w:p>
        </w:tc>
        <w:tc>
          <w:tcPr>
            <w:tcW w:w="940" w:type="dxa"/>
            <w:vAlign w:val="bottom"/>
            <w:gridSpan w:val="3"/>
          </w:tcPr>
          <w:p>
            <w:pPr>
              <w:jc w:val="right"/>
              <w:ind w:right="160"/>
              <w:spacing w:after="0" w:line="129" w:lineRule="exact"/>
              <w:rPr>
                <w:sz w:val="20"/>
                <w:szCs w:val="20"/>
                <w:color w:val="auto"/>
              </w:rPr>
            </w:pPr>
            <w:r>
              <w:rPr>
                <w:rFonts w:ascii="Arial" w:cs="Arial" w:eastAsia="Arial" w:hAnsi="Arial"/>
                <w:sz w:val="12"/>
                <w:szCs w:val="12"/>
                <w:color w:val="auto"/>
              </w:rPr>
              <w:t>765,307</w:t>
            </w: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1,187,410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140"/>
              <w:spacing w:after="0"/>
              <w:rPr>
                <w:sz w:val="20"/>
                <w:szCs w:val="20"/>
                <w:color w:val="auto"/>
              </w:rPr>
            </w:pPr>
            <w:r>
              <w:rPr>
                <w:rFonts w:ascii="Arial" w:cs="Arial" w:eastAsia="Arial" w:hAnsi="Arial"/>
                <w:sz w:val="12"/>
                <w:szCs w:val="12"/>
                <w:color w:val="auto"/>
              </w:rPr>
              <w:t>(Interactive Health Solutions, Inc.)</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720" w:type="dxa"/>
            <w:vAlign w:val="bottom"/>
            <w:shd w:val="clear" w:color="auto" w:fill="CCEEFF"/>
          </w:tcPr>
          <w:p>
            <w:pPr>
              <w:jc w:val="center"/>
              <w:ind w:left="1022"/>
              <w:spacing w:after="0" w:line="136" w:lineRule="exact"/>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7"/>
              </w:rPr>
              <w:t>Healthcare, Education and Childcare</w:t>
            </w:r>
          </w:p>
        </w:tc>
        <w:tc>
          <w:tcPr>
            <w:tcW w:w="8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38,179</w:t>
            </w:r>
          </w:p>
        </w:tc>
        <w:tc>
          <w:tcPr>
            <w:tcW w:w="94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382,654</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(Interactive Health Solutions, Inc.)</w:t>
            </w:r>
          </w:p>
        </w:tc>
        <w:tc>
          <w:tcPr>
            <w:tcW w:w="17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720" w:type="dxa"/>
            <w:vAlign w:val="bottom"/>
          </w:tcPr>
          <w:p>
            <w:pPr>
              <w:jc w:val="center"/>
              <w:ind w:left="1022"/>
              <w:spacing w:after="0" w:line="129" w:lineRule="exact"/>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8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8.00%</w:t>
            </w:r>
          </w:p>
        </w:tc>
        <w:tc>
          <w:tcPr>
            <w:tcW w:w="800" w:type="dxa"/>
            <w:vAlign w:val="bottom"/>
          </w:tcPr>
          <w:p>
            <w:pPr>
              <w:ind w:left="56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line="129" w:lineRule="exact"/>
              <w:rPr>
                <w:sz w:val="20"/>
                <w:szCs w:val="20"/>
                <w:color w:val="auto"/>
              </w:rPr>
            </w:pPr>
            <w:r>
              <w:rPr>
                <w:rFonts w:ascii="Arial" w:cs="Arial" w:eastAsia="Arial" w:hAnsi="Arial"/>
                <w:sz w:val="12"/>
                <w:szCs w:val="12"/>
                <w:color w:val="auto"/>
              </w:rPr>
              <w:t>2,375</w:t>
            </w:r>
          </w:p>
        </w:tc>
        <w:tc>
          <w:tcPr>
            <w:tcW w:w="78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2,375,000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2,584,106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ind w:left="140"/>
              <w:spacing w:after="0"/>
              <w:rPr>
                <w:sz w:val="20"/>
                <w:szCs w:val="20"/>
                <w:color w:val="auto"/>
              </w:rPr>
            </w:pPr>
            <w:r>
              <w:rPr>
                <w:rFonts w:ascii="Arial" w:cs="Arial" w:eastAsia="Arial" w:hAnsi="Arial"/>
                <w:sz w:val="12"/>
                <w:szCs w:val="12"/>
                <w:color w:val="auto"/>
              </w:rPr>
              <w:t>(Convergint Technologies LLC)</w:t>
            </w: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326,215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326,215</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HW Topco, Inc.</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90"/>
              </w:rPr>
              <w:t>Other Media</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3,591</w:t>
            </w:r>
          </w:p>
        </w:tc>
        <w:tc>
          <w:tcPr>
            <w:tcW w:w="940" w:type="dxa"/>
            <w:vAlign w:val="bottom"/>
            <w:gridSpan w:val="3"/>
          </w:tcPr>
          <w:p>
            <w:pPr>
              <w:jc w:val="right"/>
              <w:ind w:right="160"/>
              <w:spacing w:after="0"/>
              <w:rPr>
                <w:sz w:val="20"/>
                <w:szCs w:val="20"/>
                <w:color w:val="auto"/>
              </w:rPr>
            </w:pPr>
            <w:r>
              <w:rPr>
                <w:rFonts w:ascii="Arial" w:cs="Arial" w:eastAsia="Arial" w:hAnsi="Arial"/>
                <w:sz w:val="12"/>
                <w:szCs w:val="12"/>
                <w:color w:val="auto"/>
              </w:rPr>
              <w:t>24,177</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686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685,820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720" w:type="dxa"/>
            <w:vAlign w:val="bottom"/>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6.50%</w:t>
            </w:r>
          </w:p>
        </w:tc>
        <w:tc>
          <w:tcPr>
            <w:tcW w:w="800" w:type="dxa"/>
            <w:vAlign w:val="bottom"/>
          </w:tcPr>
          <w:p>
            <w:pPr>
              <w:ind w:left="5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2"/>
              <w:spacing w:after="0"/>
              <w:rPr>
                <w:sz w:val="20"/>
                <w:szCs w:val="20"/>
                <w:color w:val="auto"/>
              </w:rPr>
            </w:pPr>
            <w:r>
              <w:rPr>
                <w:rFonts w:ascii="Arial" w:cs="Arial" w:eastAsia="Arial" w:hAnsi="Arial"/>
                <w:sz w:val="12"/>
                <w:szCs w:val="12"/>
                <w:color w:val="auto"/>
              </w:rPr>
              <w:t>1,312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1,312,006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7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Personal Transportation</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8.00%</w:t>
            </w:r>
          </w:p>
        </w:tc>
        <w:tc>
          <w:tcPr>
            <w:tcW w:w="8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1,824,167</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9,463,292</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8,051,870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85"/>
              </w:rPr>
              <w:t>Basis Point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8"/>
              </w:rPr>
              <w:t>Spread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6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760" w:type="dxa"/>
            <w:vAlign w:val="bottom"/>
          </w:tcPr>
          <w:p>
            <w:pPr>
              <w:jc w:val="right"/>
              <w:ind w:right="222"/>
              <w:spacing w:after="0" w:line="135" w:lineRule="exact"/>
              <w:rPr>
                <w:sz w:val="20"/>
                <w:szCs w:val="20"/>
                <w:color w:val="auto"/>
              </w:rPr>
            </w:pPr>
            <w:r>
              <w:rPr>
                <w:rFonts w:ascii="Arial" w:cs="Arial" w:eastAsia="Arial" w:hAnsi="Arial"/>
                <w:sz w:val="12"/>
                <w:szCs w:val="12"/>
                <w:b w:val="1"/>
                <w:bCs w:val="1"/>
                <w:color w:val="auto"/>
              </w:rPr>
              <w:t>Par /</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1040" w:type="dxa"/>
            <w:vAlign w:val="bottom"/>
          </w:tcPr>
          <w:p>
            <w:pPr>
              <w:ind w:left="380"/>
              <w:spacing w:after="0"/>
              <w:rPr>
                <w:sz w:val="20"/>
                <w:szCs w:val="20"/>
                <w:color w:val="auto"/>
              </w:rPr>
            </w:pPr>
            <w:r>
              <w:rPr>
                <w:rFonts w:ascii="Arial" w:cs="Arial" w:eastAsia="Arial" w:hAnsi="Arial"/>
                <w:sz w:val="12"/>
                <w:szCs w:val="12"/>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900" w:type="dxa"/>
            <w:vAlign w:val="bottom"/>
          </w:tcPr>
          <w:p>
            <w:pPr>
              <w:jc w:val="center"/>
              <w:ind w:right="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760" w:type="dxa"/>
            <w:vAlign w:val="bottom"/>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Common Equity/Warrants/Partnership Interests—10.1% </w:t>
            </w:r>
            <w:r>
              <w:rPr>
                <w:rFonts w:ascii="Arial" w:cs="Arial" w:eastAsia="Arial" w:hAnsi="Arial"/>
                <w:sz w:val="9"/>
                <w:szCs w:val="9"/>
                <w:b w:val="1"/>
                <w:bCs w:val="1"/>
                <w:color w:val="auto"/>
              </w:rPr>
              <w:t>(6)</w:t>
            </w:r>
          </w:p>
        </w:tc>
        <w:tc>
          <w:tcPr>
            <w:tcW w:w="1040" w:type="dxa"/>
            <w:vAlign w:val="bottom"/>
            <w:tcBorders>
              <w:top w:val="single" w:sz="8" w:color="auto"/>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91"/>
              </w:rPr>
              <w:t>Electronics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1,998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   2,000,000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1,572,603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AH Holdings, Inc. (Warrants)</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w w:val="89"/>
              </w:rPr>
              <w:t>03/23/2021</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753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2,499,319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9"/>
              </w:rPr>
              <w:t>Financial Services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950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807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(Alegeus Technologies,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Broadcasting and Entertainment</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1,333,330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95"/>
              </w:rPr>
              <w:t>Distribution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1,505,000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1,505,000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2,308,777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23,416</w:t>
            </w:r>
          </w:p>
        </w:tc>
        <w:tc>
          <w:tcPr>
            <w:tcW w:w="106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234,693</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(Interactive Health Solutions,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11,708</w:t>
            </w:r>
          </w:p>
        </w:tc>
        <w:tc>
          <w:tcPr>
            <w:tcW w:w="106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117,346</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(Interactive Health Solutions, Inc.)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Convergint Technologies Holdings, LLC</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Electronics</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2,375</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(Convergint Technologies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CT Technologies Holdings, LLC</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5,556</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1,918,346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7,285,399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386,770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2,697,835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3,400,855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Kadmon Holdings, LLC, Class A</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1,079,920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1,236,832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Kadmon Holdings, LLC, Class D</w:t>
            </w:r>
          </w:p>
        </w:tc>
        <w:tc>
          <w:tcPr>
            <w:tcW w:w="1040" w:type="dxa"/>
            <w:vAlign w:val="bottom"/>
            <w:shd w:val="clear" w:color="auto" w:fill="CCEEFF"/>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1,079,920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rPr>
                <w:sz w:val="20"/>
                <w:szCs w:val="20"/>
                <w:color w:val="auto"/>
              </w:rPr>
            </w:pPr>
            <w:r>
              <w:rPr>
                <w:rFonts w:ascii="Arial" w:cs="Arial" w:eastAsia="Arial" w:hAnsi="Arial"/>
                <w:sz w:val="12"/>
                <w:szCs w:val="12"/>
                <w:color w:val="auto"/>
              </w:rPr>
              <w:t>Learning Care Group (US) Inc. (Warrants)</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w w:val="89"/>
              </w:rPr>
              <w:t>04/27/2020</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Education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6,649</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779,920</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4,300,696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1,221,932</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3,057,500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7,539,320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(Eureka Hunter Pipeline,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w w:val="89"/>
              </w:rPr>
              <w:t>10/14/2013</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7"/>
              </w:rPr>
              <w:t>Oil and Gas</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122,193</w:t>
            </w:r>
          </w:p>
        </w:tc>
        <w:tc>
          <w:tcPr>
            <w:tcW w:w="106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105,697</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(Warrants) (Eureka Hunter Pipeline,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Magnum Hunter Resources Corporation</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w w:val="89"/>
              </w:rPr>
              <w:t>04/16/2016</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Oil and Gas</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122,193</w:t>
            </w:r>
          </w:p>
        </w:tc>
        <w:tc>
          <w:tcPr>
            <w:tcW w:w="1060" w:type="dxa"/>
            <w:vAlign w:val="bottom"/>
            <w:gridSpan w:val="3"/>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182,499</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(Warrants) (Eureka Hunter Pipeline,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95"/>
              </w:rPr>
              <w:t>Distribution</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1,850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1,850,294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1,845,784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(JF Acquisition,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MidOcean PPL Holdings, Corp.</w:t>
            </w:r>
          </w:p>
        </w:tc>
        <w:tc>
          <w:tcPr>
            <w:tcW w:w="1040" w:type="dxa"/>
            <w:vAlign w:val="bottom"/>
            <w:shd w:val="clear" w:color="auto" w:fill="CCEEFF"/>
          </w:tcPr>
          <w:p>
            <w:pPr>
              <w:jc w:val="center"/>
              <w:ind w:left="158"/>
              <w:spacing w:after="0" w:line="128"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8" w:lineRule="exact"/>
              <w:rPr>
                <w:sz w:val="20"/>
                <w:szCs w:val="20"/>
                <w:color w:val="auto"/>
              </w:rPr>
            </w:pPr>
            <w:r>
              <w:rPr>
                <w:rFonts w:ascii="Arial" w:cs="Arial" w:eastAsia="Arial" w:hAnsi="Arial"/>
                <w:sz w:val="13"/>
                <w:szCs w:val="13"/>
                <w:color w:val="auto"/>
                <w:w w:val="87"/>
              </w:rPr>
              <w:t>Personal, Food and Miscellaneous</w:t>
            </w:r>
          </w:p>
        </w:tc>
        <w:tc>
          <w:tcPr>
            <w:tcW w:w="660" w:type="dxa"/>
            <w:vAlign w:val="bottom"/>
            <w:shd w:val="clear" w:color="auto" w:fill="CCEEFF"/>
          </w:tcPr>
          <w:p>
            <w:pPr>
              <w:jc w:val="right"/>
              <w:ind w:right="102"/>
              <w:spacing w:after="0" w:line="128"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8"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8" w:lineRule="exact"/>
              <w:rPr>
                <w:sz w:val="20"/>
                <w:szCs w:val="20"/>
                <w:color w:val="auto"/>
              </w:rPr>
            </w:pPr>
            <w:r>
              <w:rPr>
                <w:rFonts w:ascii="Arial" w:cs="Arial" w:eastAsia="Arial" w:hAnsi="Arial"/>
                <w:sz w:val="12"/>
                <w:szCs w:val="12"/>
                <w:color w:val="auto"/>
              </w:rPr>
              <w:t>3,000</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5,441,976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Legal Services, Inc.)</w:t>
            </w:r>
          </w:p>
        </w:tc>
        <w:tc>
          <w:tcPr>
            <w:tcW w:w="104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Services</w:t>
            </w: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Paradigm Acquisition Corp.</w:t>
            </w:r>
          </w:p>
        </w:tc>
        <w:tc>
          <w:tcPr>
            <w:tcW w:w="1040" w:type="dxa"/>
            <w:vAlign w:val="bottom"/>
          </w:tcPr>
          <w:p>
            <w:pPr>
              <w:jc w:val="center"/>
              <w:ind w:left="158"/>
              <w:spacing w:after="0"/>
              <w:rPr>
                <w:sz w:val="20"/>
                <w:szCs w:val="20"/>
                <w:color w:val="auto"/>
              </w:rPr>
            </w:pPr>
            <w:r>
              <w:rPr>
                <w:rFonts w:ascii="Arial" w:cs="Arial" w:eastAsia="Arial" w:hAnsi="Arial"/>
                <w:sz w:val="13"/>
                <w:szCs w:val="13"/>
                <w:color w:val="auto"/>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Healthcare, Education and Childcare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20,000</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3,720,481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A</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4,325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1,306,167</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2,073,419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(Questex Media Group,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1040" w:type="dxa"/>
            <w:vAlign w:val="bottom"/>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tcPr>
          <w:p>
            <w:pPr>
              <w:jc w:val="center"/>
              <w:spacing w:after="0" w:line="129" w:lineRule="exact"/>
              <w:rPr>
                <w:sz w:val="20"/>
                <w:szCs w:val="20"/>
                <w:color w:val="auto"/>
              </w:rPr>
            </w:pPr>
            <w:r>
              <w:rPr>
                <w:rFonts w:ascii="Arial" w:cs="Arial" w:eastAsia="Arial" w:hAnsi="Arial"/>
                <w:sz w:val="13"/>
                <w:szCs w:val="13"/>
                <w:color w:val="auto"/>
                <w:w w:val="89"/>
              </w:rPr>
              <w:t>Other Media</w:t>
            </w:r>
          </w:p>
        </w:tc>
        <w:tc>
          <w:tcPr>
            <w:tcW w:w="66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line="129" w:lineRule="exact"/>
              <w:rPr>
                <w:sz w:val="20"/>
                <w:szCs w:val="20"/>
                <w:color w:val="auto"/>
              </w:rPr>
            </w:pPr>
            <w:r>
              <w:rPr>
                <w:rFonts w:ascii="Arial" w:cs="Arial" w:eastAsia="Arial" w:hAnsi="Arial"/>
                <w:sz w:val="12"/>
                <w:szCs w:val="12"/>
                <w:color w:val="auto"/>
              </w:rPr>
              <w:t>531</w:t>
            </w:r>
          </w:p>
        </w:tc>
        <w:tc>
          <w:tcPr>
            <w:tcW w:w="160" w:type="dxa"/>
            <w:vAlign w:val="bottom"/>
          </w:tcPr>
          <w:p>
            <w:pPr>
              <w:spacing w:after="0"/>
              <w:rPr>
                <w:sz w:val="11"/>
                <w:szCs w:val="11"/>
                <w:color w:val="auto"/>
              </w:rPr>
            </w:pP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(Questex Media Group, LLC)</w:t>
            </w:r>
          </w:p>
        </w:tc>
        <w:tc>
          <w:tcPr>
            <w:tcW w:w="1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SPG Boyd Holdings Corp.</w:t>
            </w:r>
          </w:p>
        </w:tc>
        <w:tc>
          <w:tcPr>
            <w:tcW w:w="1040" w:type="dxa"/>
            <w:vAlign w:val="bottom"/>
            <w:shd w:val="clear" w:color="auto" w:fill="CCEEFF"/>
          </w:tcPr>
          <w:p>
            <w:pPr>
              <w:jc w:val="center"/>
              <w:ind w:left="158"/>
              <w:spacing w:after="0" w:line="136"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Chemical, Plastic and Rubber</w:t>
            </w:r>
          </w:p>
        </w:tc>
        <w:tc>
          <w:tcPr>
            <w:tcW w:w="660" w:type="dxa"/>
            <w:vAlign w:val="bottom"/>
            <w:shd w:val="clear" w:color="auto" w:fill="CCEEFF"/>
          </w:tcPr>
          <w:p>
            <w:pPr>
              <w:jc w:val="right"/>
              <w:ind w:right="102"/>
              <w:spacing w:after="0" w:line="136"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36"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36" w:lineRule="exact"/>
              <w:rPr>
                <w:sz w:val="20"/>
                <w:szCs w:val="20"/>
                <w:color w:val="auto"/>
              </w:rPr>
            </w:pPr>
            <w:r>
              <w:rPr>
                <w:rFonts w:ascii="Arial" w:cs="Arial" w:eastAsia="Arial" w:hAnsi="Arial"/>
                <w:sz w:val="12"/>
                <w:szCs w:val="12"/>
                <w:color w:val="auto"/>
              </w:rPr>
              <w:t>300,000</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5,571,120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(LTI Flexible Products,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1040" w:type="dxa"/>
            <w:vAlign w:val="bottom"/>
          </w:tcPr>
          <w:p>
            <w:pPr>
              <w:ind w:left="380"/>
              <w:spacing w:after="0"/>
              <w:rPr>
                <w:sz w:val="20"/>
                <w:szCs w:val="20"/>
                <w:color w:val="auto"/>
              </w:rPr>
            </w:pPr>
            <w:r>
              <w:rPr>
                <w:rFonts w:ascii="Arial" w:cs="Arial" w:eastAsia="Arial" w:hAnsi="Arial"/>
                <w:sz w:val="12"/>
                <w:szCs w:val="12"/>
                <w:color w:val="auto"/>
              </w:rPr>
              <w:t>12/29/2019</w:t>
            </w:r>
          </w:p>
        </w:tc>
        <w:tc>
          <w:tcPr>
            <w:tcW w:w="2080" w:type="dxa"/>
            <w:vAlign w:val="bottom"/>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3,500</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29,400</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Cargo Transport</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137,923</w:t>
            </w:r>
          </w:p>
        </w:tc>
        <w:tc>
          <w:tcPr>
            <w:tcW w:w="106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2,111,588</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(Intermediate Transportation 100, L.L.C.)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TZ Holdings, L.P.</w:t>
            </w:r>
          </w:p>
        </w:tc>
        <w:tc>
          <w:tcPr>
            <w:tcW w:w="1040" w:type="dxa"/>
            <w:vAlign w:val="bottom"/>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7"/>
              </w:rPr>
              <w:t>Insurance</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9,567</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40" w:type="dxa"/>
            <w:vAlign w:val="bottom"/>
            <w:shd w:val="clear" w:color="auto" w:fill="CCEEFF"/>
          </w:tcPr>
          <w:p>
            <w:pPr>
              <w:jc w:val="center"/>
              <w:ind w:left="158"/>
              <w:spacing w:after="0" w:line="129" w:lineRule="exact"/>
              <w:rPr>
                <w:sz w:val="20"/>
                <w:szCs w:val="20"/>
                <w:color w:val="auto"/>
              </w:rPr>
            </w:pPr>
            <w:r>
              <w:rPr>
                <w:rFonts w:ascii="Arial" w:cs="Arial" w:eastAsia="Arial" w:hAnsi="Arial"/>
                <w:sz w:val="13"/>
                <w:szCs w:val="13"/>
                <w:color w:val="auto"/>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Printing and Publishing</w:t>
            </w:r>
          </w:p>
        </w:tc>
        <w:tc>
          <w:tcPr>
            <w:tcW w:w="66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line="129"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rPr>
              <w:t>211,797</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2,325,555</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2,626,512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(Vestcom International, Inc.)</w:t>
            </w:r>
          </w:p>
        </w:tc>
        <w:tc>
          <w:tcPr>
            <w:tcW w:w="10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VRide Holdings Inc.</w:t>
            </w:r>
          </w:p>
        </w:tc>
        <w:tc>
          <w:tcPr>
            <w:tcW w:w="1040" w:type="dxa"/>
            <w:vAlign w:val="bottom"/>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rPr>
                <w:sz w:val="20"/>
                <w:szCs w:val="20"/>
                <w:color w:val="auto"/>
              </w:rPr>
            </w:pPr>
            <w:r>
              <w:rPr>
                <w:rFonts w:ascii="Arial" w:cs="Arial" w:eastAsia="Arial" w:hAnsi="Arial"/>
                <w:sz w:val="13"/>
                <w:szCs w:val="13"/>
                <w:color w:val="auto"/>
                <w:w w:val="86"/>
              </w:rPr>
              <w:t>Personal Transportation</w:t>
            </w:r>
          </w:p>
        </w:tc>
        <w:tc>
          <w:tcPr>
            <w:tcW w:w="66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tcPr>
          <w:p>
            <w:pPr>
              <w:ind w:left="64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9,166</w:t>
            </w:r>
          </w:p>
        </w:tc>
        <w:tc>
          <w:tcPr>
            <w:tcW w:w="1060" w:type="dxa"/>
            <w:vAlign w:val="bottom"/>
            <w:gridSpan w:val="3"/>
          </w:tcPr>
          <w:p>
            <w:pPr>
              <w:jc w:val="right"/>
              <w:ind w:right="240"/>
              <w:spacing w:after="0"/>
              <w:rPr>
                <w:sz w:val="20"/>
                <w:szCs w:val="20"/>
                <w:color w:val="auto"/>
              </w:rPr>
            </w:pPr>
            <w:r>
              <w:rPr>
                <w:rFonts w:ascii="Arial" w:cs="Arial" w:eastAsia="Arial" w:hAnsi="Arial"/>
                <w:sz w:val="12"/>
                <w:szCs w:val="12"/>
                <w:color w:val="auto"/>
              </w:rPr>
              <w:t>9,166</w:t>
            </w:r>
          </w:p>
        </w:tc>
        <w:tc>
          <w:tcPr>
            <w:tcW w:w="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1040" w:type="dxa"/>
            <w:vAlign w:val="bottom"/>
            <w:shd w:val="clear" w:color="auto" w:fill="CCEEFF"/>
          </w:tcPr>
          <w:p>
            <w:pPr>
              <w:jc w:val="center"/>
              <w:ind w:left="138"/>
              <w:spacing w:after="0"/>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Business Services</w:t>
            </w: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35,526</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5,966,074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Equity/Warrants/Partnership Interests</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37,557,162</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70,472,831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10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928,078,589</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968,471,042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jc w:val="center"/>
              <w:ind w:right="2"/>
              <w:spacing w:after="0"/>
              <w:rPr>
                <w:sz w:val="20"/>
                <w:szCs w:val="20"/>
                <w:color w:val="auto"/>
              </w:rPr>
            </w:pPr>
            <w:r>
              <w:rPr>
                <w:rFonts w:ascii="Arial" w:cs="Arial" w:eastAsia="Arial" w:hAnsi="Arial"/>
                <w:sz w:val="12"/>
                <w:szCs w:val="12"/>
                <w:b w:val="1"/>
                <w:bCs w:val="1"/>
                <w:color w:val="auto"/>
                <w:w w:val="85"/>
              </w:rPr>
              <w:t>Basis Point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8"/>
              </w:rPr>
              <w:t>Spread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Current</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960" w:type="dxa"/>
            <w:vAlign w:val="bottom"/>
          </w:tcPr>
          <w:p>
            <w:pPr>
              <w:ind w:left="420"/>
              <w:spacing w:after="0"/>
              <w:rPr>
                <w:sz w:val="20"/>
                <w:szCs w:val="20"/>
                <w:color w:val="auto"/>
              </w:rPr>
            </w:pPr>
            <w:r>
              <w:rPr>
                <w:rFonts w:ascii="Arial" w:cs="Arial" w:eastAsia="Arial" w:hAnsi="Arial"/>
                <w:sz w:val="12"/>
                <w:szCs w:val="12"/>
                <w:b w:val="1"/>
                <w:bCs w:val="1"/>
                <w:color w:val="auto"/>
              </w:rPr>
              <w:t>Maturity</w:t>
            </w:r>
          </w:p>
        </w:tc>
        <w:tc>
          <w:tcPr>
            <w:tcW w:w="17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tcPr>
          <w:p>
            <w:pPr>
              <w:jc w:val="right"/>
              <w:ind w:right="322"/>
              <w:spacing w:after="0"/>
              <w:rPr>
                <w:sz w:val="20"/>
                <w:szCs w:val="20"/>
                <w:color w:val="auto"/>
              </w:rPr>
            </w:pPr>
            <w:r>
              <w:rPr>
                <w:rFonts w:ascii="Arial" w:cs="Arial" w:eastAsia="Arial" w:hAnsi="Arial"/>
                <w:sz w:val="12"/>
                <w:szCs w:val="12"/>
                <w:b w:val="1"/>
                <w:bCs w:val="1"/>
                <w:color w:val="auto"/>
              </w:rPr>
              <w:t>Coupon</w:t>
            </w:r>
          </w:p>
        </w:tc>
        <w:tc>
          <w:tcPr>
            <w:tcW w:w="820" w:type="dxa"/>
            <w:vAlign w:val="bottom"/>
          </w:tcPr>
          <w:p>
            <w:pPr>
              <w:jc w:val="center"/>
              <w:ind w:right="2"/>
              <w:spacing w:after="0"/>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9"/>
                <w:szCs w:val="9"/>
                <w:b w:val="1"/>
                <w:bCs w:val="1"/>
                <w:color w:val="auto"/>
                <w:w w:val="97"/>
              </w:rPr>
              <w:t>(4)</w:t>
            </w:r>
          </w:p>
        </w:tc>
        <w:tc>
          <w:tcPr>
            <w:tcW w:w="840" w:type="dxa"/>
            <w:vAlign w:val="bottom"/>
          </w:tcPr>
          <w:p>
            <w:pPr>
              <w:jc w:val="right"/>
              <w:ind w:right="262"/>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2"/>
                <w:szCs w:val="12"/>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8"/>
              </w:rPr>
              <w:t xml:space="preserve">Investments in Non-Controlled, Affiliated Portfolio Companies—11.0% </w:t>
            </w:r>
            <w:r>
              <w:rPr>
                <w:rFonts w:ascii="Arial" w:cs="Arial" w:eastAsia="Arial" w:hAnsi="Arial"/>
                <w:sz w:val="9"/>
                <w:szCs w:val="9"/>
                <w:b w:val="1"/>
                <w:bCs w:val="1"/>
                <w:color w:val="auto"/>
                <w:w w:val="98"/>
              </w:rPr>
              <w:t>(1), (2)</w:t>
            </w:r>
          </w:p>
        </w:tc>
        <w:tc>
          <w:tcPr>
            <w:tcW w:w="960" w:type="dxa"/>
            <w:vAlign w:val="bottom"/>
            <w:tcBorders>
              <w:top w:val="single" w:sz="8" w:color="auto"/>
            </w:tcBorders>
            <w:shd w:val="clear" w:color="auto" w:fill="CCEEFF"/>
          </w:tcPr>
          <w:p>
            <w:pPr>
              <w:spacing w:after="0"/>
              <w:rPr>
                <w:sz w:val="11"/>
                <w:szCs w:val="11"/>
                <w:color w:val="auto"/>
              </w:rPr>
            </w:pPr>
          </w:p>
        </w:tc>
        <w:tc>
          <w:tcPr>
            <w:tcW w:w="17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82"/>
              <w:spacing w:after="0" w:line="129" w:lineRule="exact"/>
              <w:rPr>
                <w:sz w:val="20"/>
                <w:szCs w:val="20"/>
                <w:color w:val="auto"/>
              </w:rPr>
            </w:pPr>
            <w:r>
              <w:rPr>
                <w:rFonts w:ascii="Arial" w:cs="Arial" w:eastAsia="Arial" w:hAnsi="Arial"/>
                <w:sz w:val="12"/>
                <w:szCs w:val="12"/>
                <w:color w:val="auto"/>
                <w:w w:val="89"/>
              </w:rPr>
              <w:t>11/05/2019</w:t>
            </w:r>
          </w:p>
        </w:tc>
        <w:tc>
          <w:tcPr>
            <w:tcW w:w="17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88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12.00%</w:t>
            </w:r>
          </w:p>
        </w:tc>
        <w:tc>
          <w:tcPr>
            <w:tcW w:w="820" w:type="dxa"/>
            <w:vAlign w:val="bottom"/>
            <w:shd w:val="clear" w:color="auto" w:fill="CCEEFF"/>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w w:val="99"/>
              </w:rPr>
              <w:t>11,428,224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11,428,224</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8"/>
              </w:rPr>
              <w:t>(PIK 12.00%)</w:t>
            </w: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Service Champ, Inc.</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10/02/2017</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Auto Sector</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w w:val="99"/>
              </w:rPr>
              <w:t>28,000,000</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27,474,713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28,248,043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38,902,937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39,676,267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 – 0.2%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PAS International Holdings, Inc.</w:t>
            </w:r>
          </w:p>
        </w:tc>
        <w:tc>
          <w:tcPr>
            <w:tcW w:w="960" w:type="dxa"/>
            <w:vAlign w:val="bottom"/>
            <w:shd w:val="clear" w:color="auto" w:fill="CCEEFF"/>
          </w:tcPr>
          <w:p>
            <w:pPr>
              <w:jc w:val="center"/>
              <w:ind w:left="282"/>
              <w:spacing w:after="0" w:line="136" w:lineRule="exact"/>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4"/>
              </w:rPr>
              <w:t>Aerospace and</w:t>
            </w:r>
          </w:p>
        </w:tc>
        <w:tc>
          <w:tcPr>
            <w:tcW w:w="880" w:type="dxa"/>
            <w:vAlign w:val="bottom"/>
            <w:shd w:val="clear" w:color="auto" w:fill="CCEEFF"/>
          </w:tcPr>
          <w:p>
            <w:pPr>
              <w:jc w:val="right"/>
              <w:ind w:right="242"/>
              <w:spacing w:after="0" w:line="136"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rPr>
              <w:t>53,071</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20,059,340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1,694,296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Defense</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104,719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21,492,822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5,556,207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11/05/2022</w:t>
            </w:r>
          </w:p>
        </w:tc>
        <w:tc>
          <w:tcPr>
            <w:tcW w:w="1780" w:type="dxa"/>
            <w:vAlign w:val="bottom"/>
          </w:tcPr>
          <w:p>
            <w:pPr>
              <w:jc w:val="center"/>
              <w:spacing w:after="0"/>
              <w:rPr>
                <w:sz w:val="20"/>
                <w:szCs w:val="20"/>
                <w:color w:val="auto"/>
              </w:rPr>
            </w:pPr>
            <w:r>
              <w:rPr>
                <w:rFonts w:ascii="Arial" w:cs="Arial" w:eastAsia="Arial" w:hAnsi="Arial"/>
                <w:sz w:val="12"/>
                <w:szCs w:val="12"/>
                <w:color w:val="auto"/>
                <w:w w:val="86"/>
              </w:rPr>
              <w:t>Consumer Products</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15,486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Environmental Services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142,684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11,891,822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21,265,345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960" w:type="dxa"/>
            <w:vAlign w:val="bottom"/>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line="129" w:lineRule="exact"/>
              <w:rPr>
                <w:sz w:val="20"/>
                <w:szCs w:val="20"/>
                <w:color w:val="auto"/>
              </w:rPr>
            </w:pPr>
            <w:r>
              <w:rPr>
                <w:rFonts w:ascii="Arial" w:cs="Arial" w:eastAsia="Arial" w:hAnsi="Arial"/>
                <w:sz w:val="12"/>
                <w:szCs w:val="12"/>
                <w:color w:val="auto"/>
                <w:w w:val="88"/>
              </w:rPr>
              <w:t>Leisure, Amusement,</w:t>
            </w:r>
          </w:p>
        </w:tc>
        <w:tc>
          <w:tcPr>
            <w:tcW w:w="88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375,000</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3,750,000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2,500,165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Motion Pictures and Entertainment</w:t>
            </w: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New Service Champ Holdings, Inc.</w:t>
            </w:r>
          </w:p>
        </w:tc>
        <w:tc>
          <w:tcPr>
            <w:tcW w:w="960" w:type="dxa"/>
            <w:vAlign w:val="bottom"/>
            <w:shd w:val="clear" w:color="auto" w:fill="CCEEFF"/>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Auto Sector</w:t>
            </w:r>
          </w:p>
        </w:tc>
        <w:tc>
          <w:tcPr>
            <w:tcW w:w="88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29" w:lineRule="exact"/>
              <w:rPr>
                <w:sz w:val="20"/>
                <w:szCs w:val="20"/>
                <w:color w:val="auto"/>
              </w:rPr>
            </w:pPr>
            <w:r>
              <w:rPr>
                <w:rFonts w:ascii="Arial" w:cs="Arial" w:eastAsia="Arial" w:hAnsi="Arial"/>
                <w:sz w:val="12"/>
                <w:szCs w:val="12"/>
                <w:color w:val="auto"/>
              </w:rPr>
              <w:t>16,800</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2,721,600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5,222,015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(Service Champ, Inc.)</w:t>
            </w: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rPr>
                <w:sz w:val="20"/>
                <w:szCs w:val="20"/>
                <w:color w:val="auto"/>
              </w:rPr>
            </w:pPr>
            <w:r>
              <w:rPr>
                <w:rFonts w:ascii="Arial" w:cs="Arial" w:eastAsia="Arial" w:hAnsi="Arial"/>
                <w:sz w:val="12"/>
                <w:szCs w:val="12"/>
                <w:color w:val="auto"/>
                <w:w w:val="86"/>
              </w:rPr>
              <w:t>Aerospace and Defense</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53,071</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202,620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35,365,237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99,021,141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76,735,800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Companies—4.7% </w:t>
            </w:r>
            <w:r>
              <w:rPr>
                <w:rFonts w:ascii="Arial" w:cs="Arial" w:eastAsia="Arial" w:hAnsi="Arial"/>
                <w:sz w:val="9"/>
                <w:szCs w:val="9"/>
                <w:b w:val="1"/>
                <w:bCs w:val="1"/>
                <w:color w:val="auto"/>
              </w:rPr>
              <w:t>(1), (2)</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9"/>
              </w:rPr>
              <w:t>06/30/2020</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9,250,000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9,556,385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960" w:type="dxa"/>
            <w:vAlign w:val="bottom"/>
          </w:tcPr>
          <w:p>
            <w:pPr>
              <w:jc w:val="center"/>
              <w:ind w:left="282"/>
              <w:spacing w:after="0"/>
              <w:rPr>
                <w:sz w:val="20"/>
                <w:szCs w:val="20"/>
                <w:color w:val="auto"/>
              </w:rPr>
            </w:pPr>
            <w:r>
              <w:rPr>
                <w:rFonts w:ascii="Arial" w:cs="Arial" w:eastAsia="Arial" w:hAnsi="Arial"/>
                <w:sz w:val="12"/>
                <w:szCs w:val="12"/>
                <w:color w:val="auto"/>
                <w:w w:val="89"/>
              </w:rPr>
              <w:t>12/31/2015</w:t>
            </w:r>
          </w:p>
        </w:tc>
        <w:tc>
          <w:tcPr>
            <w:tcW w:w="1780" w:type="dxa"/>
            <w:vAlign w:val="bottom"/>
          </w:tcPr>
          <w:p>
            <w:pPr>
              <w:jc w:val="center"/>
              <w:spacing w:after="0"/>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tcPr>
          <w:p>
            <w:pPr>
              <w:ind w:left="6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rPr>
                <w:sz w:val="20"/>
                <w:szCs w:val="20"/>
                <w:color w:val="auto"/>
              </w:rPr>
            </w:pPr>
            <w:r>
              <w:rPr>
                <w:rFonts w:ascii="Arial" w:cs="Arial" w:eastAsia="Arial" w:hAnsi="Arial"/>
                <w:sz w:val="12"/>
                <w:szCs w:val="12"/>
                <w:color w:val="auto"/>
              </w:rPr>
              <w:t>1,916,667</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1,787,941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1,916,667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11,037,941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Debt—2.4%</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Universal Pegasus International, LLC</w:t>
            </w:r>
          </w:p>
        </w:tc>
        <w:tc>
          <w:tcPr>
            <w:tcW w:w="960" w:type="dxa"/>
            <w:vAlign w:val="bottom"/>
            <w:shd w:val="clear" w:color="auto" w:fill="CCEEFF"/>
          </w:tcPr>
          <w:p>
            <w:pPr>
              <w:jc w:val="center"/>
              <w:ind w:left="282"/>
              <w:spacing w:after="0" w:line="136" w:lineRule="exact"/>
              <w:rPr>
                <w:sz w:val="20"/>
                <w:szCs w:val="20"/>
                <w:color w:val="auto"/>
              </w:rPr>
            </w:pPr>
            <w:r>
              <w:rPr>
                <w:rFonts w:ascii="Arial" w:cs="Arial" w:eastAsia="Arial" w:hAnsi="Arial"/>
                <w:sz w:val="12"/>
                <w:szCs w:val="12"/>
                <w:color w:val="auto"/>
                <w:w w:val="89"/>
              </w:rPr>
              <w:t>12/31/2015</w:t>
            </w:r>
          </w:p>
        </w:tc>
        <w:tc>
          <w:tcPr>
            <w:tcW w:w="178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88"/>
              </w:rPr>
              <w:t>Oil and Gas</w:t>
            </w:r>
          </w:p>
        </w:tc>
        <w:tc>
          <w:tcPr>
            <w:tcW w:w="880" w:type="dxa"/>
            <w:vAlign w:val="bottom"/>
            <w:shd w:val="clear" w:color="auto" w:fill="CCEEFF"/>
          </w:tcPr>
          <w:p>
            <w:pPr>
              <w:jc w:val="right"/>
              <w:ind w:right="142"/>
              <w:spacing w:after="0" w:line="136" w:lineRule="exact"/>
              <w:rPr>
                <w:sz w:val="20"/>
                <w:szCs w:val="20"/>
                <w:color w:val="auto"/>
              </w:rPr>
            </w:pPr>
            <w:r>
              <w:rPr>
                <w:rFonts w:ascii="Arial" w:cs="Arial" w:eastAsia="Arial" w:hAnsi="Arial"/>
                <w:sz w:val="12"/>
                <w:szCs w:val="12"/>
                <w:color w:val="auto"/>
              </w:rPr>
              <w:t>15.00%</w:t>
            </w:r>
          </w:p>
        </w:tc>
        <w:tc>
          <w:tcPr>
            <w:tcW w:w="820" w:type="dxa"/>
            <w:vAlign w:val="bottom"/>
            <w:shd w:val="clear" w:color="auto" w:fill="CCEEFF"/>
          </w:tcPr>
          <w:p>
            <w:pPr>
              <w:ind w:left="600"/>
              <w:spacing w:after="0" w:line="136"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line="136" w:lineRule="exact"/>
              <w:rPr>
                <w:sz w:val="20"/>
                <w:szCs w:val="20"/>
                <w:color w:val="auto"/>
              </w:rPr>
            </w:pPr>
            <w:r>
              <w:rPr>
                <w:rFonts w:ascii="Arial" w:cs="Arial" w:eastAsia="Arial" w:hAnsi="Arial"/>
                <w:sz w:val="12"/>
                <w:szCs w:val="12"/>
                <w:color w:val="auto"/>
                <w:w w:val="99"/>
              </w:rPr>
              <w:t>16,615,645</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14,709,502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16,449,489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8"/>
              </w:rPr>
              <w:t>(PIK 15.00%)</w:t>
            </w: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9"/>
              </w:rPr>
              <w:t>06/30/2020</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2,250,000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1,961,667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14.00%</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2,000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1,981,948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960" w:type="dxa"/>
            <w:vAlign w:val="bottom"/>
          </w:tcPr>
          <w:p>
            <w:pPr>
              <w:jc w:val="center"/>
              <w:ind w:left="282"/>
              <w:spacing w:after="0" w:line="129" w:lineRule="exact"/>
              <w:rPr>
                <w:sz w:val="20"/>
                <w:szCs w:val="20"/>
                <w:color w:val="auto"/>
              </w:rPr>
            </w:pPr>
            <w:r>
              <w:rPr>
                <w:rFonts w:ascii="Arial" w:cs="Arial" w:eastAsia="Arial" w:hAnsi="Arial"/>
                <w:sz w:val="12"/>
                <w:szCs w:val="12"/>
                <w:color w:val="auto"/>
                <w:w w:val="82"/>
              </w:rPr>
              <w:t>—</w:t>
            </w:r>
          </w:p>
        </w:tc>
        <w:tc>
          <w:tcPr>
            <w:tcW w:w="1780" w:type="dxa"/>
            <w:vAlign w:val="bottom"/>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88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8.00%</w:t>
            </w:r>
          </w:p>
        </w:tc>
        <w:tc>
          <w:tcPr>
            <w:tcW w:w="820" w:type="dxa"/>
            <w:vAlign w:val="bottom"/>
          </w:tcPr>
          <w:p>
            <w:pPr>
              <w:ind w:left="60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62"/>
              <w:spacing w:after="0" w:line="129" w:lineRule="exact"/>
              <w:rPr>
                <w:sz w:val="20"/>
                <w:szCs w:val="20"/>
                <w:color w:val="auto"/>
              </w:rPr>
            </w:pPr>
            <w:r>
              <w:rPr>
                <w:rFonts w:ascii="Arial" w:cs="Arial" w:eastAsia="Arial" w:hAnsi="Arial"/>
                <w:sz w:val="12"/>
                <w:szCs w:val="12"/>
                <w:color w:val="auto"/>
              </w:rPr>
              <w:t>376,988</w:t>
            </w: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34,420,612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1,102,555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ind w:left="100"/>
              <w:spacing w:after="0"/>
              <w:rPr>
                <w:sz w:val="20"/>
                <w:szCs w:val="20"/>
                <w:color w:val="auto"/>
              </w:rPr>
            </w:pPr>
            <w:r>
              <w:rPr>
                <w:rFonts w:ascii="Arial" w:cs="Arial" w:eastAsia="Arial" w:hAnsi="Arial"/>
                <w:sz w:val="12"/>
                <w:szCs w:val="12"/>
                <w:color w:val="auto"/>
              </w:rPr>
              <w:t>(Universal Pegasus International, LLC)</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36,420,612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3,084,503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60" w:type="dxa"/>
            <w:vAlign w:val="bottom"/>
            <w:shd w:val="clear" w:color="auto" w:fill="CCEEFF"/>
          </w:tcPr>
          <w:p>
            <w:pPr>
              <w:jc w:val="center"/>
              <w:ind w:left="282"/>
              <w:spacing w:after="0"/>
              <w:rPr>
                <w:sz w:val="20"/>
                <w:szCs w:val="20"/>
                <w:color w:val="auto"/>
              </w:rPr>
            </w:pPr>
            <w:r>
              <w:rPr>
                <w:rFonts w:ascii="Arial" w:cs="Arial" w:eastAsia="Arial" w:hAnsi="Arial"/>
                <w:sz w:val="12"/>
                <w:szCs w:val="12"/>
                <w:color w:val="auto"/>
                <w:w w:val="82"/>
              </w:rPr>
              <w:t>—</w:t>
            </w:r>
          </w:p>
        </w:tc>
        <w:tc>
          <w:tcPr>
            <w:tcW w:w="1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Business Services</w:t>
            </w:r>
          </w:p>
        </w:tc>
        <w:tc>
          <w:tcPr>
            <w:tcW w:w="8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100</w:t>
            </w: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64,418,155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32,968,711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8"/>
              </w:rPr>
              <w:t>1,091,517,885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8"/>
              </w:rPr>
              <w:t>1,078,175,553</w:t>
            </w:r>
          </w:p>
        </w:tc>
        <w:tc>
          <w:tcPr>
            <w:tcW w:w="0" w:type="dxa"/>
            <w:vAlign w:val="bottom"/>
          </w:tcPr>
          <w:p>
            <w:pPr>
              <w:spacing w:after="0"/>
              <w:rPr>
                <w:sz w:val="1"/>
                <w:szCs w:val="1"/>
                <w:color w:val="auto"/>
              </w:rPr>
            </w:pPr>
          </w:p>
        </w:tc>
      </w:tr>
      <w:tr>
        <w:trPr>
          <w:trHeight w:val="149"/>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Cash and Cash Equivalents—8.4%</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96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2,667,511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20"/>
                <w:szCs w:val="20"/>
                <w:color w:val="auto"/>
              </w:rPr>
            </w:pPr>
            <w:r>
              <w:rPr>
                <w:rFonts w:ascii="Arial" w:cs="Arial" w:eastAsia="Arial" w:hAnsi="Arial"/>
                <w:sz w:val="12"/>
                <w:szCs w:val="12"/>
                <w:color w:val="auto"/>
              </w:rPr>
              <w:t>BlackRock Liquidity Funds, Temp Cash, Institutional Shares</w:t>
            </w: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2,446,232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2,446,232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60" w:type="dxa"/>
            <w:vAlign w:val="bottom"/>
            <w:gridSpan w:val="2"/>
          </w:tcPr>
          <w:p>
            <w:pPr>
              <w:spacing w:after="0"/>
              <w:rPr>
                <w:sz w:val="20"/>
                <w:szCs w:val="20"/>
                <w:color w:val="auto"/>
              </w:rPr>
            </w:pPr>
            <w:r>
              <w:rPr>
                <w:rFonts w:ascii="Arial" w:cs="Arial" w:eastAsia="Arial" w:hAnsi="Arial"/>
                <w:sz w:val="12"/>
                <w:szCs w:val="12"/>
                <w:b w:val="1"/>
                <w:bCs w:val="1"/>
                <w:color w:val="auto"/>
              </w:rPr>
              <w:t>Total Cash Equivalents</w:t>
            </w:r>
          </w:p>
        </w:tc>
        <w:tc>
          <w:tcPr>
            <w:tcW w:w="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58,440,829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Equivalents—163.0%</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1,149,958,714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8"/>
              </w:rPr>
              <w:t>1,136,616,382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w w:val="90"/>
              </w:rPr>
              <w:t>(439,110,183)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9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697,506,199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6" w:lineRule="exact"/>
        <w:rPr>
          <w:sz w:val="20"/>
          <w:szCs w:val="20"/>
          <w:color w:val="auto"/>
        </w:rPr>
      </w:pPr>
    </w:p>
    <w:p>
      <w:pPr>
        <w:ind w:left="340" w:hanging="332"/>
        <w:spacing w:after="0" w:line="243"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ind w:left="340" w:hanging="332"/>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ind w:left="340" w:hanging="332"/>
        <w:spacing w:after="0" w:line="234" w:lineRule="auto"/>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ind w:left="340" w:hanging="332"/>
        <w:spacing w:after="0"/>
        <w:tabs>
          <w:tab w:leader="none" w:pos="3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20" w:firstLine="685"/>
        <w:spacing w:after="0" w:line="256" w:lineRule="auto"/>
        <w:rPr>
          <w:sz w:val="20"/>
          <w:szCs w:val="20"/>
          <w:color w:val="auto"/>
        </w:rPr>
      </w:pPr>
      <w:r>
        <w:rPr>
          <w:rFonts w:ascii="Arial" w:cs="Arial" w:eastAsia="Arial" w:hAnsi="Arial"/>
          <w:sz w:val="13"/>
          <w:szCs w:val="13"/>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05"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We have entered into an Investment Management Agreement with the Investment Adviser, an external adviser that manages our day-to-day operations. We have also entered into an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to SPH, under separate administration agreements. See Note 3.</w:t>
      </w:r>
    </w:p>
    <w:p>
      <w:pPr>
        <w:spacing w:after="0" w:line="101" w:lineRule="exact"/>
        <w:rPr>
          <w:sz w:val="20"/>
          <w:szCs w:val="20"/>
          <w:color w:val="auto"/>
        </w:rPr>
      </w:pPr>
    </w:p>
    <w:p>
      <w:pPr>
        <w:ind w:right="40" w:firstLine="685"/>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15" w:lineRule="exact"/>
        <w:rPr>
          <w:sz w:val="20"/>
          <w:szCs w:val="20"/>
          <w:color w:val="auto"/>
        </w:rPr>
      </w:pPr>
    </w:p>
    <w:p>
      <w:pPr>
        <w:ind w:right="80" w:firstLine="685"/>
        <w:spacing w:after="0" w:line="291"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83" w:lineRule="exact"/>
        <w:rPr>
          <w:sz w:val="20"/>
          <w:szCs w:val="20"/>
          <w:color w:val="auto"/>
        </w:rPr>
      </w:pPr>
    </w:p>
    <w:p>
      <w:pPr>
        <w:ind w:right="40" w:firstLine="685"/>
        <w:spacing w:after="0" w:line="253" w:lineRule="auto"/>
        <w:rPr>
          <w:sz w:val="20"/>
          <w:szCs w:val="20"/>
          <w:color w:val="auto"/>
        </w:rPr>
      </w:pPr>
      <w:r>
        <w:rPr>
          <w:rFonts w:ascii="Arial" w:cs="Arial" w:eastAsia="Arial" w:hAnsi="Arial"/>
          <w:sz w:val="14"/>
          <w:szCs w:val="14"/>
          <w:color w:val="auto"/>
        </w:rPr>
        <w:t>In September 2014, we completed a follow-on public offering of 8,500,000 shares of common stock at a public offering price of $11.63 per share for gross proceeds of $98.9 million and net proceeds of $95.4 million after the sales load and offering expenses.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20" w:firstLine="685"/>
        <w:spacing w:after="0" w:line="251" w:lineRule="auto"/>
        <w:rPr>
          <w:sz w:val="20"/>
          <w:szCs w:val="20"/>
          <w:color w:val="auto"/>
        </w:rPr>
      </w:pPr>
      <w:r>
        <w:rPr>
          <w:rFonts w:ascii="Arial" w:cs="Arial" w:eastAsia="Arial" w:hAnsi="Arial"/>
          <w:sz w:val="13"/>
          <w:szCs w:val="13"/>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10"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685"/>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8" w:lineRule="exact"/>
        <w:rPr>
          <w:sz w:val="20"/>
          <w:szCs w:val="20"/>
          <w:color w:val="auto"/>
        </w:rPr>
      </w:pPr>
    </w:p>
    <w:p>
      <w:pPr>
        <w:ind w:right="400" w:firstLine="685"/>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6" w:lineRule="exact"/>
        <w:rPr>
          <w:sz w:val="20"/>
          <w:szCs w:val="20"/>
          <w:color w:val="auto"/>
        </w:rPr>
      </w:pPr>
    </w:p>
    <w:p>
      <w:pPr>
        <w:ind w:left="800" w:right="80" w:hanging="576"/>
        <w:spacing w:after="0" w:line="253" w:lineRule="auto"/>
        <w:tabs>
          <w:tab w:leader="none" w:pos="8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576"/>
        <w:spacing w:after="0"/>
        <w:tabs>
          <w:tab w:leader="none" w:pos="8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00" w:right="360" w:hanging="576"/>
        <w:spacing w:after="0" w:line="264" w:lineRule="auto"/>
        <w:tabs>
          <w:tab w:leader="none" w:pos="8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240" w:hanging="576"/>
        <w:spacing w:after="0" w:line="238" w:lineRule="auto"/>
        <w:tabs>
          <w:tab w:leader="none" w:pos="8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400" w:hanging="576"/>
        <w:spacing w:after="0" w:line="253" w:lineRule="auto"/>
        <w:tabs>
          <w:tab w:leader="none" w:pos="8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00" w:lineRule="exact"/>
        <w:rPr>
          <w:sz w:val="20"/>
          <w:szCs w:val="20"/>
          <w:color w:val="auto"/>
        </w:rPr>
      </w:pPr>
    </w:p>
    <w:p>
      <w:pPr>
        <w:spacing w:after="0" w:line="262" w:lineRule="exact"/>
        <w:rPr>
          <w:sz w:val="20"/>
          <w:szCs w:val="20"/>
          <w:color w:val="auto"/>
        </w:rPr>
      </w:pPr>
    </w:p>
    <w:p>
      <w:pPr>
        <w:ind w:right="100" w:firstLine="685"/>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 / Unrealized Gains or Losses</w:t>
      </w:r>
    </w:p>
    <w:p>
      <w:pPr>
        <w:spacing w:after="0" w:line="136" w:lineRule="exact"/>
        <w:rPr>
          <w:sz w:val="20"/>
          <w:szCs w:val="20"/>
          <w:color w:val="auto"/>
        </w:rPr>
      </w:pPr>
    </w:p>
    <w:p>
      <w:pPr>
        <w:ind w:firstLine="685"/>
        <w:spacing w:after="0" w:line="256"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our 2019 Notes and our 2025 Notes during the reporting period, including any reversal of previously recorded unrealized appreciation or depreciation, when gains or losses are realized.</w:t>
      </w:r>
    </w:p>
    <w:p>
      <w:pPr>
        <w:spacing w:after="0" w:line="91" w:lineRule="exact"/>
        <w:rPr>
          <w:sz w:val="20"/>
          <w:szCs w:val="20"/>
          <w:color w:val="auto"/>
        </w:rPr>
      </w:pPr>
    </w:p>
    <w:p>
      <w:pPr>
        <w:ind w:right="20" w:firstLine="685"/>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180" w:firstLine="685"/>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120" w:firstLine="685"/>
        <w:spacing w:after="0" w:line="251" w:lineRule="auto"/>
        <w:rPr>
          <w:sz w:val="20"/>
          <w:szCs w:val="20"/>
          <w:color w:val="auto"/>
        </w:rPr>
      </w:pPr>
      <w:r>
        <w:rPr>
          <w:rFonts w:ascii="Arial" w:cs="Arial" w:eastAsia="Arial" w:hAnsi="Arial"/>
          <w:sz w:val="13"/>
          <w:szCs w:val="13"/>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have elected to retain a portion of our calendar year income and accrue taxes of $0.1 million, $(0.1) million and $0.3 million for the fiscal years ended September 30, 2014, 2013 and 2012, respectively.</w:t>
      </w:r>
    </w:p>
    <w:p>
      <w:pPr>
        <w:spacing w:after="0" w:line="110"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15"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280" w:firstLine="685"/>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15" w:lineRule="exact"/>
        <w:rPr>
          <w:sz w:val="20"/>
          <w:szCs w:val="20"/>
          <w:color w:val="auto"/>
        </w:rPr>
      </w:pPr>
    </w:p>
    <w:p>
      <w:pPr>
        <w:ind w:right="20" w:firstLine="685"/>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020" w:hanging="215"/>
        <w:spacing w:after="0"/>
        <w:tabs>
          <w:tab w:leader="none" w:pos="10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020" w:hanging="215"/>
        <w:spacing w:after="0"/>
        <w:tabs>
          <w:tab w:leader="none" w:pos="10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685"/>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20" w:firstLine="685"/>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60" w:firstLine="685"/>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40"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17" w:lineRule="exact"/>
        <w:rPr>
          <w:sz w:val="20"/>
          <w:szCs w:val="20"/>
          <w:color w:val="auto"/>
        </w:rPr>
      </w:pPr>
    </w:p>
    <w:p>
      <w:pPr>
        <w:ind w:right="20" w:firstLine="685"/>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2014, 2013 and 2012, the Investment Adviser earned a base management fee of $24.3 million, $21.3 million and $17.5 million, respectively, from us.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right="40" w:firstLine="685"/>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w:t>
      </w:r>
    </w:p>
    <w:p>
      <w:pPr>
        <w:spacing w:after="0" w:line="3"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color w:val="auto"/>
        </w:rPr>
        <w:t>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years ended September 30, 2014, 2013 and 2012, the Investment Adviser received an incentive fee of $17.8 million, $16.8 million and $14.2 million, respectively, from us.</w:t>
      </w:r>
    </w:p>
    <w:p>
      <w:pPr>
        <w:spacing w:after="0" w:line="115" w:lineRule="exact"/>
        <w:rPr>
          <w:sz w:val="20"/>
          <w:szCs w:val="20"/>
          <w:color w:val="auto"/>
        </w:rPr>
      </w:pPr>
    </w:p>
    <w:p>
      <w:pPr>
        <w:ind w:right="220" w:firstLine="685"/>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2014, 2013 and 2012 the Investment Adviser did not earn an incentive fee on capital gains as calculated under the Investment Management Agreement (as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firstLine="685"/>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2014, 2013 and 2012, our unrealized and realized capital gains did not exceed our cumulative realized and unrealized losses and therefore resulted in no accrual for capital gains incentive fees under GAAP.</w:t>
      </w:r>
    </w:p>
    <w:p>
      <w:pPr>
        <w:spacing w:after="0" w:line="119" w:lineRule="exact"/>
        <w:rPr>
          <w:sz w:val="20"/>
          <w:szCs w:val="20"/>
          <w:color w:val="auto"/>
        </w:rPr>
      </w:pPr>
    </w:p>
    <w:p>
      <w:pPr>
        <w:ind w:right="40" w:firstLine="685"/>
        <w:spacing w:after="0" w:line="246"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2014, 2013 and 2012, the Investment Adviser was reimbursed $3.0 million, $2.9 million and $3.6 million, respectively, from us, including expenses incurred on behalf of the Administrator, for the services described above.</w:t>
      </w:r>
    </w:p>
    <w:p>
      <w:pPr>
        <w:spacing w:after="0" w:line="111" w:lineRule="exact"/>
        <w:rPr>
          <w:sz w:val="20"/>
          <w:szCs w:val="20"/>
          <w:color w:val="auto"/>
        </w:rPr>
      </w:pPr>
    </w:p>
    <w:p>
      <w:pPr>
        <w:ind w:right="80" w:firstLine="685"/>
        <w:spacing w:after="0" w:line="249"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2014, 2013 and 2012, PennantPark Investment was reimbursed $0.5 million, $0.4 million and $0.7 million, respectively, for the services described above.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0" w:firstLine="685"/>
        <w:spacing w:after="0" w:line="291" w:lineRule="auto"/>
        <w:rPr>
          <w:sz w:val="20"/>
          <w:szCs w:val="20"/>
          <w:color w:val="auto"/>
        </w:rPr>
      </w:pPr>
      <w:r>
        <w:rPr>
          <w:rFonts w:ascii="Arial" w:cs="Arial" w:eastAsia="Arial" w:hAnsi="Arial"/>
          <w:sz w:val="13"/>
          <w:szCs w:val="13"/>
          <w:color w:val="auto"/>
        </w:rPr>
        <w:t>Purchases of investments, including PIK, for the fiscal years ended September 30, 2014, 2013 and 2012 totaled $806.1 million, $516.2 million and $337.3 million, respectively. Sales and repayments of investments for the fiscal years ended September 30, 2014, 2013 and 2012 totaled $625.6 million, $437.1 million and $201.7 million, respectively.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 2013</w:t>
            </w:r>
          </w:p>
        </w:tc>
      </w:tr>
      <w:tr>
        <w:trPr>
          <w:trHeight w:val="142"/>
        </w:trPr>
        <w:tc>
          <w:tcPr>
            <w:tcW w:w="51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 Classification</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428"/>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5180" w:type="dxa"/>
            <w:vAlign w:val="bottom"/>
          </w:tcPr>
          <w:p>
            <w:pPr>
              <w:spacing w:after="0" w:line="142" w:lineRule="exact"/>
              <w:rPr>
                <w:sz w:val="20"/>
                <w:szCs w:val="20"/>
                <w:color w:val="auto"/>
              </w:rPr>
            </w:pPr>
            <w:r>
              <w:rPr>
                <w:rFonts w:ascii="Arial" w:cs="Arial" w:eastAsia="Arial" w:hAnsi="Arial"/>
                <w:sz w:val="14"/>
                <w:szCs w:val="14"/>
                <w:color w:val="auto"/>
              </w:rPr>
              <w:t>First lien</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42" w:lineRule="exact"/>
              <w:rPr>
                <w:sz w:val="20"/>
                <w:szCs w:val="20"/>
                <w:color w:val="auto"/>
              </w:rPr>
            </w:pPr>
            <w:r>
              <w:rPr>
                <w:rFonts w:ascii="Arial" w:cs="Arial" w:eastAsia="Arial" w:hAnsi="Arial"/>
                <w:sz w:val="14"/>
                <w:szCs w:val="14"/>
                <w:color w:val="auto"/>
              </w:rPr>
              <w:t>453,835,589</w:t>
            </w:r>
          </w:p>
        </w:tc>
        <w:tc>
          <w:tcPr>
            <w:tcW w:w="18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2" w:lineRule="exact"/>
              <w:rPr>
                <w:sz w:val="20"/>
                <w:szCs w:val="20"/>
                <w:color w:val="auto"/>
              </w:rPr>
            </w:pPr>
            <w:r>
              <w:rPr>
                <w:rFonts w:ascii="Arial" w:cs="Arial" w:eastAsia="Arial" w:hAnsi="Arial"/>
                <w:sz w:val="14"/>
                <w:szCs w:val="14"/>
                <w:color w:val="auto"/>
              </w:rPr>
              <w:t>465,593,894</w:t>
            </w:r>
          </w:p>
        </w:tc>
        <w:tc>
          <w:tcPr>
            <w:tcW w:w="180" w:type="dxa"/>
            <w:vAlign w:val="bottom"/>
          </w:tcPr>
          <w:p>
            <w:pPr>
              <w:spacing w:after="0"/>
              <w:rPr>
                <w:sz w:val="12"/>
                <w:szCs w:val="12"/>
                <w:color w:val="auto"/>
              </w:rPr>
            </w:pPr>
          </w:p>
        </w:tc>
        <w:tc>
          <w:tcPr>
            <w:tcW w:w="300" w:type="dxa"/>
            <w:vAlign w:val="bottom"/>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290,000,430</w:t>
            </w:r>
          </w:p>
        </w:tc>
        <w:tc>
          <w:tcPr>
            <w:tcW w:w="16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299,516,291</w:t>
            </w:r>
          </w:p>
        </w:tc>
        <w:tc>
          <w:tcPr>
            <w:tcW w:w="80" w:type="dxa"/>
            <w:vAlign w:val="bottom"/>
          </w:tcPr>
          <w:p>
            <w:pPr>
              <w:spacing w:after="0"/>
              <w:rPr>
                <w:sz w:val="12"/>
                <w:szCs w:val="12"/>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489,813,322</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493,360,024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346,717,448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357,543,217</w:t>
            </w:r>
          </w:p>
        </w:tc>
        <w:tc>
          <w:tcPr>
            <w:tcW w:w="80" w:type="dxa"/>
            <w:vAlign w:val="bottom"/>
            <w:shd w:val="clear" w:color="auto" w:fill="CCEEFF"/>
          </w:tcPr>
          <w:p>
            <w:pPr>
              <w:spacing w:after="0"/>
              <w:rPr>
                <w:sz w:val="12"/>
                <w:szCs w:val="12"/>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250,905,632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247,146,967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311,240,637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302,447,308</w:t>
            </w:r>
          </w:p>
        </w:tc>
        <w:tc>
          <w:tcPr>
            <w:tcW w:w="80" w:type="dxa"/>
            <w:vAlign w:val="bottom"/>
          </w:tcPr>
          <w:p>
            <w:pPr>
              <w:spacing w:after="0"/>
              <w:rPr>
                <w:sz w:val="12"/>
                <w:szCs w:val="12"/>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124,299,777</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111,953,881</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143,559,370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118,668,737</w:t>
            </w:r>
          </w:p>
        </w:tc>
        <w:tc>
          <w:tcPr>
            <w:tcW w:w="80" w:type="dxa"/>
            <w:vAlign w:val="bottom"/>
            <w:shd w:val="clear" w:color="auto" w:fill="CCEEFF"/>
          </w:tcPr>
          <w:p>
            <w:pPr>
              <w:spacing w:after="0"/>
              <w:rPr>
                <w:sz w:val="12"/>
                <w:szCs w:val="12"/>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1,318,854,320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1,318,054,766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1,091,517,885</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1,078,175,553</w:t>
            </w:r>
          </w:p>
        </w:tc>
        <w:tc>
          <w:tcPr>
            <w:tcW w:w="80" w:type="dxa"/>
            <w:vAlign w:val="bottom"/>
          </w:tcPr>
          <w:p>
            <w:pPr>
              <w:spacing w:after="0"/>
              <w:rPr>
                <w:sz w:val="13"/>
                <w:szCs w:val="13"/>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66,600,195</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shd w:val="clear" w:color="auto" w:fill="CCEEFF"/>
          </w:tcPr>
          <w:p>
            <w:pPr>
              <w:spacing w:after="0"/>
              <w:rPr>
                <w:sz w:val="12"/>
                <w:szCs w:val="12"/>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1,385,454,515</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1,384,573,448</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1,149,958,714</w:t>
            </w: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1,136,616,382</w:t>
            </w:r>
          </w:p>
        </w:tc>
        <w:tc>
          <w:tcPr>
            <w:tcW w:w="80" w:type="dxa"/>
            <w:vAlign w:val="bottom"/>
          </w:tcPr>
          <w:p>
            <w:pPr>
              <w:spacing w:after="0"/>
              <w:rPr>
                <w:sz w:val="13"/>
                <w:szCs w:val="13"/>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6"/>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828"/>
              <w:spacing w:after="0"/>
              <w:rPr>
                <w:sz w:val="20"/>
                <w:szCs w:val="20"/>
                <w:color w:val="auto"/>
              </w:rPr>
            </w:pPr>
            <w:r>
              <w:rPr>
                <w:rFonts w:ascii="Arial" w:cs="Arial" w:eastAsia="Arial" w:hAnsi="Arial"/>
                <w:sz w:val="14"/>
                <w:szCs w:val="14"/>
                <w:color w:val="auto"/>
              </w:rPr>
              <w:t>F-22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80" w:type="dxa"/>
            <w:vAlign w:val="bottom"/>
            <w:vMerge w:val="restart"/>
          </w:tcPr>
          <w:p>
            <w:pPr>
              <w:spacing w:after="0"/>
              <w:rPr>
                <w:sz w:val="14"/>
                <w:szCs w:val="14"/>
                <w:color w:val="auto"/>
              </w:rPr>
            </w:pPr>
          </w:p>
        </w:tc>
        <w:tc>
          <w:tcPr>
            <w:tcW w:w="212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Consumer Products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Oil and Gas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Building Materials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140" w:firstLine="685"/>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600" w:right="600" w:hanging="1025"/>
        <w:spacing w:after="0" w:line="238" w:lineRule="auto"/>
        <w:tabs>
          <w:tab w:leader="none" w:pos="15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600" w:right="840" w:hanging="1025"/>
        <w:spacing w:after="0" w:line="253" w:lineRule="auto"/>
        <w:tabs>
          <w:tab w:leader="none" w:pos="15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06" w:lineRule="exact"/>
        <w:rPr>
          <w:sz w:val="20"/>
          <w:szCs w:val="20"/>
          <w:color w:val="auto"/>
        </w:rPr>
      </w:pPr>
    </w:p>
    <w:p>
      <w:pPr>
        <w:ind w:right="20" w:firstLine="685"/>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01" w:lineRule="exact"/>
        <w:rPr>
          <w:sz w:val="20"/>
          <w:szCs w:val="20"/>
          <w:color w:val="auto"/>
        </w:rPr>
      </w:pPr>
    </w:p>
    <w:p>
      <w:pPr>
        <w:jc w:val="both"/>
        <w:ind w:right="160" w:firstLine="685"/>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59" w:lineRule="exact"/>
        <w:rPr>
          <w:sz w:val="20"/>
          <w:szCs w:val="20"/>
          <w:color w:val="auto"/>
        </w:rPr>
      </w:pPr>
    </w:p>
    <w:p>
      <w:pPr>
        <w:ind w:right="40" w:firstLine="685"/>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8" w:lineRule="exact"/>
        <w:rPr>
          <w:sz w:val="20"/>
          <w:szCs w:val="20"/>
          <w:color w:val="auto"/>
        </w:rPr>
      </w:pPr>
    </w:p>
    <w:p>
      <w:pPr>
        <w:ind w:right="100" w:firstLine="685"/>
        <w:spacing w:after="0" w:line="234"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years ended September 30, 2014 and 2013 has resulted in no and one reclassifications, respectively, from Level 3 to 2 as outlined in the table below.</w:t>
      </w:r>
    </w:p>
    <w:p>
      <w:pPr>
        <w:spacing w:after="0" w:line="115" w:lineRule="exact"/>
        <w:rPr>
          <w:sz w:val="20"/>
          <w:szCs w:val="20"/>
          <w:color w:val="auto"/>
        </w:rPr>
      </w:pPr>
    </w:p>
    <w:p>
      <w:pPr>
        <w:jc w:val="both"/>
        <w:ind w:right="20" w:firstLine="68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2" w:lineRule="exact"/>
        <w:rPr>
          <w:sz w:val="20"/>
          <w:szCs w:val="20"/>
          <w:color w:val="auto"/>
        </w:rPr>
      </w:pPr>
    </w:p>
    <w:p>
      <w:pPr>
        <w:ind w:right="140" w:firstLine="685"/>
        <w:spacing w:after="0" w:line="234"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15" w:lineRule="exact"/>
        <w:rPr>
          <w:sz w:val="20"/>
          <w:szCs w:val="20"/>
          <w:color w:val="auto"/>
        </w:rPr>
      </w:pPr>
    </w:p>
    <w:p>
      <w:pPr>
        <w:ind w:right="100" w:firstLine="685"/>
        <w:spacing w:after="0" w:line="227" w:lineRule="auto"/>
        <w:rPr>
          <w:sz w:val="20"/>
          <w:szCs w:val="20"/>
          <w:color w:val="auto"/>
        </w:rPr>
      </w:pPr>
      <w:r>
        <w:rPr>
          <w:rFonts w:ascii="Arial" w:cs="Arial" w:eastAsia="Arial" w:hAnsi="Arial"/>
          <w:sz w:val="14"/>
          <w:szCs w:val="14"/>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2014</w:t>
            </w:r>
          </w:p>
        </w:tc>
        <w:tc>
          <w:tcPr>
            <w:tcW w:w="16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3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82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Arial" w:cs="Arial" w:eastAsia="Arial" w:hAnsi="Arial"/>
                <w:sz w:val="14"/>
                <w:szCs w:val="14"/>
                <w:color w:val="auto"/>
              </w:rPr>
              <w:t>681,131,020</w:t>
            </w:r>
          </w:p>
        </w:tc>
        <w:tc>
          <w:tcPr>
            <w:tcW w:w="300" w:type="dxa"/>
            <w:vAlign w:val="bottom"/>
          </w:tcPr>
          <w:p>
            <w:pPr>
              <w:spacing w:after="0"/>
              <w:rPr>
                <w:sz w:val="11"/>
                <w:szCs w:val="11"/>
                <w:color w:val="auto"/>
              </w:rPr>
            </w:pP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9.7% – 21.3%</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(13.2%)</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12,163,865</w:t>
            </w:r>
          </w:p>
        </w:tc>
        <w:tc>
          <w:tcPr>
            <w:tcW w:w="3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4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99,698,372</w:t>
            </w:r>
          </w:p>
        </w:tc>
        <w:tc>
          <w:tcPr>
            <w:tcW w:w="300" w:type="dxa"/>
            <w:vAlign w:val="bottom"/>
          </w:tcPr>
          <w:p>
            <w:pPr>
              <w:spacing w:after="0"/>
              <w:rPr>
                <w:sz w:val="13"/>
                <w:szCs w:val="13"/>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3.3x – 14.0x (8.8x)</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Level 3 investments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1,273,338,136</w:t>
            </w:r>
          </w:p>
        </w:tc>
        <w:tc>
          <w:tcPr>
            <w:tcW w:w="1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Market Comparable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7"/>
              </w:rPr>
              <w:t>Market Yield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3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251,350,250</w:t>
            </w:r>
          </w:p>
        </w:tc>
        <w:tc>
          <w:tcPr>
            <w:tcW w:w="3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4"/>
                <w:szCs w:val="14"/>
                <w:color w:val="auto"/>
                <w:w w:val="94"/>
              </w:rPr>
              <w:t>Broker/Dealer bid quotes</w:t>
            </w:r>
          </w:p>
        </w:tc>
        <w:tc>
          <w:tcPr>
            <w:tcW w:w="13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 as of</w:t>
            </w: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 Technique</w:t>
            </w: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2013</w:t>
            </w:r>
          </w:p>
        </w:tc>
        <w:tc>
          <w:tcPr>
            <w:tcW w:w="16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89"/>
              </w:rPr>
              <w:t>448,842,468</w:t>
            </w:r>
          </w:p>
        </w:tc>
        <w:tc>
          <w:tcPr>
            <w:tcW w:w="30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2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4820" w:type="dxa"/>
            <w:vAlign w:val="bottom"/>
          </w:tcPr>
          <w:p>
            <w:pPr>
              <w:spacing w:after="0" w:line="130" w:lineRule="exact"/>
              <w:rPr>
                <w:sz w:val="20"/>
                <w:szCs w:val="20"/>
                <w:color w:val="auto"/>
              </w:rPr>
            </w:pPr>
            <w:r>
              <w:rPr>
                <w:rFonts w:ascii="Arial" w:cs="Arial" w:eastAsia="Arial" w:hAnsi="Arial"/>
                <w:sz w:val="14"/>
                <w:szCs w:val="14"/>
                <w:color w:val="auto"/>
              </w:rPr>
              <w:t>Debt investments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540"/>
              <w:spacing w:after="0" w:line="130" w:lineRule="exact"/>
              <w:rPr>
                <w:sz w:val="20"/>
                <w:szCs w:val="20"/>
                <w:color w:val="auto"/>
              </w:rPr>
            </w:pPr>
            <w:r>
              <w:rPr>
                <w:rFonts w:ascii="Arial" w:cs="Arial" w:eastAsia="Arial" w:hAnsi="Arial"/>
                <w:sz w:val="14"/>
                <w:szCs w:val="14"/>
                <w:color w:val="auto"/>
                <w:w w:val="89"/>
              </w:rPr>
              <w:t>466,571,947</w:t>
            </w:r>
          </w:p>
        </w:tc>
        <w:tc>
          <w:tcPr>
            <w:tcW w:w="300" w:type="dxa"/>
            <w:vAlign w:val="bottom"/>
          </w:tcPr>
          <w:p>
            <w:pPr>
              <w:spacing w:after="0"/>
              <w:rPr>
                <w:sz w:val="11"/>
                <w:szCs w:val="11"/>
                <w:color w:val="auto"/>
              </w:rPr>
            </w:pPr>
          </w:p>
        </w:tc>
        <w:tc>
          <w:tcPr>
            <w:tcW w:w="162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7"/>
              </w:rPr>
              <w:t>Market Yield</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9.5% – 21.5%</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(13.5%)</w:t>
            </w: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110,923,751</w:t>
            </w:r>
          </w:p>
        </w:tc>
        <w:tc>
          <w:tcPr>
            <w:tcW w:w="16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Enterprise Market Value</w:t>
            </w:r>
          </w:p>
        </w:tc>
        <w:tc>
          <w:tcPr>
            <w:tcW w:w="17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EBITDA multiple</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6.0x – 15.0x (9.0x)</w:t>
            </w:r>
          </w:p>
        </w:tc>
        <w:tc>
          <w:tcPr>
            <w:tcW w:w="0" w:type="dxa"/>
            <w:vAlign w:val="bottom"/>
          </w:tcPr>
          <w:p>
            <w:pPr>
              <w:spacing w:after="0"/>
              <w:rPr>
                <w:sz w:val="1"/>
                <w:szCs w:val="1"/>
                <w:color w:val="auto"/>
              </w:rPr>
            </w:pPr>
          </w:p>
        </w:tc>
      </w:tr>
      <w:tr>
        <w:trPr>
          <w:trHeight w:val="156"/>
        </w:trPr>
        <w:tc>
          <w:tcPr>
            <w:tcW w:w="4820" w:type="dxa"/>
            <w:vAlign w:val="bottom"/>
          </w:tcPr>
          <w:p>
            <w:pPr>
              <w:ind w:left="160"/>
              <w:spacing w:after="0" w:line="155" w:lineRule="exact"/>
              <w:rPr>
                <w:sz w:val="20"/>
                <w:szCs w:val="20"/>
                <w:color w:val="auto"/>
              </w:rPr>
            </w:pPr>
            <w:r>
              <w:rPr>
                <w:rFonts w:ascii="Arial" w:cs="Arial" w:eastAsia="Arial" w:hAnsi="Arial"/>
                <w:sz w:val="14"/>
                <w:szCs w:val="14"/>
                <w:color w:val="auto"/>
              </w:rPr>
              <w:t>Total Level 3 investments</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ind w:left="440"/>
              <w:spacing w:after="0" w:line="155" w:lineRule="exact"/>
              <w:rPr>
                <w:sz w:val="20"/>
                <w:szCs w:val="20"/>
                <w:color w:val="auto"/>
              </w:rPr>
            </w:pPr>
            <w:r>
              <w:rPr>
                <w:rFonts w:ascii="Arial" w:cs="Arial" w:eastAsia="Arial" w:hAnsi="Arial"/>
                <w:sz w:val="14"/>
                <w:szCs w:val="14"/>
                <w:color w:val="auto"/>
                <w:w w:val="89"/>
              </w:rPr>
              <w:t>1,026,338,166</w:t>
            </w: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color w:val="auto"/>
              </w:rPr>
              <w:t>117,500,000</w:t>
            </w:r>
          </w:p>
        </w:tc>
        <w:tc>
          <w:tcPr>
            <w:tcW w:w="16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4"/>
              </w:rPr>
              <w:t>Market Comparable</w:t>
            </w:r>
          </w:p>
        </w:tc>
        <w:tc>
          <w:tcPr>
            <w:tcW w:w="17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7"/>
              </w:rPr>
              <w:t>Market Yield</w:t>
            </w:r>
          </w:p>
        </w:tc>
        <w:tc>
          <w:tcPr>
            <w:tcW w:w="13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ind w:left="480"/>
              <w:spacing w:after="0"/>
              <w:rPr>
                <w:sz w:val="20"/>
                <w:szCs w:val="20"/>
                <w:color w:val="auto"/>
              </w:rPr>
            </w:pPr>
            <w:r>
              <w:rPr>
                <w:rFonts w:ascii="Arial" w:cs="Arial" w:eastAsia="Arial" w:hAnsi="Arial"/>
                <w:sz w:val="14"/>
                <w:szCs w:val="14"/>
                <w:color w:val="auto"/>
              </w:rPr>
              <w:t>F-24</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Our investments, cash and cash equivalents, Credit Facility, the 2019 Notes and the 2025 Notes were categorized as follows in the fair value hierarchy for ASC 820 purposes: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Fair Value at September 30, 2014</w:t>
            </w:r>
          </w:p>
        </w:tc>
        <w:tc>
          <w:tcPr>
            <w:tcW w:w="0" w:type="dxa"/>
            <w:vAlign w:val="bottom"/>
          </w:tcPr>
          <w:p>
            <w:pPr>
              <w:spacing w:after="0"/>
              <w:rPr>
                <w:sz w:val="1"/>
                <w:szCs w:val="1"/>
                <w:color w:val="auto"/>
              </w:rPr>
            </w:pPr>
          </w:p>
        </w:tc>
      </w:tr>
      <w:tr>
        <w:trPr>
          <w:trHeight w:val="142"/>
        </w:trPr>
        <w:tc>
          <w:tcPr>
            <w:tcW w:w="6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1,206,100,885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44,624,986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1,161,475,899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111,953,881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91,644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1,318,054,766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44,716,630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1,384,573,448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44,716,630</w:t>
            </w:r>
          </w:p>
        </w:tc>
        <w:tc>
          <w:tcPr>
            <w:tcW w:w="3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1,273,338,136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376,667,870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17"/>
          </w:tcPr>
          <w:p>
            <w:pPr>
              <w:jc w:val="right"/>
              <w:ind w:right="82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44,092,400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118,668,738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7,539,320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205,667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110,923,751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1,078,175,553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7,539,320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44,298,067</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1,026,338,166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1,136,616,382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65,980,149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44,298,067</w:t>
            </w:r>
          </w:p>
        </w:tc>
        <w:tc>
          <w:tcPr>
            <w:tcW w:w="4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1,026,338,166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4"/>
                <w:szCs w:val="14"/>
                <w:color w:val="auto"/>
              </w:rPr>
              <w:t>Long-Term Credit Facility (excluding temporary draw of $28.0 million)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117,500,000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gridSpan w:val="4"/>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188"/>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117,500,000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Total debt</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185,900,000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68,400,000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117,500,000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10460" w:type="dxa"/>
            <w:vAlign w:val="bottom"/>
            <w:gridSpan w:val="23"/>
          </w:tcPr>
          <w:p>
            <w:pPr>
              <w:ind w:left="680"/>
              <w:spacing w:after="0"/>
              <w:rPr>
                <w:sz w:val="20"/>
                <w:szCs w:val="20"/>
                <w:color w:val="auto"/>
              </w:rPr>
            </w:pPr>
            <w:r>
              <w:rPr>
                <w:rFonts w:ascii="Arial" w:cs="Arial" w:eastAsia="Arial" w:hAnsi="Arial"/>
                <w:sz w:val="14"/>
                <w:szCs w:val="14"/>
                <w:color w:val="auto"/>
                <w:w w:val="95"/>
              </w:rPr>
              <w:t>The following tables show a reconciliation of the beginning and ending balances for fair valued investments measured using significant unobservable inputs (Level 3):</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Year Ended September 30, 2014</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110,923,751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1,026,338,166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19,314,901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3,956,456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23,271,357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 appreciation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(10,373,678)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17,034,882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6,661,204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782,753,337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25,548,400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808,301,737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(545,633,076)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(45,601,252)</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(591,234,328)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tcBorders>
              <w:right w:val="single" w:sz="8" w:color="CCEEFF"/>
            </w:tcBorders>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10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1,161,475,899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111,862,237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1,273,338,136</w:t>
            </w:r>
          </w:p>
        </w:tc>
        <w:tc>
          <w:tcPr>
            <w:tcW w:w="0" w:type="dxa"/>
            <w:vAlign w:val="bottom"/>
          </w:tcPr>
          <w:p>
            <w:pPr>
              <w:spacing w:after="0"/>
              <w:rPr>
                <w:sz w:val="1"/>
                <w:szCs w:val="1"/>
                <w:color w:val="auto"/>
              </w:rPr>
            </w:pPr>
          </w:p>
        </w:tc>
      </w:tr>
      <w:tr>
        <w:trPr>
          <w:trHeight w:val="20"/>
        </w:trPr>
        <w:tc>
          <w:tcPr>
            <w:tcW w:w="7420" w:type="dxa"/>
            <w:vAlign w:val="bottom"/>
            <w:gridSpan w:val="6"/>
            <w:vMerge w:val="restart"/>
          </w:tcPr>
          <w:p>
            <w:pPr>
              <w:spacing w:after="0"/>
              <w:rPr>
                <w:sz w:val="20"/>
                <w:szCs w:val="20"/>
                <w:color w:val="auto"/>
              </w:rPr>
            </w:pPr>
            <w:r>
              <w:rPr>
                <w:rFonts w:ascii="Arial" w:cs="Arial" w:eastAsia="Arial" w:hAnsi="Arial"/>
                <w:sz w:val="14"/>
                <w:szCs w:val="14"/>
                <w:color w:val="auto"/>
                <w:w w:val="93"/>
              </w:rPr>
              <w:t>Net change in unrealized appreciation (depreciation) reported within the net change in unrealized appreciation on investments in</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80" w:type="dxa"/>
            <w:vAlign w:val="bottom"/>
            <w:gridSpan w:val="2"/>
          </w:tcPr>
          <w:p>
            <w:pPr>
              <w:ind w:left="140"/>
              <w:spacing w:after="0"/>
              <w:rPr>
                <w:sz w:val="20"/>
                <w:szCs w:val="20"/>
                <w:color w:val="auto"/>
              </w:rPr>
            </w:pPr>
            <w:r>
              <w:rPr>
                <w:rFonts w:ascii="Arial" w:cs="Arial" w:eastAsia="Arial" w:hAnsi="Arial"/>
                <w:sz w:val="14"/>
                <w:szCs w:val="14"/>
                <w:color w:val="auto"/>
                <w:w w:val="96"/>
              </w:rPr>
              <w:t>our Consolidated Statement of Operations attributable to our Level 3 assets still held at the reporting date.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2,129,283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color w:val="auto"/>
              </w:rPr>
              <w:t>(15,261,361)</w:t>
            </w:r>
          </w:p>
        </w:tc>
        <w:tc>
          <w:tcPr>
            <w:tcW w:w="4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(13,132,078)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Year Ended September 30, 2013</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5"/>
          </w:tcPr>
          <w:p>
            <w:pPr>
              <w:jc w:val="right"/>
              <w:ind w:right="56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6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848,424,071</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101,323,123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left w:val="single" w:sz="8" w:color="CCEEFF"/>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949,747,194</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6,721,638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3,311,652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10,033,290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 (depreciation)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35,227,586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(28,273,765)</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6,953,821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512,045,145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46,647,608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558,692,753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and repayments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(474,164,025)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(12,084,867)</w:t>
            </w:r>
          </w:p>
        </w:tc>
        <w:tc>
          <w:tcPr>
            <w:tcW w:w="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9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(486,248,892)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915,414,415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110,923,751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1,026,338,166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20" w:type="dxa"/>
            <w:vAlign w:val="bottom"/>
            <w:gridSpan w:val="6"/>
            <w:vMerge w:val="restart"/>
          </w:tcPr>
          <w:p>
            <w:pPr>
              <w:spacing w:after="0"/>
              <w:rPr>
                <w:sz w:val="20"/>
                <w:szCs w:val="20"/>
                <w:color w:val="auto"/>
              </w:rPr>
            </w:pPr>
            <w:r>
              <w:rPr>
                <w:rFonts w:ascii="Arial" w:cs="Arial" w:eastAsia="Arial" w:hAnsi="Arial"/>
                <w:sz w:val="14"/>
                <w:szCs w:val="14"/>
                <w:color w:val="auto"/>
                <w:w w:val="93"/>
              </w:rPr>
              <w:t>Net change in unrealized appreciation (depreciation) reported within the net change in unrealized appreciation (depreciation) on</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0" w:type="dxa"/>
            <w:vAlign w:val="bottom"/>
            <w:gridSpan w:val="5"/>
          </w:tcPr>
          <w:p>
            <w:pPr>
              <w:ind w:left="140"/>
              <w:spacing w:after="0"/>
              <w:rPr>
                <w:sz w:val="20"/>
                <w:szCs w:val="20"/>
                <w:color w:val="auto"/>
              </w:rPr>
            </w:pPr>
            <w:r>
              <w:rPr>
                <w:rFonts w:ascii="Arial" w:cs="Arial" w:eastAsia="Arial" w:hAnsi="Arial"/>
                <w:sz w:val="14"/>
                <w:szCs w:val="14"/>
                <w:color w:val="auto"/>
                <w:w w:val="96"/>
              </w:rPr>
              <w:t>investments in our Consolidated Statement of Operations attributable to our Level 3 assets still held at the reporting date.</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33,158,082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4"/>
                <w:szCs w:val="14"/>
                <w:color w:val="auto"/>
              </w:rPr>
              <w:t>(30,958,706)</w:t>
            </w:r>
          </w:p>
        </w:tc>
        <w:tc>
          <w:tcPr>
            <w:tcW w:w="4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2,199,376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tcPr>
          <w:p>
            <w:pPr>
              <w:ind w:left="5560"/>
              <w:spacing w:after="0"/>
              <w:rPr>
                <w:sz w:val="20"/>
                <w:szCs w:val="20"/>
                <w:color w:val="auto"/>
              </w:rPr>
            </w:pPr>
            <w:r>
              <w:rPr>
                <w:rFonts w:ascii="Arial" w:cs="Arial" w:eastAsia="Arial" w:hAnsi="Arial"/>
                <w:sz w:val="14"/>
                <w:szCs w:val="14"/>
                <w:color w:val="auto"/>
              </w:rPr>
              <w:t>F-25</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 and 2019 Notes</w:t>
            </w:r>
          </w:p>
        </w:tc>
        <w:tc>
          <w:tcPr>
            <w:tcW w:w="240" w:type="dxa"/>
            <w:vAlign w:val="bottom"/>
          </w:tcPr>
          <w:p>
            <w:pPr>
              <w:spacing w:after="0"/>
              <w:rPr>
                <w:sz w:val="14"/>
                <w:szCs w:val="14"/>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29"/>
        </w:trPr>
        <w:tc>
          <w:tcPr>
            <w:tcW w:w="8720" w:type="dxa"/>
            <w:vAlign w:val="bottom"/>
            <w:gridSpan w:val="3"/>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8"/>
              <w:spacing w:after="0" w:line="129"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28"/>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87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(cost – $117,500,000 and $109,500,000, respectively)</w:t>
            </w:r>
          </w:p>
        </w:tc>
        <w:tc>
          <w:tcPr>
            <w:tcW w:w="240" w:type="dxa"/>
            <w:vAlign w:val="bottom"/>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117,500,000</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108,952,500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unrealized appreciation included in earnings</w:t>
            </w:r>
          </w:p>
        </w:tc>
        <w:tc>
          <w:tcPr>
            <w:tcW w:w="24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(378,430)</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2019 Notes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250,000,000</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804,053,100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660,800,000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(866,326,800)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(652,800,000)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$117,500,000, respectively)</w:t>
            </w: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117,500,000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Temporary draws outstanding, at cost</w:t>
            </w:r>
          </w:p>
        </w:tc>
        <w:tc>
          <w:tcPr>
            <w:tcW w:w="240" w:type="dxa"/>
            <w:vAlign w:val="bottom"/>
          </w:tcPr>
          <w:p>
            <w:pPr>
              <w:spacing w:after="0"/>
              <w:rPr>
                <w:sz w:val="13"/>
                <w:szCs w:val="13"/>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(cost – $305,226,300 and $145,500,000, respectively)</w:t>
            </w:r>
          </w:p>
        </w:tc>
        <w:tc>
          <w:tcPr>
            <w:tcW w:w="24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304,847,870</w:t>
            </w:r>
          </w:p>
        </w:tc>
        <w:tc>
          <w:tcPr>
            <w:tcW w:w="420" w:type="dxa"/>
            <w:vAlign w:val="bottom"/>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136" w:lineRule="exact"/>
        <w:rPr>
          <w:sz w:val="20"/>
          <w:szCs w:val="20"/>
          <w:color w:val="auto"/>
        </w:rPr>
      </w:pPr>
    </w:p>
    <w:p>
      <w:pPr>
        <w:ind w:right="220" w:firstLine="685"/>
        <w:spacing w:after="0" w:line="253" w:lineRule="auto"/>
        <w:rPr>
          <w:sz w:val="20"/>
          <w:szCs w:val="20"/>
          <w:color w:val="auto"/>
        </w:rPr>
      </w:pPr>
      <w:r>
        <w:rPr>
          <w:rFonts w:ascii="Arial" w:cs="Arial" w:eastAsia="Arial" w:hAnsi="Arial"/>
          <w:sz w:val="14"/>
          <w:szCs w:val="14"/>
          <w:color w:val="auto"/>
        </w:rPr>
        <w:t>As of September 30, 2014, we had outstanding non-USD borrowing on our Credit Facility denominated in British Pounds. Net change in fair value on these outstanding borrowings is listed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Foreign Currency</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140" w:type="dxa"/>
            <w:vAlign w:val="bottom"/>
          </w:tcPr>
          <w:p>
            <w:pPr>
              <w:spacing w:after="0"/>
              <w:rPr>
                <w:sz w:val="14"/>
                <w:szCs w:val="14"/>
                <w:color w:val="auto"/>
              </w:rPr>
            </w:pPr>
          </w:p>
        </w:tc>
        <w:tc>
          <w:tcPr>
            <w:tcW w:w="17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Original</w:t>
            </w:r>
          </w:p>
        </w:tc>
        <w:tc>
          <w:tcPr>
            <w:tcW w:w="16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7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Reset Date</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6"/>
        </w:trPr>
        <w:tc>
          <w:tcPr>
            <w:tcW w:w="1620" w:type="dxa"/>
            <w:vAlign w:val="bottom"/>
            <w:tcBorders>
              <w:top w:val="single" w:sz="8" w:color="CCEEFF"/>
            </w:tcBorders>
            <w:shd w:val="clear" w:color="auto" w:fill="CCEEFF"/>
          </w:tcPr>
          <w:p>
            <w:pPr>
              <w:ind w:left="80"/>
              <w:spacing w:after="0" w:line="136" w:lineRule="exact"/>
              <w:rPr>
                <w:sz w:val="20"/>
                <w:szCs w:val="20"/>
                <w:color w:val="auto"/>
              </w:rPr>
            </w:pPr>
            <w:r>
              <w:rPr>
                <w:rFonts w:ascii="Arial" w:cs="Arial" w:eastAsia="Arial" w:hAnsi="Arial"/>
                <w:sz w:val="14"/>
                <w:szCs w:val="14"/>
                <w:color w:val="auto"/>
              </w:rPr>
              <w:t>British Pound</w:t>
            </w:r>
          </w:p>
        </w:tc>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33,000,000</w:t>
            </w:r>
          </w:p>
        </w:tc>
        <w:tc>
          <w:tcPr>
            <w:tcW w:w="6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55,226,300</w:t>
            </w: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53,497,620</w:t>
            </w:r>
          </w:p>
        </w:tc>
        <w:tc>
          <w:tcPr>
            <w:tcW w:w="6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1"/>
              </w:rPr>
              <w:t>October 1, 2014</w:t>
            </w:r>
          </w:p>
        </w:tc>
        <w:tc>
          <w:tcPr>
            <w:tcW w:w="5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(1,728,680)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firstLine="685"/>
        <w:spacing w:after="0" w:line="225" w:lineRule="auto"/>
        <w:rPr>
          <w:sz w:val="20"/>
          <w:szCs w:val="20"/>
          <w:color w:val="auto"/>
        </w:rPr>
      </w:pPr>
      <w:r>
        <w:rPr>
          <w:rFonts w:ascii="Arial" w:cs="Arial" w:eastAsia="Arial" w:hAnsi="Arial"/>
          <w:sz w:val="14"/>
          <w:szCs w:val="14"/>
          <w:color w:val="auto"/>
        </w:rPr>
        <w:t>We adopted ASC 825-10, which provides companies with an option to report selected financial assets and liabilities at fair value, and made an irrevocable election to apply ASC 825-10 to our Credit Facility, our 2019 Notes and our 2025 Notes. We elected to use the fair value option for the Credit Facility, the 2019 Notes and the 2025 Notes to align the measurement attributes of both our assets and liabilities while mitigating volatility in earnings from using different measurement attributes. Due to that election and in accordance with GAAP, we incurred $8.3 million, $2.8 million and $5.4 million relating to debt issuance costs during the year ended September 30, 2014, 2013 and 2012,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2019 Notes and 2025 Notes are reported in our Consolidated Statement of Operations. We elected not to apply ASC 825-10 to any other financial assets or liabilities, including the SBA debentures. For the fiscal years ended September 30, 2014, 2013 and 2012, our Credit Facility, 2019 Notes and 2025 Notes had a net change in unrealized (appreciation) depreciation of $(3.0) million, $2.3 million and $(1.6) million, respectively. As of September 30, 2014 and 2013, net unrealized (appreciation) depreciation on our Credit Facility, 2019 Notes and 2025 Notes totaled $(0.2) million and $2.8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200" w:firstLine="68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year ended September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Purchases of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Sale of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Advances to</w:t>
            </w:r>
          </w:p>
        </w:tc>
        <w:tc>
          <w:tcPr>
            <w:tcW w:w="16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Affiliates</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Accrued</w:t>
            </w:r>
          </w:p>
        </w:tc>
        <w:tc>
          <w:tcPr>
            <w:tcW w:w="1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 *</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21,942,989</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1,990,168</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21,210,823</w:t>
            </w:r>
          </w:p>
        </w:tc>
        <w:tc>
          <w:tcPr>
            <w:tcW w:w="3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1,659,972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17,552,044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22,592,260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(72,539,605)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4,059,881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17,805,936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1,329,930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(1,126,015)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1,341,888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11,283,172</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21,265,345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9,196,328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707,326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21,268,379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L.P.</w:t>
            </w:r>
          </w:p>
        </w:tc>
        <w:tc>
          <w:tcPr>
            <w:tcW w:w="18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2,500,165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1,694,296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1,650,729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33,470,058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3,634,291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33,645,241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107,787,844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59,061,507</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(77,165,620)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13,393,526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103,058,344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63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Excluding delayed draws.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42"/>
        </w:trPr>
        <w:tc>
          <w:tcPr>
            <w:tcW w:w="7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r>
      <w:tr>
        <w:trPr>
          <w:trHeight w:val="142"/>
        </w:trPr>
        <w:tc>
          <w:tcPr>
            <w:tcW w:w="80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110,983,477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91,777,652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63,353,100</w:t>
            </w:r>
          </w:p>
        </w:tc>
        <w:tc>
          <w:tcPr>
            <w:tcW w:w="260" w:type="dxa"/>
            <w:vAlign w:val="bottom"/>
            <w:shd w:val="clear" w:color="auto" w:fill="CCEEFF"/>
          </w:tcPr>
          <w:p>
            <w:pPr>
              <w:spacing w:after="0"/>
              <w:rPr>
                <w:sz w:val="12"/>
                <w:szCs w:val="12"/>
                <w:color w:val="auto"/>
              </w:rPr>
            </w:pP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basic/diluted and weighted average shares</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67,058,474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66,380,829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52,969,278*</w:t>
            </w:r>
          </w:p>
        </w:tc>
      </w:tr>
      <w:tr>
        <w:trPr>
          <w:trHeight w:val="149"/>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63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50" w:lineRule="exact"/>
        <w:rPr>
          <w:sz w:val="20"/>
          <w:szCs w:val="20"/>
          <w:color w:val="auto"/>
        </w:rPr>
      </w:pPr>
    </w:p>
    <w:p>
      <w:pPr>
        <w:ind w:left="180" w:hanging="100"/>
        <w:spacing w:after="0"/>
        <w:tabs>
          <w:tab w:leader="none" w:pos="180" w:val="left"/>
        </w:tabs>
        <w:numPr>
          <w:ilvl w:val="1"/>
          <w:numId w:val="96"/>
        </w:numPr>
        <w:rPr>
          <w:rFonts w:ascii="Arial" w:cs="Arial" w:eastAsia="Arial" w:hAnsi="Arial"/>
          <w:sz w:val="14"/>
          <w:szCs w:val="14"/>
          <w:color w:val="auto"/>
        </w:rPr>
      </w:pPr>
      <w:r>
        <w:rPr>
          <w:rFonts w:ascii="Arial" w:cs="Arial" w:eastAsia="Arial" w:hAnsi="Arial"/>
          <w:sz w:val="14"/>
          <w:szCs w:val="14"/>
          <w:color w:val="auto"/>
        </w:rPr>
        <w:t>The denominator for diluted weighted average shares was 52,975,015 shares.</w:t>
      </w:r>
    </w:p>
    <w:p>
      <w:pPr>
        <w:spacing w:after="0" w:line="199" w:lineRule="exact"/>
        <w:rPr>
          <w:rFonts w:ascii="Arial" w:cs="Arial" w:eastAsia="Arial" w:hAnsi="Arial"/>
          <w:sz w:val="14"/>
          <w:szCs w:val="14"/>
          <w:color w:val="auto"/>
        </w:rPr>
      </w:pPr>
    </w:p>
    <w:p>
      <w:pPr>
        <w:ind w:left="160" w:hanging="152"/>
        <w:spacing w:after="0"/>
        <w:tabs>
          <w:tab w:leader="none" w:pos="16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TAXES AND DISTRIBUTIONS</w:t>
      </w:r>
    </w:p>
    <w:p>
      <w:pPr>
        <w:spacing w:after="0" w:line="127" w:lineRule="exact"/>
        <w:rPr>
          <w:sz w:val="20"/>
          <w:szCs w:val="20"/>
          <w:color w:val="auto"/>
        </w:rPr>
      </w:pPr>
    </w:p>
    <w:p>
      <w:pPr>
        <w:ind w:right="80" w:firstLine="685"/>
        <w:spacing w:after="0" w:line="234"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Dividends from net realized capital gains, if any, are normally declared and paid annually, but the Company may make distributions on a more frequent basis to comply with the distribution requirements for RICs under the Code.</w:t>
      </w:r>
    </w:p>
    <w:p>
      <w:pPr>
        <w:spacing w:after="0" w:line="115" w:lineRule="exact"/>
        <w:rPr>
          <w:sz w:val="20"/>
          <w:szCs w:val="20"/>
          <w:color w:val="auto"/>
        </w:rPr>
      </w:pPr>
    </w:p>
    <w:p>
      <w:pPr>
        <w:ind w:right="360" w:firstLine="685"/>
        <w:spacing w:after="0" w:line="253" w:lineRule="auto"/>
        <w:rPr>
          <w:sz w:val="20"/>
          <w:szCs w:val="20"/>
          <w:color w:val="auto"/>
        </w:rPr>
      </w:pPr>
      <w:r>
        <w:rPr>
          <w:rFonts w:ascii="Arial" w:cs="Arial" w:eastAsia="Arial" w:hAnsi="Arial"/>
          <w:sz w:val="14"/>
          <w:szCs w:val="14"/>
          <w:color w:val="auto"/>
        </w:rPr>
        <w:t>As of September 30, 2014 and 2013, the cost of investments for federal income tax purposes was $1,316.9 million and $1,089.8 million, respectively, resulting in a gross unrealized appreciation of $70.1 million and $76.8 million, respectively, and depreciation of $68.9 million and $88.4 million,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40" w:type="dxa"/>
            <w:vAlign w:val="bottom"/>
          </w:tcPr>
          <w:p>
            <w:pPr>
              <w:ind w:left="700"/>
              <w:spacing w:after="0"/>
              <w:rPr>
                <w:sz w:val="20"/>
                <w:szCs w:val="20"/>
                <w:color w:val="auto"/>
              </w:rPr>
            </w:pPr>
            <w:r>
              <w:rPr>
                <w:rFonts w:ascii="Arial" w:cs="Arial" w:eastAsia="Arial" w:hAnsi="Arial"/>
                <w:sz w:val="14"/>
                <w:szCs w:val="14"/>
                <w:color w:val="auto"/>
              </w:rPr>
              <w:t>The following differences were reclassified for tax purposes:</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96"/>
        </w:trPr>
        <w:tc>
          <w:tcPr>
            <w:tcW w:w="7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6"/>
              </w:rPr>
              <w:t>Year Ended September 30,</w:t>
            </w:r>
          </w:p>
        </w:tc>
        <w:tc>
          <w:tcPr>
            <w:tcW w:w="760" w:type="dxa"/>
            <w:vAlign w:val="bottom"/>
            <w:tcBorders>
              <w:bottom w:val="single" w:sz="8" w:color="auto"/>
            </w:tcBorders>
          </w:tcPr>
          <w:p>
            <w:pPr>
              <w:spacing w:after="0"/>
              <w:rPr>
                <w:sz w:val="24"/>
                <w:szCs w:val="24"/>
                <w:color w:val="auto"/>
              </w:rPr>
            </w:pPr>
          </w:p>
        </w:tc>
      </w:tr>
      <w:tr>
        <w:trPr>
          <w:trHeight w:val="156"/>
        </w:trPr>
        <w:tc>
          <w:tcPr>
            <w:tcW w:w="70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2012</w:t>
            </w:r>
          </w:p>
        </w:tc>
      </w:tr>
      <w:tr>
        <w:trPr>
          <w:trHeight w:val="142"/>
        </w:trPr>
        <w:tc>
          <w:tcPr>
            <w:tcW w:w="7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(Decrease) increase in paid-in capital</w:t>
            </w:r>
          </w:p>
        </w:tc>
        <w:tc>
          <w:tcPr>
            <w:tcW w:w="10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903,627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276,902</w:t>
            </w:r>
          </w:p>
        </w:tc>
      </w:tr>
      <w:tr>
        <w:trPr>
          <w:trHeight w:val="149"/>
        </w:trPr>
        <w:tc>
          <w:tcPr>
            <w:tcW w:w="7040" w:type="dxa"/>
            <w:vAlign w:val="bottom"/>
          </w:tcPr>
          <w:p>
            <w:pPr>
              <w:spacing w:after="0" w:line="149" w:lineRule="exact"/>
              <w:rPr>
                <w:sz w:val="20"/>
                <w:szCs w:val="20"/>
                <w:color w:val="auto"/>
              </w:rPr>
            </w:pPr>
            <w:r>
              <w:rPr>
                <w:rFonts w:ascii="Arial" w:cs="Arial" w:eastAsia="Arial" w:hAnsi="Arial"/>
                <w:sz w:val="14"/>
                <w:szCs w:val="14"/>
                <w:color w:val="auto"/>
              </w:rPr>
              <w:t>Increase (decrease) in accumulated net realized gain</w:t>
            </w:r>
          </w:p>
        </w:tc>
        <w:tc>
          <w:tcPr>
            <w:tcW w:w="10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1,519,280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(824,021)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2,176,918</w:t>
            </w:r>
          </w:p>
        </w:tc>
      </w:tr>
      <w:tr>
        <w:trPr>
          <w:trHeight w:val="149"/>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undistributed net investment income</w:t>
            </w:r>
          </w:p>
        </w:tc>
        <w:tc>
          <w:tcPr>
            <w:tcW w:w="10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(1,518,119)</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(79,606)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(2,453,820)</w:t>
            </w:r>
          </w:p>
        </w:tc>
      </w:tr>
      <w:tr>
        <w:trPr>
          <w:trHeight w:val="299"/>
        </w:trPr>
        <w:tc>
          <w:tcPr>
            <w:tcW w:w="7040" w:type="dxa"/>
            <w:vAlign w:val="bottom"/>
          </w:tcPr>
          <w:p>
            <w:pPr>
              <w:ind w:left="70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increase in net assets resulting from operations</w:t>
            </w:r>
          </w:p>
        </w:tc>
        <w:tc>
          <w:tcPr>
            <w:tcW w:w="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9"/>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110,983,477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91,777,652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63,353,100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Net realized (gain) loss on investments not taxable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8"/>
              </w:rPr>
              <w:t>(30,235,265)</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(17,687,211)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12,798,035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on investments, Credit Facility, 2019 Notes and 2025 Notes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(9,419,695)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(7,092,320)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(19,081,794)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(4,459,940)</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(3,035,861)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2,444,817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8,419,651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2,715,980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307,990</w:t>
            </w:r>
          </w:p>
        </w:tc>
        <w:tc>
          <w:tcPr>
            <w:tcW w:w="0" w:type="dxa"/>
            <w:vAlign w:val="bottom"/>
          </w:tcPr>
          <w:p>
            <w:pPr>
              <w:spacing w:after="0"/>
              <w:rPr>
                <w:sz w:val="1"/>
                <w:szCs w:val="1"/>
                <w:color w:val="auto"/>
              </w:rPr>
            </w:pPr>
          </w:p>
        </w:tc>
      </w:tr>
      <w:tr>
        <w:trPr>
          <w:trHeight w:val="156"/>
        </w:trPr>
        <w:tc>
          <w:tcPr>
            <w:tcW w:w="8360" w:type="dxa"/>
            <w:vAlign w:val="bottom"/>
            <w:gridSpan w:val="3"/>
          </w:tcPr>
          <w:p>
            <w:pPr>
              <w:spacing w:after="0" w:line="155" w:lineRule="exact"/>
              <w:rPr>
                <w:sz w:val="20"/>
                <w:szCs w:val="20"/>
                <w:color w:val="auto"/>
              </w:rPr>
            </w:pPr>
            <w:r>
              <w:rPr>
                <w:rFonts w:ascii="Arial" w:cs="Arial" w:eastAsia="Arial" w:hAnsi="Arial"/>
                <w:sz w:val="14"/>
                <w:szCs w:val="14"/>
                <w:color w:val="auto"/>
              </w:rPr>
              <w:t>Taxable income before deductions for distributions</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69"/>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75,288,228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66,678,240</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59,822,148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520" w:type="dxa"/>
            <w:vAlign w:val="bottom"/>
            <w:gridSpan w:val="5"/>
          </w:tcPr>
          <w:p>
            <w:pPr>
              <w:jc w:val="right"/>
              <w:spacing w:after="0"/>
              <w:rPr>
                <w:sz w:val="20"/>
                <w:szCs w:val="20"/>
                <w:color w:val="auto"/>
              </w:rPr>
            </w:pPr>
            <w:r>
              <w:rPr>
                <w:rFonts w:ascii="Arial" w:cs="Arial" w:eastAsia="Arial" w:hAnsi="Arial"/>
                <w:sz w:val="14"/>
                <w:szCs w:val="14"/>
                <w:color w:val="auto"/>
              </w:rPr>
              <w:t>The components of undistributed taxable income on a tax basis and reconciliation to accumulated deficit on a book basis are as follows: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w w:val="92"/>
              </w:rPr>
              <w:t>As of September 30,</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Undistributed taxable income</w:t>
            </w:r>
          </w:p>
        </w:tc>
        <w:tc>
          <w:tcPr>
            <w:tcW w:w="4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16,082,048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15,325,379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18,634,553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Capital loss carry forward </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(8,518,111)</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(39,216,288)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(56,786,282)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 and other book to tax differences</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(31,021,819)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(26,021,069)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(21,086,425)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appreciation (depreciation) of investments, Credit Facility, 2019 Notes and 2025 Notes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(1,072,637)</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(8,727,689)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(15,815,138)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accumulated deficit – book basis</w:t>
            </w:r>
          </w:p>
        </w:tc>
        <w:tc>
          <w:tcPr>
            <w:tcW w:w="180" w:type="dxa"/>
            <w:vAlign w:val="bottom"/>
            <w:gridSpan w:val="3"/>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(24,530,519)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(58,639,667)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(75,053,292)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0" w:hanging="320"/>
        <w:spacing w:after="0"/>
        <w:tabs>
          <w:tab w:leader="none" w:pos="400" w:val="left"/>
        </w:tabs>
        <w:numPr>
          <w:ilvl w:val="0"/>
          <w:numId w:val="97"/>
        </w:numPr>
        <w:rPr>
          <w:rFonts w:ascii="Arial" w:cs="Arial" w:eastAsia="Arial" w:hAnsi="Arial"/>
          <w:sz w:val="12"/>
          <w:szCs w:val="12"/>
          <w:color w:val="auto"/>
        </w:rPr>
      </w:pPr>
      <w:r>
        <w:rPr>
          <w:rFonts w:ascii="Arial" w:cs="Arial" w:eastAsia="Arial" w:hAnsi="Arial"/>
          <w:sz w:val="14"/>
          <w:szCs w:val="14"/>
          <w:color w:val="auto"/>
        </w:rPr>
        <w:t>As of September 30, 2014, the capital loss carry forward of $8.5 million expires, if not utilized against future capital gains in 2018.</w:t>
      </w:r>
    </w:p>
    <w:p>
      <w:pPr>
        <w:spacing w:after="0" w:line="123" w:lineRule="exact"/>
        <w:rPr>
          <w:sz w:val="20"/>
          <w:szCs w:val="20"/>
          <w:color w:val="auto"/>
        </w:rPr>
      </w:pPr>
    </w:p>
    <w:p>
      <w:pPr>
        <w:ind w:right="240" w:firstLine="685"/>
        <w:spacing w:after="0" w:line="25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fiscal years ended September 30, 2014, 2013 and 2012 were solely from ordinary income and totaled $76.9 million, or $1.12 per share, $74.4 million, or $1.12 per share and $60.1 million, or $1.12 per share,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2014</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EQUIVALENTS</w:t>
      </w:r>
    </w:p>
    <w:p>
      <w:pPr>
        <w:spacing w:after="0" w:line="140" w:lineRule="exact"/>
        <w:rPr>
          <w:sz w:val="20"/>
          <w:szCs w:val="20"/>
          <w:color w:val="auto"/>
        </w:rPr>
      </w:pPr>
    </w:p>
    <w:p>
      <w:pPr>
        <w:ind w:right="40" w:firstLine="685"/>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2014 and 2013, cash and cash equivalents consisted of $66.5 million and $58.4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10.49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10.22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10.13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10.69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Distributions of net investment income to stockholders </w:t>
            </w:r>
            <w:r>
              <w:rPr>
                <w:rFonts w:ascii="Arial" w:cs="Arial" w:eastAsia="Arial" w:hAnsi="Arial"/>
                <w:sz w:val="12"/>
                <w:szCs w:val="12"/>
                <w:color w:val="auto"/>
              </w:rPr>
              <w:t>(1), (2)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Accretive (Dilutive) effect of common stock</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xml:space="preserve">issuance </w:t>
            </w:r>
            <w:r>
              <w:rPr>
                <w:rFonts w:ascii="Arial" w:cs="Arial" w:eastAsia="Arial" w:hAnsi="Arial"/>
                <w:sz w:val="12"/>
                <w:szCs w:val="12"/>
                <w:color w:val="auto"/>
              </w:rPr>
              <w:t>(1)</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0.03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color w:val="auto"/>
              </w:rPr>
              <w:t>Net asset value, end of year</w:t>
            </w:r>
          </w:p>
        </w:tc>
        <w:tc>
          <w:tcPr>
            <w:tcW w:w="5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w:t>
            </w: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5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 share market value, end of year</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10.91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17.37%</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28.71%</w:t>
            </w:r>
          </w:p>
        </w:tc>
        <w:tc>
          <w:tcPr>
            <w:tcW w:w="1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75,092,911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66,499,327</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65,514,503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45,689,781</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36,158,772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2.60%</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3.08%</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10.26%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9.60%</w:t>
            </w:r>
          </w:p>
        </w:tc>
        <w:tc>
          <w:tcPr>
            <w:tcW w:w="12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10.32%</w:t>
            </w:r>
          </w:p>
        </w:tc>
        <w:tc>
          <w:tcPr>
            <w:tcW w:w="12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year</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828,009,949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697,506,199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w w:val="95"/>
              </w:rPr>
              <w:t>669,717,047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462,657,196</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386,575,223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5"/>
              </w:rPr>
              <w:t>526,252,068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363,246,849</w:t>
            </w:r>
          </w:p>
        </w:tc>
        <w:tc>
          <w:tcPr>
            <w:tcW w:w="4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5"/>
              </w:rPr>
              <w:t>340,868,033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278,294,433</w:t>
            </w:r>
          </w:p>
        </w:tc>
        <w:tc>
          <w:tcPr>
            <w:tcW w:w="3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246,216,548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(5)</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6.60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6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4,261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5,636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2,937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(7)</w:t>
            </w:r>
          </w:p>
        </w:tc>
        <w:tc>
          <w:tcPr>
            <w:tcW w:w="6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24.51</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N/A</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Portfolio turnover ratio</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50.66%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40.91%</w:t>
            </w:r>
          </w:p>
        </w:tc>
        <w:tc>
          <w:tcPr>
            <w:tcW w:w="12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40.89%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40" w:hanging="332"/>
        <w:spacing w:after="0" w:line="221"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9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200" w:hanging="332"/>
        <w:spacing w:after="0" w:line="237" w:lineRule="auto"/>
        <w:tabs>
          <w:tab w:leader="none" w:pos="340" w:val="left"/>
        </w:tabs>
        <w:numPr>
          <w:ilvl w:val="0"/>
          <w:numId w:val="98"/>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260" w:firstLine="685"/>
        <w:spacing w:after="0" w:line="234" w:lineRule="auto"/>
        <w:rPr>
          <w:sz w:val="20"/>
          <w:szCs w:val="20"/>
          <w:color w:val="auto"/>
        </w:rPr>
      </w:pPr>
      <w:r>
        <w:rPr>
          <w:rFonts w:ascii="Arial" w:cs="Arial" w:eastAsia="Arial" w:hAnsi="Arial"/>
          <w:sz w:val="14"/>
          <w:szCs w:val="14"/>
          <w:color w:val="auto"/>
        </w:rPr>
        <w:t>Our annualized weighted average cost of debt for the fiscal year ended September 30, 2014 and 2013, inclusive of the fee on the undrawn commitment on the Credit Facility and amortized upfront fees on SBA debentures but excluding debt issuance costs, was 3.85% and 4.24%,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23" w:lineRule="exact"/>
        <w:rPr>
          <w:sz w:val="20"/>
          <w:szCs w:val="20"/>
          <w:color w:val="auto"/>
        </w:rPr>
      </w:pPr>
    </w:p>
    <w:p>
      <w:pPr>
        <w:ind w:right="20" w:firstLine="685"/>
        <w:spacing w:after="0" w:line="228" w:lineRule="auto"/>
        <w:rPr>
          <w:sz w:val="20"/>
          <w:szCs w:val="20"/>
          <w:color w:val="auto"/>
        </w:rPr>
      </w:pPr>
      <w:r>
        <w:rPr>
          <w:rFonts w:ascii="Arial" w:cs="Arial" w:eastAsia="Arial" w:hAnsi="Arial"/>
          <w:sz w:val="14"/>
          <w:szCs w:val="14"/>
          <w:color w:val="auto"/>
        </w:rPr>
        <w:t>On June 25, 2014, we amended and restated our multi-currency Credit Facility to increase the amount available for borrowing from $445 million to $545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September 30, 2014 and September 30, 2013, there was $55.2 million and $145.5 million (including a temporary draw of $28.0 million), respectively, in outstanding borrowings under the Credit Facility, with a weighted average interest rate at the time of 2.80%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firstLine="685"/>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 million as of September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105" w:lineRule="exact"/>
        <w:rPr>
          <w:sz w:val="20"/>
          <w:szCs w:val="20"/>
          <w:color w:val="auto"/>
        </w:rPr>
      </w:pPr>
    </w:p>
    <w:p>
      <w:pPr>
        <w:ind w:right="60" w:firstLine="685"/>
        <w:spacing w:after="0" w:line="238" w:lineRule="auto"/>
        <w:rPr>
          <w:sz w:val="20"/>
          <w:szCs w:val="20"/>
          <w:color w:val="auto"/>
        </w:rPr>
      </w:pPr>
      <w:r>
        <w:rPr>
          <w:rFonts w:ascii="Arial" w:cs="Arial" w:eastAsia="Arial" w:hAnsi="Arial"/>
          <w:sz w:val="14"/>
          <w:szCs w:val="14"/>
          <w:color w:val="auto"/>
        </w:rPr>
        <w:t>As of September 30, 2014 and September 30, 2013, our SBIC Funds had $225 million and $150 million in debt commitments, respectively, and $150 million was drawn for each period. Both SBA debentures’ upfront fees of 3.43% consist of a commitment fee of 1.00% and an issuance discount of 2.43%, which are being amortized. Our fixed-rate SBA debentures as of September 30, 2014 and September 30, 2013 were as follows:</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185"/>
        </w:trPr>
        <w:tc>
          <w:tcPr>
            <w:tcW w:w="1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Issuance Dates</w:t>
            </w:r>
          </w:p>
        </w:tc>
        <w:tc>
          <w:tcPr>
            <w:tcW w:w="3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34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ind w:left="184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29, 2011</w:t>
            </w:r>
          </w:p>
        </w:tc>
        <w:tc>
          <w:tcPr>
            <w:tcW w:w="1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March 1, 2021</w:t>
            </w:r>
          </w:p>
        </w:tc>
        <w:tc>
          <w:tcPr>
            <w:tcW w:w="2500" w:type="dxa"/>
            <w:vAlign w:val="bottom"/>
            <w:gridSpan w:val="2"/>
          </w:tcPr>
          <w:p>
            <w:pPr>
              <w:ind w:left="184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September 21, 2011</w:t>
            </w:r>
          </w:p>
        </w:tc>
        <w:tc>
          <w:tcPr>
            <w:tcW w:w="1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September 1, 2021</w:t>
            </w:r>
          </w:p>
        </w:tc>
        <w:tc>
          <w:tcPr>
            <w:tcW w:w="2500" w:type="dxa"/>
            <w:vAlign w:val="bottom"/>
            <w:gridSpan w:val="2"/>
            <w:shd w:val="clear" w:color="auto" w:fill="CCEEFF"/>
          </w:tcPr>
          <w:p>
            <w:pPr>
              <w:ind w:left="1840"/>
              <w:spacing w:after="0" w:line="149" w:lineRule="exact"/>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w w:val="98"/>
              </w:rPr>
              <w:t>Weighted Average Rate / Total</w:t>
            </w: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4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0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2179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64" w:lineRule="exact"/>
        <w:rPr>
          <w:sz w:val="20"/>
          <w:szCs w:val="20"/>
          <w:color w:val="auto"/>
        </w:rPr>
      </w:pPr>
    </w:p>
    <w:p>
      <w:pPr>
        <w:ind w:left="1740" w:hanging="174"/>
        <w:spacing w:after="0"/>
        <w:tabs>
          <w:tab w:leader="none" w:pos="1740" w:val="left"/>
        </w:tabs>
        <w:numPr>
          <w:ilvl w:val="0"/>
          <w:numId w:val="99"/>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50" w:lineRule="exact"/>
        <w:rPr>
          <w:sz w:val="20"/>
          <w:szCs w:val="20"/>
          <w:color w:val="auto"/>
        </w:rPr>
      </w:pPr>
    </w:p>
    <w:p>
      <w:pPr>
        <w:ind w:firstLine="685"/>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2014, our SBIC Funds were in compliance with their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40" w:firstLine="685"/>
        <w:spacing w:after="0" w:line="234"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ind w:right="380" w:firstLine="685"/>
        <w:spacing w:after="0" w:line="256" w:lineRule="auto"/>
        <w:rPr>
          <w:sz w:val="20"/>
          <w:szCs w:val="20"/>
          <w:color w:val="auto"/>
        </w:rPr>
      </w:pPr>
      <w:r>
        <w:rPr>
          <w:rFonts w:ascii="Arial" w:cs="Arial" w:eastAsia="Arial" w:hAnsi="Arial"/>
          <w:sz w:val="13"/>
          <w:szCs w:val="13"/>
          <w:color w:val="auto"/>
        </w:rPr>
        <w:t>In January 2013, we issued $71.3 million in aggregate principal amount of 2025 Notes, including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2014</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firstLine="685"/>
        <w:spacing w:after="0" w:line="234"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and/or revolving lines of credit, if any.</w:t>
      </w:r>
    </w:p>
    <w:p>
      <w:pPr>
        <w:spacing w:after="0" w:line="115" w:lineRule="exact"/>
        <w:rPr>
          <w:sz w:val="20"/>
          <w:szCs w:val="20"/>
          <w:color w:val="auto"/>
        </w:rPr>
      </w:pPr>
    </w:p>
    <w:p>
      <w:pPr>
        <w:ind w:right="120" w:firstLine="685"/>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September 30, 2014 our maximum guaranty is $11.3 million. Based on SPH’s and industry historical loss rates we believe the risk of loss is remote, thus, we have not recorded a liability associated with the guaranties. The current guaranties will decline over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820"/>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5"/>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decimal"/>
      <w:start w:val="2"/>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2"/>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lowerLetter"/>
      <w:start w:val="3"/>
    </w:lvl>
  </w:abstractNum>
  <w:abstractNum w:abstractNumId="34">
    <w:nsid w:val="1F48EAA1"/>
    <w:multiLevelType w:val="hybridMultilevel"/>
    <w:lvl w:ilvl="0">
      <w:lvlJc w:val="left"/>
      <w:lvlText w:val="%1)"/>
      <w:numFmt w:val="lowerLetter"/>
      <w:start w:val="4"/>
    </w:lvl>
  </w:abstractNum>
  <w:abstractNum w:abstractNumId="35">
    <w:nsid w:val="1381823A"/>
    <w:multiLevelType w:val="hybridMultilevel"/>
    <w:lvl w:ilvl="0">
      <w:lvlJc w:val="left"/>
      <w:lvlText w:val="%1)"/>
      <w:numFmt w:val="lowerLetter"/>
      <w:start w:val="1"/>
    </w:lvl>
  </w:abstractNum>
  <w:abstractNum w:abstractNumId="36">
    <w:nsid w:val="5DB70AE5"/>
    <w:multiLevelType w:val="hybridMultilevel"/>
    <w:lvl w:ilvl="0">
      <w:lvlJc w:val="left"/>
      <w:lvlText w:val="%1)"/>
      <w:numFmt w:val="lowerLetter"/>
      <w:start w:val="2"/>
    </w:lvl>
  </w:abstractNum>
  <w:abstractNum w:abstractNumId="37">
    <w:nsid w:val="100F8FCA"/>
    <w:multiLevelType w:val="hybridMultilevel"/>
    <w:lvl w:ilvl="0">
      <w:lvlJc w:val="left"/>
      <w:lvlText w:val="%1)"/>
      <w:numFmt w:val="lowerLetter"/>
      <w:start w:val="3"/>
    </w:lvl>
  </w:abstractNum>
  <w:abstractNum w:abstractNumId="38">
    <w:nsid w:val="6590700B"/>
    <w:multiLevelType w:val="hybridMultilevel"/>
    <w:lvl w:ilvl="0">
      <w:lvlJc w:val="left"/>
      <w:lvlText w:val="%1)"/>
      <w:numFmt w:val="lowerLetter"/>
      <w:start w:val="4"/>
    </w:lvl>
  </w:abstractNum>
  <w:abstractNum w:abstractNumId="39">
    <w:nsid w:val="15014ACB"/>
    <w:multiLevelType w:val="hybridMultilevel"/>
    <w:lvl w:ilvl="0">
      <w:lvlJc w:val="left"/>
      <w:lvlText w:val="%1)"/>
      <w:numFmt w:val="lowerLetter"/>
      <w:start w:val="5"/>
    </w:lvl>
  </w:abstractNum>
  <w:abstractNum w:abstractNumId="40">
    <w:nsid w:val="5F5E7FD0"/>
    <w:multiLevelType w:val="hybridMultilevel"/>
    <w:lvl w:ilvl="0">
      <w:lvlJc w:val="left"/>
      <w:lvlText w:val="%1)"/>
      <w:numFmt w:val="lowerLetter"/>
      <w:start w:val="6"/>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lvl>
    <w:lvl w:ilvl="1">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lowerLetter"/>
      <w:start w:val="2"/>
    </w:lvl>
  </w:abstractNum>
  <w:abstractNum w:abstractNumId="58">
    <w:nsid w:val="1A32234B"/>
    <w:multiLevelType w:val="hybridMultilevel"/>
    <w:lvl w:ilvl="0">
      <w:lvlJc w:val="left"/>
      <w:lvlText w:val="(%1)"/>
      <w:numFmt w:val="decimal"/>
      <w:start w:val="3"/>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decimal"/>
      <w:start w:val="2"/>
    </w:lvl>
  </w:abstractNum>
  <w:abstractNum w:abstractNumId="82">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4A2AC315"/>
    <w:multiLevelType w:val="hybridMultilevel"/>
    <w:lvl w:ilvl="0">
      <w:lvlJc w:val="left"/>
      <w:lvlText w:val="(%1)"/>
      <w:numFmt w:val="decimal"/>
      <w:start w:val="2"/>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lvl w:ilvl="1">
      <w:lvlJc w:val="left"/>
      <w:lvlText w:val="%2)"/>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1."/>
      <w:numFmt w:val="decimal"/>
      <w:start w:val="7"/>
    </w:lvl>
    <w:lvl w:ilvl="1">
      <w:lvlJc w:val="left"/>
      <w:lvlText w:val="*"/>
      <w:numFmt w:val="bullet"/>
      <w:start w:val="1"/>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2019-12-08T18:43:52Z</dcterms:created>
  <dcterms:modified xsi:type="dcterms:W3CDTF">2019-12-08T18:43:52Z</dcterms:modified>
</cp:coreProperties>
</file>