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0001396917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PennantPark Investment Corporation 814-00736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1691 Michigan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Miami Beach</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33319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1-786-297-9500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Jeffrey Flug</w:t>
      </w:r>
    </w:p>
    <w:p>
      <w:pPr>
        <w:spacing w:after="0" w:line="44"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121533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718260.03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65296094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12/08/2025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hanging="1038"/>
        <w:spacing w:after="0" w:line="258" w:lineRule="auto"/>
        <w:rPr>
          <w:sz w:val="20"/>
          <w:szCs w:val="20"/>
          <w:color w:val="auto"/>
        </w:rPr>
      </w:pPr>
      <w:r>
        <w:rPr>
          <w:rFonts w:ascii="Times New Roman" w:cs="Times New Roman" w:eastAsia="Times New Roman" w:hAnsi="Times New Roman"/>
          <w:sz w:val="37"/>
          <w:szCs w:val="37"/>
          <w:color w:val="auto"/>
          <w:vertAlign w:val="subscript"/>
        </w:rPr>
        <w:t>02/21/2013</w:t>
      </w:r>
      <w:r>
        <w:rPr>
          <w:rFonts w:ascii="Times New Roman" w:cs="Times New Roman" w:eastAsia="Times New Roman" w:hAnsi="Times New Roman"/>
          <w:sz w:val="19"/>
          <w:szCs w:val="19"/>
          <w:color w:val="auto"/>
        </w:rPr>
        <w:t xml:space="preserve"> Acquired from public market</w:t>
      </w: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02/13/2013</w:t>
      </w:r>
      <w:r>
        <w:rPr>
          <w:rFonts w:ascii="Times New Roman" w:cs="Times New Roman" w:eastAsia="Times New Roman" w:hAnsi="Times New Roman"/>
          <w:sz w:val="19"/>
          <w:szCs w:val="19"/>
          <w:color w:val="auto"/>
        </w:rPr>
        <w:t xml:space="preserve"> Acquired from public market</w:t>
      </w:r>
    </w:p>
    <w:p>
      <w:pPr>
        <w:spacing w:after="0" w:line="1" w:lineRule="exact"/>
        <w:rPr>
          <w:sz w:val="20"/>
          <w:szCs w:val="20"/>
          <w:color w:val="auto"/>
        </w:rPr>
      </w:pP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04/04/2013</w:t>
      </w:r>
      <w:r>
        <w:rPr>
          <w:rFonts w:ascii="Times New Roman" w:cs="Times New Roman" w:eastAsia="Times New Roman" w:hAnsi="Times New Roman"/>
          <w:sz w:val="19"/>
          <w:szCs w:val="19"/>
          <w:color w:val="auto"/>
        </w:rPr>
        <w:t xml:space="preserve"> Acquired from public market</w:t>
      </w:r>
    </w:p>
    <w:p>
      <w:pPr>
        <w:spacing w:after="0" w:line="1" w:lineRule="exact"/>
        <w:rPr>
          <w:sz w:val="20"/>
          <w:szCs w:val="20"/>
          <w:color w:val="auto"/>
        </w:rPr>
      </w:pP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10/01/2010</w:t>
      </w:r>
      <w:r>
        <w:rPr>
          <w:rFonts w:ascii="Times New Roman" w:cs="Times New Roman" w:eastAsia="Times New Roman" w:hAnsi="Times New Roman"/>
          <w:sz w:val="19"/>
          <w:szCs w:val="19"/>
          <w:color w:val="auto"/>
        </w:rPr>
        <w:t xml:space="preserve"> Acquired from public market</w:t>
      </w:r>
    </w:p>
    <w:p>
      <w:pPr>
        <w:spacing w:after="0" w:line="1" w:lineRule="exact"/>
        <w:rPr>
          <w:sz w:val="20"/>
          <w:szCs w:val="20"/>
          <w:color w:val="auto"/>
        </w:rPr>
      </w:pP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02/13/2012</w:t>
      </w:r>
      <w:r>
        <w:rPr>
          <w:rFonts w:ascii="Times New Roman" w:cs="Times New Roman" w:eastAsia="Times New Roman" w:hAnsi="Times New Roman"/>
          <w:sz w:val="19"/>
          <w:szCs w:val="19"/>
          <w:color w:val="auto"/>
        </w:rPr>
        <w:t xml:space="preserve"> Acquired from public market</w:t>
      </w:r>
    </w:p>
    <w:p>
      <w:pPr>
        <w:spacing w:after="0" w:line="1" w:lineRule="exact"/>
        <w:rPr>
          <w:sz w:val="20"/>
          <w:szCs w:val="20"/>
          <w:color w:val="auto"/>
        </w:rPr>
      </w:pP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04/01/2010</w:t>
      </w:r>
      <w:r>
        <w:rPr>
          <w:rFonts w:ascii="Times New Roman" w:cs="Times New Roman" w:eastAsia="Times New Roman" w:hAnsi="Times New Roman"/>
          <w:sz w:val="19"/>
          <w:szCs w:val="19"/>
          <w:color w:val="auto"/>
        </w:rPr>
        <w:t xml:space="preserve"> Acquired from public market</w:t>
      </w:r>
    </w:p>
    <w:p>
      <w:pPr>
        <w:spacing w:after="0" w:line="1" w:lineRule="exact"/>
        <w:rPr>
          <w:sz w:val="20"/>
          <w:szCs w:val="20"/>
          <w:color w:val="auto"/>
        </w:rPr>
      </w:pP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12/31/2007</w:t>
      </w:r>
      <w:r>
        <w:rPr>
          <w:rFonts w:ascii="Times New Roman" w:cs="Times New Roman" w:eastAsia="Times New Roman" w:hAnsi="Times New Roman"/>
          <w:sz w:val="19"/>
          <w:szCs w:val="19"/>
          <w:color w:val="auto"/>
        </w:rPr>
        <w:t xml:space="preserve"> Acquired from public market</w:t>
      </w:r>
    </w:p>
    <w:p>
      <w:pPr>
        <w:spacing w:after="0" w:line="1" w:lineRule="exact"/>
        <w:rPr>
          <w:sz w:val="20"/>
          <w:szCs w:val="20"/>
          <w:color w:val="auto"/>
        </w:rPr>
      </w:pP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07/01/2010</w:t>
      </w:r>
      <w:r>
        <w:rPr>
          <w:rFonts w:ascii="Times New Roman" w:cs="Times New Roman" w:eastAsia="Times New Roman" w:hAnsi="Times New Roman"/>
          <w:sz w:val="19"/>
          <w:szCs w:val="19"/>
          <w:color w:val="auto"/>
        </w:rPr>
        <w:t xml:space="preserve"> Acquired from public market</w:t>
      </w:r>
    </w:p>
    <w:p>
      <w:pPr>
        <w:spacing w:after="0" w:line="1" w:lineRule="exact"/>
        <w:rPr>
          <w:sz w:val="20"/>
          <w:szCs w:val="20"/>
          <w:color w:val="auto"/>
        </w:rPr>
      </w:pP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01/04/2010</w:t>
      </w:r>
      <w:r>
        <w:rPr>
          <w:rFonts w:ascii="Times New Roman" w:cs="Times New Roman" w:eastAsia="Times New Roman" w:hAnsi="Times New Roman"/>
          <w:sz w:val="19"/>
          <w:szCs w:val="19"/>
          <w:color w:val="auto"/>
        </w:rPr>
        <w:t xml:space="preserve"> Acquired from public market</w:t>
      </w:r>
    </w:p>
    <w:p>
      <w:pPr>
        <w:spacing w:after="0" w:line="1" w:lineRule="exact"/>
        <w:rPr>
          <w:sz w:val="20"/>
          <w:szCs w:val="20"/>
          <w:color w:val="auto"/>
        </w:rPr>
      </w:pP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03/31/2008</w:t>
      </w:r>
      <w:r>
        <w:rPr>
          <w:rFonts w:ascii="Times New Roman" w:cs="Times New Roman" w:eastAsia="Times New Roman" w:hAnsi="Times New Roman"/>
          <w:sz w:val="19"/>
          <w:szCs w:val="19"/>
          <w:color w:val="auto"/>
        </w:rPr>
        <w:t xml:space="preserve"> Acquired from public market</w:t>
      </w:r>
    </w:p>
    <w:p>
      <w:pPr>
        <w:spacing w:after="0" w:line="1" w:lineRule="exact"/>
        <w:rPr>
          <w:sz w:val="20"/>
          <w:szCs w:val="20"/>
          <w:color w:val="auto"/>
        </w:rPr>
      </w:pP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10/01/2009</w:t>
      </w:r>
      <w:r>
        <w:rPr>
          <w:rFonts w:ascii="Times New Roman" w:cs="Times New Roman" w:eastAsia="Times New Roman" w:hAnsi="Times New Roman"/>
          <w:sz w:val="19"/>
          <w:szCs w:val="19"/>
          <w:color w:val="auto"/>
        </w:rPr>
        <w:t xml:space="preserve"> Acquired from public market</w:t>
      </w:r>
    </w:p>
    <w:p>
      <w:pPr>
        <w:spacing w:after="0" w:line="1" w:lineRule="exact"/>
        <w:rPr>
          <w:sz w:val="20"/>
          <w:szCs w:val="20"/>
          <w:color w:val="auto"/>
        </w:rPr>
      </w:pP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10/01/2008</w:t>
      </w:r>
      <w:r>
        <w:rPr>
          <w:rFonts w:ascii="Times New Roman" w:cs="Times New Roman" w:eastAsia="Times New Roman" w:hAnsi="Times New Roman"/>
          <w:sz w:val="19"/>
          <w:szCs w:val="19"/>
          <w:color w:val="auto"/>
        </w:rPr>
        <w:t xml:space="preserve"> Acquired from public market</w:t>
      </w:r>
    </w:p>
    <w:p>
      <w:pPr>
        <w:spacing w:after="0" w:line="1" w:lineRule="exact"/>
        <w:rPr>
          <w:sz w:val="20"/>
          <w:szCs w:val="20"/>
          <w:color w:val="auto"/>
        </w:rPr>
      </w:pP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06/30/2008</w:t>
      </w:r>
      <w:r>
        <w:rPr>
          <w:rFonts w:ascii="Times New Roman" w:cs="Times New Roman" w:eastAsia="Times New Roman" w:hAnsi="Times New Roman"/>
          <w:sz w:val="19"/>
          <w:szCs w:val="19"/>
          <w:color w:val="auto"/>
        </w:rPr>
        <w:t xml:space="preserve"> Acquired from public market</w:t>
      </w:r>
    </w:p>
    <w:p>
      <w:pPr>
        <w:spacing w:after="0" w:line="1" w:lineRule="exact"/>
        <w:rPr>
          <w:sz w:val="20"/>
          <w:szCs w:val="20"/>
          <w:color w:val="auto"/>
        </w:rPr>
      </w:pP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11/25/2015</w:t>
      </w:r>
      <w:r>
        <w:rPr>
          <w:rFonts w:ascii="Times New Roman" w:cs="Times New Roman" w:eastAsia="Times New Roman" w:hAnsi="Times New Roman"/>
          <w:sz w:val="19"/>
          <w:szCs w:val="19"/>
          <w:color w:val="auto"/>
        </w:rPr>
        <w:t xml:space="preserve"> Acquired from public market</w:t>
      </w:r>
    </w:p>
    <w:p>
      <w:pPr>
        <w:spacing w:after="0" w:line="1" w:lineRule="exact"/>
        <w:rPr>
          <w:sz w:val="20"/>
          <w:szCs w:val="20"/>
          <w:color w:val="auto"/>
        </w:rPr>
      </w:pP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07/01/2009</w:t>
      </w:r>
      <w:r>
        <w:rPr>
          <w:rFonts w:ascii="Times New Roman" w:cs="Times New Roman" w:eastAsia="Times New Roman" w:hAnsi="Times New Roman"/>
          <w:sz w:val="19"/>
          <w:szCs w:val="19"/>
          <w:color w:val="auto"/>
        </w:rPr>
        <w:t xml:space="preserve"> Acquired from public market</w:t>
      </w:r>
    </w:p>
    <w:p>
      <w:pPr>
        <w:spacing w:after="0" w:line="1" w:lineRule="exact"/>
        <w:rPr>
          <w:sz w:val="20"/>
          <w:szCs w:val="20"/>
          <w:color w:val="auto"/>
        </w:rPr>
      </w:pP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11/16/2015</w:t>
      </w:r>
      <w:r>
        <w:rPr>
          <w:rFonts w:ascii="Times New Roman" w:cs="Times New Roman" w:eastAsia="Times New Roman" w:hAnsi="Times New Roman"/>
          <w:sz w:val="19"/>
          <w:szCs w:val="19"/>
          <w:color w:val="auto"/>
        </w:rPr>
        <w:t xml:space="preserve"> Acquired from public market</w:t>
      </w:r>
    </w:p>
    <w:p>
      <w:pPr>
        <w:spacing w:after="0" w:line="1" w:lineRule="exact"/>
        <w:rPr>
          <w:sz w:val="20"/>
          <w:szCs w:val="20"/>
          <w:color w:val="auto"/>
        </w:rPr>
      </w:pP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04/01/2009</w:t>
      </w:r>
      <w:r>
        <w:rPr>
          <w:rFonts w:ascii="Times New Roman" w:cs="Times New Roman" w:eastAsia="Times New Roman" w:hAnsi="Times New Roman"/>
          <w:sz w:val="19"/>
          <w:szCs w:val="19"/>
          <w:color w:val="auto"/>
        </w:rPr>
        <w:t xml:space="preserve"> Acquired from public market</w:t>
      </w:r>
    </w:p>
    <w:p>
      <w:pPr>
        <w:spacing w:after="0" w:line="1" w:lineRule="exact"/>
        <w:rPr>
          <w:sz w:val="20"/>
          <w:szCs w:val="20"/>
          <w:color w:val="auto"/>
        </w:rPr>
      </w:pPr>
    </w:p>
    <w:p>
      <w:pPr>
        <w:ind w:hanging="1038"/>
        <w:spacing w:after="0" w:line="201" w:lineRule="auto"/>
        <w:rPr>
          <w:sz w:val="20"/>
          <w:szCs w:val="20"/>
          <w:color w:val="auto"/>
        </w:rPr>
      </w:pPr>
      <w:r>
        <w:rPr>
          <w:rFonts w:ascii="Times New Roman" w:cs="Times New Roman" w:eastAsia="Times New Roman" w:hAnsi="Times New Roman"/>
          <w:sz w:val="37"/>
          <w:szCs w:val="37"/>
          <w:color w:val="auto"/>
          <w:vertAlign w:val="subscript"/>
        </w:rPr>
        <w:t>01/02/2009</w:t>
      </w:r>
      <w:r>
        <w:rPr>
          <w:rFonts w:ascii="Times New Roman" w:cs="Times New Roman" w:eastAsia="Times New Roman" w:hAnsi="Times New Roman"/>
          <w:sz w:val="19"/>
          <w:szCs w:val="19"/>
          <w:color w:val="auto"/>
        </w:rPr>
        <w:t xml:space="preserve"> Acquired from public market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w:t>
            </w:r>
          </w:p>
        </w:tc>
        <w:tc>
          <w:tcPr>
            <w:tcW w:w="1860" w:type="dxa"/>
            <w:vAlign w:val="bottom"/>
          </w:tcPr>
          <w:p>
            <w:pPr>
              <w:spacing w:after="0"/>
              <w:rPr>
                <w:sz w:val="22"/>
                <w:szCs w:val="22"/>
                <w:color w:val="auto"/>
              </w:rPr>
            </w:pPr>
          </w:p>
        </w:tc>
      </w:tr>
      <w:tr>
        <w:trPr>
          <w:trHeight w:val="286"/>
        </w:trPr>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2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860" w:type="dxa"/>
            <w:vAlign w:val="bottom"/>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7060</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02/21/2013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35000</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02/13/2013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2149</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04/04/2013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2339</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10/01/2010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25530</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02/13/2012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2283</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04/01/2010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1477</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12/31/2007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2607</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07/01/2010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2440</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01/04/2010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1763</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03/31/2008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2597</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10/01/2009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2246</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10/01/2008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2091</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06/30/2008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10000</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11/25/2015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2944</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07/01/2009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10000</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11/16/2015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4577</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04/01/2009 Cash</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4430</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01/02/2009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-5981700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-5638800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-5295900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-4953000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-4610100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-4267835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-3924935</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-3582035</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-3239135</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-2896235</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-2553335</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-2210435</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-1867535</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-1524635</wp:posOffset>
            </wp:positionV>
            <wp:extent cx="12827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-1181735</wp:posOffset>
            </wp:positionV>
            <wp:extent cx="12827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-838835</wp:posOffset>
            </wp:positionV>
            <wp:extent cx="12827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-495935</wp:posOffset>
            </wp:positionV>
            <wp:extent cx="12827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3">
            <w:col w:w="1840" w:space="720"/>
            <w:col w:w="1280" w:space="420"/>
            <w:col w:w="6980"/>
          </w:cols>
          <w:pgMar w:left="320" w:top="98" w:right="339" w:bottom="0" w:gutter="0" w:footer="0" w:header="0"/>
        </w:sectPr>
      </w:pPr>
    </w:p>
    <w:p>
      <w:pPr>
        <w:spacing w:after="0" w:line="4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11/26/2025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149952.5</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33319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11/28/2025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90493.5</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33319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12/01/2025 21100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126789</w:t>
            </w: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1691 Michigan Avenue</w:t>
            </w:r>
          </w:p>
        </w:tc>
        <w:tc>
          <w:tcPr>
            <w:tcW w:w="28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33319</w:t>
            </w:r>
          </w:p>
        </w:tc>
        <w:tc>
          <w:tcPr>
            <w:tcW w:w="2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29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28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12/03/2025 10000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57211</w:t>
            </w: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33319</w:t>
            </w:r>
          </w:p>
        </w:tc>
        <w:tc>
          <w:tcPr>
            <w:tcW w:w="2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29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28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12/04/2025 23303</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133905.83</w:t>
            </w: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33319</w:t>
            </w:r>
          </w:p>
        </w:tc>
        <w:tc>
          <w:tcPr>
            <w:tcW w:w="2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29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28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12/05/2025 20000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116440</w:t>
            </w: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33319</w:t>
            </w:r>
          </w:p>
        </w:tc>
        <w:tc>
          <w:tcPr>
            <w:tcW w:w="2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shares to be sold by the Flug 2015 GS Trust.</w:t>
      </w:r>
    </w:p>
    <w:p>
      <w:pPr>
        <w:spacing w:after="0" w:line="56" w:lineRule="exact"/>
        <w:rPr>
          <w:sz w:val="20"/>
          <w:szCs w:val="20"/>
          <w:color w:val="auto"/>
        </w:rPr>
      </w:pPr>
    </w:p>
    <w:p>
      <w:pPr>
        <w:sectPr>
          <w:pgSz w:w="11900" w:h="16838" w:orient="portrait"/>
          <w:cols w:equalWidth="0" w:num="2">
            <w:col w:w="1820" w:space="720"/>
            <w:col w:w="8660"/>
          </w:cols>
          <w:pgMar w:left="320" w:top="102"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12/08/2025</w:t>
      </w:r>
    </w:p>
    <w:p>
      <w:pPr>
        <w:spacing w:after="0" w:line="50" w:lineRule="exact"/>
        <w:rPr>
          <w:sz w:val="20"/>
          <w:szCs w:val="20"/>
          <w:color w:val="auto"/>
        </w:rPr>
      </w:pPr>
    </w:p>
    <w:p>
      <w:pPr>
        <w:sectPr>
          <w:pgSz w:w="11900" w:h="16838" w:orient="portrait"/>
          <w:cols w:equalWidth="0" w:num="2">
            <w:col w:w="1820" w:space="720"/>
            <w:col w:w="8660"/>
          </w:cols>
          <w:pgMar w:left="320" w:top="102"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00"/>
          </w:cols>
          <w:pgMar w:left="320" w:top="102" w:right="379" w:bottom="1440" w:gutter="0" w:footer="0" w:header="0"/>
          <w:type w:val="continuous"/>
        </w:sectPr>
      </w:pPr>
    </w:p>
    <w:p>
      <w:pPr>
        <w:spacing w:after="0" w:line="345"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Jeffrey Flug</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2025-12-08T17:14:15Z</dcterms:created>
  <dcterms:modified xsi:type="dcterms:W3CDTF">2025-12-08T17:14:15Z</dcterms:modified>
</cp:coreProperties>
</file>