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333-192782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p>
        </w:tc>
        <w:tc>
          <w:tcPr>
            <w:tcW w:w="5140" w:type="dxa"/>
            <w:vAlign w:val="bottom"/>
            <w:gridSpan w:val="2"/>
          </w:tcPr>
          <w:p>
            <w:pPr>
              <w:ind w:left="660"/>
              <w:spacing w:after="0"/>
              <w:rPr>
                <w:sz w:val="20"/>
                <w:szCs w:val="20"/>
                <w:color w:val="auto"/>
              </w:rPr>
            </w:pPr>
            <w:r>
              <w:rPr>
                <w:rFonts w:ascii="Arial" w:cs="Arial" w:eastAsia="Arial" w:hAnsi="Arial"/>
                <w:sz w:val="18"/>
                <w:szCs w:val="18"/>
                <w:color w:val="auto"/>
                <w:w w:val="97"/>
              </w:rPr>
              <w:t>[TEXT OF COMMUNICATION SENT VIA BLOOMBERG]</w:t>
            </w:r>
          </w:p>
        </w:tc>
      </w:tr>
      <w:tr>
        <w:trPr>
          <w:trHeight w:val="392"/>
        </w:trPr>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PennantPark Investment Corporation Pricing Announcement</w:t>
            </w:r>
          </w:p>
        </w:tc>
        <w:tc>
          <w:tcPr>
            <w:tcW w:w="3200" w:type="dxa"/>
            <w:vAlign w:val="bottom"/>
          </w:tcPr>
          <w:p>
            <w:pPr>
              <w:spacing w:after="0"/>
              <w:rPr>
                <w:sz w:val="24"/>
                <w:szCs w:val="24"/>
                <w:color w:val="auto"/>
              </w:rPr>
            </w:pPr>
          </w:p>
        </w:tc>
      </w:tr>
      <w:tr>
        <w:trPr>
          <w:trHeight w:val="461"/>
        </w:trPr>
        <w:tc>
          <w:tcPr>
            <w:tcW w:w="282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PennantPark Investment Corporation (“PNNT”)</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RATINGS:</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BBB-/ BBB- (S&amp;P/Fitch) (Stable/Stable)*</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SECURITY DESCRIPTION:</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Unsecured Notes</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FORMAT:</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SEC Registered</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SIZE:</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$250mm</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MATURITY:</w:t>
            </w:r>
          </w:p>
        </w:tc>
        <w:tc>
          <w:tcPr>
            <w:tcW w:w="1940" w:type="dxa"/>
            <w:vAlign w:val="bottom"/>
          </w:tcPr>
          <w:p>
            <w:pPr>
              <w:ind w:left="520"/>
              <w:spacing w:after="0"/>
              <w:rPr>
                <w:sz w:val="20"/>
                <w:szCs w:val="20"/>
                <w:color w:val="auto"/>
              </w:rPr>
            </w:pPr>
            <w:r>
              <w:rPr>
                <w:rFonts w:ascii="Arial" w:cs="Arial" w:eastAsia="Arial" w:hAnsi="Arial"/>
                <w:sz w:val="18"/>
                <w:szCs w:val="18"/>
                <w:b w:val="1"/>
                <w:bCs w:val="1"/>
                <w:color w:val="auto"/>
              </w:rPr>
              <w:t>10/1/19</w:t>
            </w:r>
          </w:p>
        </w:tc>
        <w:tc>
          <w:tcPr>
            <w:tcW w:w="32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SETTLE DATE:</w:t>
            </w:r>
          </w:p>
        </w:tc>
        <w:tc>
          <w:tcPr>
            <w:tcW w:w="1940" w:type="dxa"/>
            <w:vAlign w:val="bottom"/>
          </w:tcPr>
          <w:p>
            <w:pPr>
              <w:ind w:left="520"/>
              <w:spacing w:after="0"/>
              <w:rPr>
                <w:sz w:val="20"/>
                <w:szCs w:val="20"/>
                <w:color w:val="auto"/>
              </w:rPr>
            </w:pPr>
            <w:r>
              <w:rPr>
                <w:rFonts w:ascii="Arial" w:cs="Arial" w:eastAsia="Arial" w:hAnsi="Arial"/>
                <w:sz w:val="18"/>
                <w:szCs w:val="18"/>
                <w:b w:val="1"/>
                <w:bCs w:val="1"/>
                <w:color w:val="auto"/>
              </w:rPr>
              <w:t>9/23/14</w:t>
            </w:r>
          </w:p>
        </w:tc>
        <w:tc>
          <w:tcPr>
            <w:tcW w:w="32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FIRST COUPON:</w:t>
            </w:r>
          </w:p>
        </w:tc>
        <w:tc>
          <w:tcPr>
            <w:tcW w:w="1940" w:type="dxa"/>
            <w:vAlign w:val="bottom"/>
          </w:tcPr>
          <w:p>
            <w:pPr>
              <w:ind w:left="520"/>
              <w:spacing w:after="0"/>
              <w:rPr>
                <w:sz w:val="20"/>
                <w:szCs w:val="20"/>
                <w:color w:val="auto"/>
              </w:rPr>
            </w:pPr>
            <w:r>
              <w:rPr>
                <w:rFonts w:ascii="Arial" w:cs="Arial" w:eastAsia="Arial" w:hAnsi="Arial"/>
                <w:sz w:val="18"/>
                <w:szCs w:val="18"/>
                <w:b w:val="1"/>
                <w:bCs w:val="1"/>
                <w:color w:val="auto"/>
              </w:rPr>
              <w:t>4/1/15</w:t>
            </w:r>
          </w:p>
        </w:tc>
        <w:tc>
          <w:tcPr>
            <w:tcW w:w="32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YIELD:</w:t>
            </w:r>
          </w:p>
        </w:tc>
        <w:tc>
          <w:tcPr>
            <w:tcW w:w="1940" w:type="dxa"/>
            <w:vAlign w:val="bottom"/>
          </w:tcPr>
          <w:p>
            <w:pPr>
              <w:ind w:left="520"/>
              <w:spacing w:after="0"/>
              <w:rPr>
                <w:sz w:val="20"/>
                <w:szCs w:val="20"/>
                <w:color w:val="auto"/>
              </w:rPr>
            </w:pPr>
            <w:r>
              <w:rPr>
                <w:rFonts w:ascii="Arial" w:cs="Arial" w:eastAsia="Arial" w:hAnsi="Arial"/>
                <w:sz w:val="18"/>
                <w:szCs w:val="18"/>
                <w:b w:val="1"/>
                <w:bCs w:val="1"/>
                <w:color w:val="auto"/>
              </w:rPr>
              <w:t>4.521%</w:t>
            </w:r>
          </w:p>
        </w:tc>
        <w:tc>
          <w:tcPr>
            <w:tcW w:w="32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COUPON:</w:t>
            </w:r>
          </w:p>
        </w:tc>
        <w:tc>
          <w:tcPr>
            <w:tcW w:w="1940" w:type="dxa"/>
            <w:vAlign w:val="bottom"/>
          </w:tcPr>
          <w:p>
            <w:pPr>
              <w:ind w:left="520"/>
              <w:spacing w:after="0"/>
              <w:rPr>
                <w:sz w:val="20"/>
                <w:szCs w:val="20"/>
                <w:color w:val="auto"/>
              </w:rPr>
            </w:pPr>
            <w:r>
              <w:rPr>
                <w:rFonts w:ascii="Arial" w:cs="Arial" w:eastAsia="Arial" w:hAnsi="Arial"/>
                <w:sz w:val="18"/>
                <w:szCs w:val="18"/>
                <w:b w:val="1"/>
                <w:bCs w:val="1"/>
                <w:color w:val="auto"/>
              </w:rPr>
              <w:t>4.500%</w:t>
            </w:r>
          </w:p>
        </w:tc>
        <w:tc>
          <w:tcPr>
            <w:tcW w:w="32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PRICE:</w:t>
            </w:r>
          </w:p>
        </w:tc>
        <w:tc>
          <w:tcPr>
            <w:tcW w:w="1940" w:type="dxa"/>
            <w:vAlign w:val="bottom"/>
          </w:tcPr>
          <w:p>
            <w:pPr>
              <w:ind w:left="520"/>
              <w:spacing w:after="0"/>
              <w:rPr>
                <w:sz w:val="20"/>
                <w:szCs w:val="20"/>
                <w:color w:val="auto"/>
              </w:rPr>
            </w:pPr>
            <w:r>
              <w:rPr>
                <w:rFonts w:ascii="Arial" w:cs="Arial" w:eastAsia="Arial" w:hAnsi="Arial"/>
                <w:sz w:val="18"/>
                <w:szCs w:val="18"/>
                <w:b w:val="1"/>
                <w:bCs w:val="1"/>
                <w:color w:val="auto"/>
              </w:rPr>
              <w:t>99.905%</w:t>
            </w:r>
          </w:p>
        </w:tc>
        <w:tc>
          <w:tcPr>
            <w:tcW w:w="32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IMPLIED SPREAD:</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T+275bps</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T-SPOT PRICE:</w:t>
            </w:r>
          </w:p>
        </w:tc>
        <w:tc>
          <w:tcPr>
            <w:tcW w:w="1940" w:type="dxa"/>
            <w:vAlign w:val="bottom"/>
          </w:tcPr>
          <w:p>
            <w:pPr>
              <w:ind w:left="520"/>
              <w:spacing w:after="0"/>
              <w:rPr>
                <w:sz w:val="20"/>
                <w:szCs w:val="20"/>
                <w:color w:val="auto"/>
              </w:rPr>
            </w:pPr>
            <w:r>
              <w:rPr>
                <w:rFonts w:ascii="Arial" w:cs="Arial" w:eastAsia="Arial" w:hAnsi="Arial"/>
                <w:sz w:val="18"/>
                <w:szCs w:val="18"/>
                <w:b w:val="1"/>
                <w:bCs w:val="1"/>
                <w:color w:val="auto"/>
              </w:rPr>
              <w:t>99-10</w:t>
            </w:r>
          </w:p>
        </w:tc>
        <w:tc>
          <w:tcPr>
            <w:tcW w:w="32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T-SPOT YIELD:</w:t>
            </w:r>
          </w:p>
        </w:tc>
        <w:tc>
          <w:tcPr>
            <w:tcW w:w="1940" w:type="dxa"/>
            <w:vAlign w:val="bottom"/>
          </w:tcPr>
          <w:p>
            <w:pPr>
              <w:ind w:left="520"/>
              <w:spacing w:after="0"/>
              <w:rPr>
                <w:sz w:val="20"/>
                <w:szCs w:val="20"/>
                <w:color w:val="auto"/>
              </w:rPr>
            </w:pPr>
            <w:r>
              <w:rPr>
                <w:rFonts w:ascii="Arial" w:cs="Arial" w:eastAsia="Arial" w:hAnsi="Arial"/>
                <w:sz w:val="18"/>
                <w:szCs w:val="18"/>
                <w:b w:val="1"/>
                <w:bCs w:val="1"/>
                <w:color w:val="auto"/>
              </w:rPr>
              <w:t>1.771%</w:t>
            </w:r>
          </w:p>
        </w:tc>
        <w:tc>
          <w:tcPr>
            <w:tcW w:w="32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MAKE-WHOLE:</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T+45bps</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BOOKRUNNERS:</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JPM/GS/MS/STRH</w:t>
            </w:r>
          </w:p>
        </w:tc>
      </w:tr>
      <w:tr>
        <w:trPr>
          <w:trHeight w:val="230"/>
        </w:trPr>
        <w:tc>
          <w:tcPr>
            <w:tcW w:w="2820" w:type="dxa"/>
            <w:vAlign w:val="bottom"/>
          </w:tcPr>
          <w:p>
            <w:pPr>
              <w:spacing w:after="0"/>
              <w:rPr>
                <w:sz w:val="20"/>
                <w:szCs w:val="20"/>
                <w:color w:val="auto"/>
              </w:rPr>
            </w:pPr>
            <w:r>
              <w:rPr>
                <w:rFonts w:ascii="Arial" w:cs="Arial" w:eastAsia="Arial" w:hAnsi="Arial"/>
                <w:sz w:val="18"/>
                <w:szCs w:val="18"/>
                <w:b w:val="1"/>
                <w:bCs w:val="1"/>
                <w:color w:val="auto"/>
              </w:rPr>
              <w:t>JOINT LEAD MANAGERS</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KBW/RBC</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CMA/ING</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MINIMUM DENOMS:</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$2,000 x $1,000</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w w:val="96"/>
              </w:rPr>
              <w:t>To repay outstanding indebtedness under credit facility</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SETTLEMENT:</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T+5</w:t>
            </w:r>
          </w:p>
        </w:tc>
      </w:tr>
      <w:tr>
        <w:trPr>
          <w:trHeight w:val="234"/>
        </w:trPr>
        <w:tc>
          <w:tcPr>
            <w:tcW w:w="2820" w:type="dxa"/>
            <w:vAlign w:val="bottom"/>
          </w:tcPr>
          <w:p>
            <w:pPr>
              <w:spacing w:after="0"/>
              <w:rPr>
                <w:sz w:val="20"/>
                <w:szCs w:val="20"/>
                <w:color w:val="auto"/>
              </w:rPr>
            </w:pPr>
            <w:r>
              <w:rPr>
                <w:rFonts w:ascii="Arial" w:cs="Arial" w:eastAsia="Arial" w:hAnsi="Arial"/>
                <w:sz w:val="18"/>
                <w:szCs w:val="18"/>
                <w:b w:val="1"/>
                <w:bCs w:val="1"/>
                <w:color w:val="auto"/>
              </w:rPr>
              <w:t>TIMING:</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Today’s Business</w:t>
            </w:r>
          </w:p>
        </w:tc>
      </w:tr>
    </w:tbl>
    <w:p>
      <w:pPr>
        <w:spacing w:after="0" w:line="198" w:lineRule="exact"/>
        <w:rPr>
          <w:sz w:val="24"/>
          <w:szCs w:val="24"/>
          <w:color w:val="auto"/>
        </w:rPr>
      </w:pPr>
    </w:p>
    <w:p>
      <w:pPr>
        <w:jc w:val="both"/>
        <w:ind w:right="700"/>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 risks, charges and expenses of PNNT before investing. The preliminary prospectus supplement dated September 16, 2014, together with an accompanying prospectus, which have been filed with the Securities and Exchange Commission, contain this and other information about PNNT and should be read carefully before investing.</w:t>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color w:val="auto"/>
        </w:rPr>
        <w:t>The information in the preliminary prospectus supplement and the accompanying prospectus, and in this announcement, is not complete and may be changed.</w:t>
      </w:r>
    </w:p>
    <w:p>
      <w:pPr>
        <w:spacing w:after="0" w:line="248" w:lineRule="exact"/>
        <w:rPr>
          <w:sz w:val="24"/>
          <w:szCs w:val="24"/>
          <w:color w:val="auto"/>
        </w:rPr>
      </w:pPr>
    </w:p>
    <w:p>
      <w:pPr>
        <w:jc w:val="both"/>
        <w:ind w:right="580"/>
        <w:spacing w:after="0" w:line="264" w:lineRule="auto"/>
        <w:rPr>
          <w:sz w:val="20"/>
          <w:szCs w:val="20"/>
          <w:color w:val="auto"/>
        </w:rPr>
      </w:pPr>
      <w:r>
        <w:rPr>
          <w:rFonts w:ascii="Arial" w:cs="Arial" w:eastAsia="Arial" w:hAnsi="Arial"/>
          <w:sz w:val="18"/>
          <w:szCs w:val="18"/>
          <w:color w:val="auto"/>
        </w:rPr>
        <w:t>This announcement does not constitute an offer to sell or the solicitation of an offer to buy nor will there be any sale of the securities referred to in this announcement in any state or jurisdiction in which such offer, solicitation or sale would be unlawful prior to the registration or qualification under the securities laws of such state or jurisdiction.</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221" w:lineRule="exact"/>
        <w:rPr>
          <w:sz w:val="24"/>
          <w:szCs w:val="24"/>
          <w:color w:val="auto"/>
        </w:rPr>
      </w:pPr>
    </w:p>
    <w:p>
      <w:pPr>
        <w:ind w:right="320"/>
        <w:spacing w:after="0" w:line="289" w:lineRule="auto"/>
        <w:rPr>
          <w:sz w:val="20"/>
          <w:szCs w:val="20"/>
          <w:color w:val="auto"/>
        </w:rPr>
      </w:pPr>
      <w:r>
        <w:rPr>
          <w:rFonts w:ascii="Arial" w:cs="Arial" w:eastAsia="Arial" w:hAnsi="Arial"/>
          <w:sz w:val="16"/>
          <w:szCs w:val="16"/>
          <w:b w:val="1"/>
          <w:bCs w:val="1"/>
          <w:color w:val="auto"/>
        </w:rPr>
        <w:t>A shelf registration statement relating to these securities is on file with and has been declared effective by the Securities and Exchange Commission. The offering may be made only by means of a prospectus and a related prospectus supplement. When available, copies may be obtained from J.P. Morgan Securities LLC, Attention: Investment Grade Syndicate Desk, 383 Madison Avenue, New York, NY 10179, telephone:</w:t>
      </w:r>
    </w:p>
    <w:p>
      <w:pPr>
        <w:spacing w:after="0" w:line="2" w:lineRule="exact"/>
        <w:rPr>
          <w:sz w:val="24"/>
          <w:szCs w:val="24"/>
          <w:color w:val="auto"/>
        </w:rPr>
      </w:pPr>
    </w:p>
    <w:p>
      <w:pPr>
        <w:ind w:right="200" w:firstLine="8"/>
        <w:spacing w:after="0" w:line="254" w:lineRule="auto"/>
        <w:tabs>
          <w:tab w:leader="none" w:pos="43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834-4533, Goldman, Sachs &amp; Co., Prospectus Department, 200 West Street, New York, NY 10282, telephone: 1-866-471-2526, facsimile: 212-902-9316 or by emailing prospectusny@ny.email.gs.com, Morgan Stanley &amp; Co. LLC, Attention: Prospectus Department, 180 Varick Street, 2nd Floor, New York, NY 10014, telephone: (866) 718-1649, or SunTrust Robinson Humphrey, Inc., Attention: Prospectus Department, 3333 Peachtree Road, NE, Atlanta, GA 30326, telephone: (404) 926-5744.</w:t>
      </w:r>
    </w:p>
    <w:p>
      <w:pPr>
        <w:spacing w:after="0" w:line="190"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2019-12-07T14:29:27Z</dcterms:created>
  <dcterms:modified xsi:type="dcterms:W3CDTF">2019-12-07T14:29:27Z</dcterms:modified>
</cp:coreProperties>
</file>