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 w:lineRule="exact"/>
        <w:rPr>
          <w:sz w:val="24"/>
          <w:szCs w:val="24"/>
          <w:color w:val="auto"/>
        </w:rPr>
      </w:pPr>
    </w:p>
    <w:p>
      <w:pPr>
        <w:ind w:left="480" w:right="260" w:hanging="459"/>
        <w:spacing w:after="0" w:line="23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480" w:right="260" w:hanging="459"/>
        <w:spacing w:after="0" w:line="238"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4" w:lineRule="exact"/>
        <w:rPr>
          <w:sz w:val="24"/>
          <w:szCs w:val="24"/>
          <w:color w:val="auto"/>
        </w:rPr>
      </w:pPr>
    </w:p>
    <w:p>
      <w:pPr>
        <w:ind w:left="322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960" w:type="dxa"/>
        <w:tblCellMar>
          <w:top w:w="0" w:type="dxa"/>
          <w:left w:w="0" w:type="dxa"/>
          <w:bottom w:w="0" w:type="dxa"/>
          <w:right w:w="0" w:type="dxa"/>
        </w:tblCellMar>
      </w:tblPr>
      <w:tr>
        <w:trPr>
          <w:trHeight w:val="227"/>
        </w:trPr>
        <w:tc>
          <w:tcPr>
            <w:tcW w:w="5100" w:type="dxa"/>
            <w:vAlign w:val="bottom"/>
          </w:tcPr>
          <w:p>
            <w:pPr>
              <w:jc w:val="center"/>
              <w:ind w:right="1277"/>
              <w:spacing w:after="0"/>
              <w:rPr>
                <w:sz w:val="20"/>
                <w:szCs w:val="20"/>
                <w:color w:val="auto"/>
              </w:rPr>
            </w:pPr>
            <w:r>
              <w:rPr>
                <w:rFonts w:ascii="Times New Roman" w:cs="Times New Roman" w:eastAsia="Times New Roman" w:hAnsi="Times New Roman"/>
                <w:sz w:val="18"/>
                <w:szCs w:val="18"/>
                <w:b w:val="1"/>
                <w:bCs w:val="1"/>
                <w:color w:val="auto"/>
                <w:w w:val="99"/>
              </w:rPr>
              <w:t>MARYLAND</w:t>
            </w:r>
          </w:p>
        </w:tc>
        <w:tc>
          <w:tcPr>
            <w:tcW w:w="358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20-8250744</w:t>
            </w:r>
          </w:p>
        </w:tc>
        <w:tc>
          <w:tcPr>
            <w:tcW w:w="0" w:type="dxa"/>
            <w:vAlign w:val="bottom"/>
          </w:tcPr>
          <w:p>
            <w:pPr>
              <w:spacing w:after="0"/>
              <w:rPr>
                <w:sz w:val="1"/>
                <w:szCs w:val="1"/>
                <w:color w:val="auto"/>
              </w:rPr>
            </w:pPr>
          </w:p>
        </w:tc>
      </w:tr>
      <w:tr>
        <w:trPr>
          <w:trHeight w:val="190"/>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339"/>
        </w:trPr>
        <w:tc>
          <w:tcPr>
            <w:tcW w:w="510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1691 Michigan Avenue,</w:t>
            </w:r>
          </w:p>
        </w:tc>
        <w:tc>
          <w:tcPr>
            <w:tcW w:w="3580" w:type="dxa"/>
            <w:vAlign w:val="bottom"/>
            <w:vMerge w:val="restart"/>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33319</w:t>
            </w:r>
          </w:p>
        </w:tc>
        <w:tc>
          <w:tcPr>
            <w:tcW w:w="0" w:type="dxa"/>
            <w:vAlign w:val="bottom"/>
          </w:tcPr>
          <w:p>
            <w:pPr>
              <w:spacing w:after="0"/>
              <w:rPr>
                <w:sz w:val="1"/>
                <w:szCs w:val="1"/>
                <w:color w:val="auto"/>
              </w:rPr>
            </w:pPr>
          </w:p>
        </w:tc>
      </w:tr>
      <w:tr>
        <w:trPr>
          <w:trHeight w:val="227"/>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00" w:type="dxa"/>
            <w:vAlign w:val="bottom"/>
          </w:tcPr>
          <w:p>
            <w:pPr>
              <w:jc w:val="center"/>
              <w:ind w:right="12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80" w:type="dxa"/>
            <w:vAlign w:val="bottom"/>
          </w:tcPr>
          <w:p>
            <w:pPr>
              <w:jc w:val="center"/>
              <w:ind w:left="13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905-1000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484" w:right="339" w:bottom="1440" w:gutter="0" w:footer="0" w:header="0"/>
        </w:sectPr>
      </w:pPr>
    </w:p>
    <w:p>
      <w:pPr>
        <w:spacing w:after="0" w:line="67"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sectPr>
          <w:pgSz w:w="11900" w:h="16838" w:orient="portrait"/>
          <w:cols w:equalWidth="0" w:num="3">
            <w:col w:w="4260" w:space="720"/>
            <w:col w:w="2080" w:space="720"/>
            <w:col w:w="3460"/>
          </w:cols>
          <w:pgMar w:left="320" w:top="484" w:right="3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New York Stock Exchange</w:t>
      </w:r>
    </w:p>
    <w:p>
      <w:pPr>
        <w:spacing w:after="0" w:line="92" w:lineRule="exact"/>
        <w:rPr>
          <w:sz w:val="24"/>
          <w:szCs w:val="24"/>
          <w:color w:val="auto"/>
        </w:rPr>
      </w:pPr>
    </w:p>
    <w:p>
      <w:pPr>
        <w:sectPr>
          <w:pgSz w:w="11900" w:h="16838" w:orient="portrait"/>
          <w:cols w:equalWidth="0" w:num="3">
            <w:col w:w="4700" w:space="720"/>
            <w:col w:w="2200" w:space="720"/>
            <w:col w:w="2900"/>
          </w:cols>
          <w:pgMar w:left="320" w:top="484" w:right="339" w:bottom="1440" w:gutter="0" w:footer="0" w:header="0"/>
          <w:type w:val="continuous"/>
        </w:sectPr>
      </w:pPr>
    </w:p>
    <w:p>
      <w:pPr>
        <w:ind w:firstLine="50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37" w:lineRule="exact"/>
        <w:rPr>
          <w:sz w:val="24"/>
          <w:szCs w:val="24"/>
          <w:color w:val="auto"/>
        </w:rPr>
      </w:pPr>
    </w:p>
    <w:p>
      <w:pPr>
        <w:ind w:right="180"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16" w:lineRule="exact"/>
        <w:rPr>
          <w:sz w:val="24"/>
          <w:szCs w:val="24"/>
          <w:color w:val="auto"/>
        </w:rPr>
      </w:pPr>
    </w:p>
    <w:p>
      <w:pPr>
        <w:jc w:val="both"/>
        <w:ind w:right="240" w:firstLine="50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0"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spacing w:after="0"/>
              <w:rPr>
                <w:sz w:val="18"/>
                <w:szCs w:val="18"/>
                <w:color w:val="auto"/>
              </w:rPr>
            </w:pPr>
          </w:p>
        </w:tc>
        <w:tc>
          <w:tcPr>
            <w:tcW w:w="520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spacing w:after="0"/>
              <w:rPr>
                <w:sz w:val="18"/>
                <w:szCs w:val="18"/>
                <w:color w:val="auto"/>
              </w:rPr>
            </w:pPr>
          </w:p>
        </w:tc>
      </w:tr>
      <w:tr>
        <w:trPr>
          <w:trHeight w:val="35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spacing w:after="0"/>
              <w:rPr>
                <w:sz w:val="24"/>
                <w:szCs w:val="24"/>
                <w:color w:val="auto"/>
              </w:rPr>
            </w:pPr>
          </w:p>
        </w:tc>
        <w:tc>
          <w:tcPr>
            <w:tcW w:w="520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spacing w:after="0"/>
              <w:rPr>
                <w:sz w:val="24"/>
                <w:szCs w:val="24"/>
                <w:color w:val="auto"/>
              </w:rPr>
            </w:pPr>
          </w:p>
        </w:tc>
      </w:t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60" w:lineRule="exact"/>
        <w:rPr>
          <w:sz w:val="24"/>
          <w:szCs w:val="24"/>
          <w:color w:val="auto"/>
        </w:rPr>
      </w:pPr>
    </w:p>
    <w:p>
      <w:pPr>
        <w:jc w:val="both"/>
        <w:ind w:right="80" w:firstLine="509"/>
        <w:spacing w:after="0" w:line="26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5" w:lineRule="exact"/>
        <w:rPr>
          <w:sz w:val="24"/>
          <w:szCs w:val="24"/>
          <w:color w:val="auto"/>
        </w:rPr>
      </w:pPr>
    </w:p>
    <w:p>
      <w:pPr>
        <w:ind w:left="520" w:right="2200"/>
        <w:spacing w:after="0" w:line="351" w:lineRule="auto"/>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Yes No The number of shares of the registrant’s common stock, $0.001 par value per share, outstanding as of May 4, 2022 was 66,131,651.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type w:val="continuous"/>
        </w:sectPr>
      </w:pPr>
    </w:p>
    <w:bookmarkStart w:id="1" w:name="page2"/>
    <w:bookmarkEnd w:id="1"/>
    <w:p>
      <w:pPr>
        <w:ind w:left="42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w:t>
      </w:r>
    </w:p>
    <w:p>
      <w:pPr>
        <w:spacing w:after="0" w:line="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 10-Q FOR THE QUARTER ENDED MARCH 31, 2022</w:t>
      </w:r>
    </w:p>
    <w:p>
      <w:pPr>
        <w:spacing w:after="0" w:line="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0" w:type="dxa"/>
            <w:vAlign w:val="bottom"/>
            <w:gridSpan w:val="14"/>
          </w:tcPr>
          <w:p>
            <w:pPr>
              <w:jc w:val="center"/>
              <w:ind w:right="2160"/>
              <w:spacing w:after="0"/>
              <w:rPr>
                <w:sz w:val="20"/>
                <w:szCs w:val="20"/>
                <w:color w:val="auto"/>
              </w:rPr>
            </w:pPr>
            <w:r>
              <w:rPr>
                <w:rFonts w:ascii="Times New Roman" w:cs="Times New Roman" w:eastAsia="Times New Roman" w:hAnsi="Times New Roman"/>
                <w:sz w:val="14"/>
                <w:szCs w:val="14"/>
                <w:b w:val="1"/>
                <w:bCs w:val="1"/>
                <w:color w:val="0000FF"/>
              </w:rPr>
              <w:t>PART I. CONSOLIDATED FINANCIAL INFORMATION</w:t>
            </w:r>
          </w:p>
        </w:tc>
        <w:tc>
          <w:tcPr>
            <w:tcW w:w="1920" w:type="dxa"/>
            <w:vAlign w:val="bottom"/>
          </w:tcPr>
          <w:p>
            <w:pPr>
              <w:spacing w:after="0"/>
              <w:rPr>
                <w:sz w:val="13"/>
                <w:szCs w:val="13"/>
                <w:color w:val="auto"/>
              </w:rPr>
            </w:pPr>
          </w:p>
        </w:tc>
      </w:tr>
      <w:tr>
        <w:trPr>
          <w:trHeight w:val="331"/>
        </w:trPr>
        <w:tc>
          <w:tcPr>
            <w:tcW w:w="20" w:type="dxa"/>
            <w:vAlign w:val="bottom"/>
          </w:tcPr>
          <w:p>
            <w:pPr>
              <w:spacing w:after="0"/>
              <w:rPr>
                <w:sz w:val="24"/>
                <w:szCs w:val="24"/>
                <w:color w:val="auto"/>
              </w:rPr>
            </w:pPr>
          </w:p>
        </w:tc>
        <w:tc>
          <w:tcPr>
            <w:tcW w:w="350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FF"/>
              </w:rPr>
              <w:t>Item 1. Consolidated Financial Statements</w:t>
            </w:r>
          </w:p>
        </w:tc>
        <w:tc>
          <w:tcPr>
            <w:tcW w:w="3640" w:type="dxa"/>
            <w:vAlign w:val="bottom"/>
            <w:tcBorders>
              <w:top w:val="single" w:sz="8" w:color="0000FF"/>
            </w:tcBorders>
            <w:gridSpan w:val="12"/>
          </w:tcPr>
          <w:p>
            <w:pPr>
              <w:spacing w:after="0"/>
              <w:rPr>
                <w:sz w:val="24"/>
                <w:szCs w:val="24"/>
                <w:color w:val="auto"/>
              </w:rPr>
            </w:pPr>
          </w:p>
        </w:tc>
        <w:tc>
          <w:tcPr>
            <w:tcW w:w="2160" w:type="dxa"/>
            <w:vAlign w:val="bottom"/>
            <w:gridSpan w:val="2"/>
          </w:tcPr>
          <w:p>
            <w:pPr>
              <w:spacing w:after="0"/>
              <w:rPr>
                <w:sz w:val="24"/>
                <w:szCs w:val="24"/>
                <w:color w:val="auto"/>
              </w:rPr>
            </w:pPr>
          </w:p>
        </w:tc>
        <w:tc>
          <w:tcPr>
            <w:tcW w:w="19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Consolidated Statements of Assets and Liabilities as of March 31, 2022 (unaudited) and September 30, 2021</w:t>
            </w:r>
          </w:p>
        </w:tc>
        <w:tc>
          <w:tcPr>
            <w:tcW w:w="266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three and six months ended March 31, 2022 and 2021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Consolidated Statements of Changes in Net Assets for the three and six months ended March 31, 2022 and 2021 (unaudited)</w:t>
            </w:r>
          </w:p>
        </w:tc>
        <w:tc>
          <w:tcPr>
            <w:tcW w:w="17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six months ended March 31, 2022 and 2021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Consolidated Schedules of Investments as of March 31, 2022 (unaudited) and September 30, 2021</w:t>
            </w:r>
          </w:p>
        </w:tc>
        <w:tc>
          <w:tcPr>
            <w:tcW w:w="300" w:type="dxa"/>
            <w:vAlign w:val="bottom"/>
            <w:tcBorders>
              <w:top w:val="single" w:sz="8" w:color="0000FF"/>
            </w:tcBorders>
          </w:tcPr>
          <w:p>
            <w:pPr>
              <w:spacing w:after="0"/>
              <w:rPr>
                <w:sz w:val="24"/>
                <w:szCs w:val="24"/>
                <w:color w:val="auto"/>
              </w:rPr>
            </w:pPr>
          </w:p>
        </w:tc>
        <w:tc>
          <w:tcPr>
            <w:tcW w:w="2980" w:type="dxa"/>
            <w:vAlign w:val="bottom"/>
            <w:gridSpan w:val="6"/>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572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9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b w:val="1"/>
                <w:bCs w:val="1"/>
                <w:color w:val="0000FF"/>
              </w:rPr>
              <w:t>Item 2. Management’s Discussion and Analysis of Financial Condition and Results of Operations</w:t>
            </w:r>
          </w:p>
        </w:tc>
        <w:tc>
          <w:tcPr>
            <w:tcW w:w="3360" w:type="dxa"/>
            <w:vAlign w:val="bottom"/>
            <w:gridSpan w:val="8"/>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331"/>
        </w:trPr>
        <w:tc>
          <w:tcPr>
            <w:tcW w:w="20" w:type="dxa"/>
            <w:vAlign w:val="bottom"/>
          </w:tcPr>
          <w:p>
            <w:pPr>
              <w:spacing w:after="0"/>
              <w:rPr>
                <w:sz w:val="24"/>
                <w:szCs w:val="24"/>
                <w:color w:val="auto"/>
              </w:rPr>
            </w:pPr>
          </w:p>
        </w:tc>
        <w:tc>
          <w:tcPr>
            <w:tcW w:w="4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b w:val="1"/>
                <w:bCs w:val="1"/>
                <w:color w:val="0000FF"/>
              </w:rPr>
              <w:t>Item 3. Quantitative and Qualitative Disclosures About Market Risk</w:t>
            </w:r>
          </w:p>
        </w:tc>
        <w:tc>
          <w:tcPr>
            <w:tcW w:w="510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331"/>
        </w:trPr>
        <w:tc>
          <w:tcPr>
            <w:tcW w:w="20" w:type="dxa"/>
            <w:vAlign w:val="bottom"/>
          </w:tcPr>
          <w:p>
            <w:pPr>
              <w:spacing w:after="0"/>
              <w:rPr>
                <w:sz w:val="24"/>
                <w:szCs w:val="24"/>
                <w:color w:val="auto"/>
              </w:rPr>
            </w:pPr>
          </w:p>
        </w:tc>
        <w:tc>
          <w:tcPr>
            <w:tcW w:w="930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4. Controls and Procedures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331"/>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2860" w:type="dxa"/>
            <w:vAlign w:val="bottom"/>
            <w:gridSpan w:val="5"/>
          </w:tcPr>
          <w:p>
            <w:pPr>
              <w:spacing w:after="0"/>
              <w:rPr>
                <w:sz w:val="24"/>
                <w:szCs w:val="24"/>
                <w:color w:val="auto"/>
              </w:rPr>
            </w:pPr>
          </w:p>
        </w:tc>
        <w:tc>
          <w:tcPr>
            <w:tcW w:w="19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930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1. Legal Proceedings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331"/>
        </w:trPr>
        <w:tc>
          <w:tcPr>
            <w:tcW w:w="2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rPr>
              <w:t>Item 1A. Risk Factors</w:t>
            </w:r>
          </w:p>
        </w:tc>
        <w:tc>
          <w:tcPr>
            <w:tcW w:w="220" w:type="dxa"/>
            <w:vAlign w:val="bottom"/>
            <w:tcBorders>
              <w:top w:val="single" w:sz="8" w:color="0000FF"/>
            </w:tcBorders>
          </w:tcPr>
          <w:p>
            <w:pPr>
              <w:spacing w:after="0"/>
              <w:rPr>
                <w:sz w:val="24"/>
                <w:szCs w:val="24"/>
                <w:color w:val="auto"/>
              </w:rPr>
            </w:pPr>
          </w:p>
        </w:tc>
        <w:tc>
          <w:tcPr>
            <w:tcW w:w="7720" w:type="dxa"/>
            <w:vAlign w:val="bottom"/>
            <w:gridSpan w:val="2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331"/>
        </w:trPr>
        <w:tc>
          <w:tcPr>
            <w:tcW w:w="20" w:type="dxa"/>
            <w:vAlign w:val="bottom"/>
          </w:tcPr>
          <w:p>
            <w:pPr>
              <w:spacing w:after="0"/>
              <w:rPr>
                <w:sz w:val="24"/>
                <w:szCs w:val="24"/>
                <w:color w:val="auto"/>
              </w:rPr>
            </w:pPr>
          </w:p>
        </w:tc>
        <w:tc>
          <w:tcPr>
            <w:tcW w:w="930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2. 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31"/>
        </w:trPr>
        <w:tc>
          <w:tcPr>
            <w:tcW w:w="20" w:type="dxa"/>
            <w:vAlign w:val="bottom"/>
          </w:tcPr>
          <w:p>
            <w:pPr>
              <w:spacing w:after="0"/>
              <w:rPr>
                <w:sz w:val="24"/>
                <w:szCs w:val="24"/>
                <w:color w:val="auto"/>
              </w:rPr>
            </w:pPr>
          </w:p>
        </w:tc>
        <w:tc>
          <w:tcPr>
            <w:tcW w:w="41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b w:val="1"/>
                <w:bCs w:val="1"/>
                <w:color w:val="0000FF"/>
              </w:rPr>
              <w:t>Item 3. Defaults Upon Senior Securities</w:t>
            </w:r>
          </w:p>
        </w:tc>
        <w:tc>
          <w:tcPr>
            <w:tcW w:w="5180" w:type="dxa"/>
            <w:vAlign w:val="bottom"/>
            <w:gridSpan w:val="11"/>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31"/>
        </w:trPr>
        <w:tc>
          <w:tcPr>
            <w:tcW w:w="20" w:type="dxa"/>
            <w:vAlign w:val="bottom"/>
          </w:tcPr>
          <w:p>
            <w:pPr>
              <w:spacing w:after="0"/>
              <w:rPr>
                <w:sz w:val="24"/>
                <w:szCs w:val="24"/>
                <w:color w:val="auto"/>
              </w:rPr>
            </w:pPr>
          </w:p>
        </w:tc>
        <w:tc>
          <w:tcPr>
            <w:tcW w:w="1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b w:val="1"/>
                <w:bCs w:val="1"/>
                <w:color w:val="0000FF"/>
              </w:rPr>
              <w:t>Item 4. Mine Safety Disclosures</w:t>
            </w:r>
          </w:p>
        </w:tc>
        <w:tc>
          <w:tcPr>
            <w:tcW w:w="480" w:type="dxa"/>
            <w:vAlign w:val="bottom"/>
            <w:tcBorders>
              <w:top w:val="single" w:sz="8" w:color="0000FF"/>
            </w:tcBorders>
            <w:gridSpan w:val="2"/>
          </w:tcPr>
          <w:p>
            <w:pPr>
              <w:spacing w:after="0"/>
              <w:rPr>
                <w:sz w:val="24"/>
                <w:szCs w:val="24"/>
                <w:color w:val="auto"/>
              </w:rPr>
            </w:pPr>
          </w:p>
        </w:tc>
        <w:tc>
          <w:tcPr>
            <w:tcW w:w="6880" w:type="dxa"/>
            <w:vAlign w:val="bottom"/>
            <w:gridSpan w:val="16"/>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31"/>
        </w:trPr>
        <w:tc>
          <w:tcPr>
            <w:tcW w:w="20" w:type="dxa"/>
            <w:vAlign w:val="bottom"/>
          </w:tcPr>
          <w:p>
            <w:pPr>
              <w:spacing w:after="0"/>
              <w:rPr>
                <w:sz w:val="24"/>
                <w:szCs w:val="24"/>
                <w:color w:val="auto"/>
              </w:rPr>
            </w:pPr>
          </w:p>
        </w:tc>
        <w:tc>
          <w:tcPr>
            <w:tcW w:w="930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5. 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31"/>
        </w:trPr>
        <w:tc>
          <w:tcPr>
            <w:tcW w:w="20" w:type="dxa"/>
            <w:vAlign w:val="bottom"/>
          </w:tcPr>
          <w:p>
            <w:pPr>
              <w:spacing w:after="0"/>
              <w:rPr>
                <w:sz w:val="24"/>
                <w:szCs w:val="24"/>
                <w:color w:val="auto"/>
              </w:rPr>
            </w:pPr>
          </w:p>
        </w:tc>
        <w:tc>
          <w:tcPr>
            <w:tcW w:w="16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b w:val="1"/>
                <w:bCs w:val="1"/>
                <w:color w:val="0000FF"/>
              </w:rPr>
              <w:t>Item 6. Exhibits</w:t>
            </w:r>
          </w:p>
        </w:tc>
        <w:tc>
          <w:tcPr>
            <w:tcW w:w="7680" w:type="dxa"/>
            <w:vAlign w:val="bottom"/>
            <w:gridSpan w:val="1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331"/>
        </w:trPr>
        <w:tc>
          <w:tcPr>
            <w:tcW w:w="20" w:type="dxa"/>
            <w:vAlign w:val="bottom"/>
          </w:tcPr>
          <w:p>
            <w:pPr>
              <w:spacing w:after="0"/>
              <w:rPr>
                <w:sz w:val="24"/>
                <w:szCs w:val="24"/>
                <w:color w:val="auto"/>
              </w:rPr>
            </w:pPr>
          </w:p>
        </w:tc>
        <w:tc>
          <w:tcPr>
            <w:tcW w:w="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8320" w:type="dxa"/>
            <w:vAlign w:val="bottom"/>
            <w:gridSpan w:val="2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389"/>
        </w:trPr>
        <w:tc>
          <w:tcPr>
            <w:tcW w:w="20" w:type="dxa"/>
            <w:vAlign w:val="bottom"/>
          </w:tcPr>
          <w:p>
            <w:pPr>
              <w:spacing w:after="0"/>
              <w:rPr>
                <w:sz w:val="24"/>
                <w:szCs w:val="24"/>
                <w:color w:val="auto"/>
              </w:rPr>
            </w:pPr>
          </w:p>
        </w:tc>
        <w:tc>
          <w:tcPr>
            <w:tcW w:w="920" w:type="dxa"/>
            <w:vAlign w:val="bottom"/>
            <w:tcBorders>
              <w:top w:val="single" w:sz="8" w:color="0000FF"/>
            </w:tcBorders>
            <w:gridSpan w:val="2"/>
          </w:tcPr>
          <w:p>
            <w:pPr>
              <w:spacing w:after="0"/>
              <w:rPr>
                <w:sz w:val="24"/>
                <w:szCs w:val="24"/>
                <w:color w:val="auto"/>
              </w:rPr>
            </w:pPr>
          </w:p>
        </w:tc>
        <w:tc>
          <w:tcPr>
            <w:tcW w:w="5020" w:type="dxa"/>
            <w:vAlign w:val="bottom"/>
            <w:gridSpan w:val="15"/>
          </w:tcPr>
          <w:p>
            <w:pPr>
              <w:jc w:val="right"/>
              <w:ind w:right="22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PART I—CONSOLIDATED FINANCIAL INFORMATION</w:t>
      </w:r>
    </w:p>
    <w:p>
      <w:pPr>
        <w:spacing w:after="0" w:line="179"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to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“Credit Facilities” refers to the BNP Credit Facility and the Truist Credit Facility collectively; “2024 Notes” refers to our 5.50% Notes due 2024; “2026 Notes” refers to our 4.50% Notes due May 2026; “2026 Notes-2”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17" w:right="419" w:bottom="1440" w:gutter="0" w:footer="0" w:header="0"/>
        </w:sectPr>
      </w:pPr>
    </w:p>
    <w:bookmarkStart w:id="3" w:name="page4"/>
    <w:bookmarkEnd w:id="3"/>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87"/>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top w:val="single" w:sz="8" w:color="auto"/>
            </w:tcBorders>
            <w:shd w:val="clear" w:color="auto" w:fill="CCECFF"/>
          </w:tcPr>
          <w:p>
            <w:pPr>
              <w:spacing w:after="0"/>
              <w:rPr>
                <w:sz w:val="14"/>
                <w:szCs w:val="14"/>
                <w:color w:val="auto"/>
              </w:rPr>
            </w:pPr>
          </w:p>
        </w:tc>
        <w:tc>
          <w:tcPr>
            <w:tcW w:w="138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spacing w:after="0"/>
              <w:rPr>
                <w:sz w:val="14"/>
                <w:szCs w:val="14"/>
                <w:color w:val="auto"/>
              </w:rPr>
            </w:pPr>
          </w:p>
        </w:tc>
        <w:tc>
          <w:tcPr>
            <w:tcW w:w="1440" w:type="dxa"/>
            <w:vAlign w:val="bottom"/>
            <w:tcBorders>
              <w:top w:val="single" w:sz="8" w:color="auto"/>
            </w:tcBorders>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 (cost—$875,230 and $729,811, respectively)</w:t>
            </w:r>
          </w:p>
        </w:tc>
        <w:tc>
          <w:tcPr>
            <w:tcW w:w="20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901,587</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820,500</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 (cost—$47,450 and $78,723, respectively)</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 (cost—$361,809 and $412,587, respectively)</w:t>
            </w:r>
          </w:p>
        </w:tc>
        <w:tc>
          <w:tcPr>
            <w:tcW w:w="200" w:type="dxa"/>
            <w:vAlign w:val="bottom"/>
            <w:tcBorders>
              <w:bottom w:val="single" w:sz="8" w:color="auto"/>
            </w:tcBorders>
            <w:shd w:val="clear" w:color="auto" w:fill="CCECFF"/>
          </w:tcPr>
          <w:p>
            <w:pPr>
              <w:spacing w:after="0"/>
              <w:rPr>
                <w:sz w:val="15"/>
                <w:szCs w:val="15"/>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275,640</w:t>
            </w:r>
          </w:p>
        </w:tc>
        <w:tc>
          <w:tcPr>
            <w:tcW w:w="2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spacing w:after="0"/>
              <w:rPr>
                <w:sz w:val="15"/>
                <w:szCs w:val="15"/>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384,628</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investments (cost—$1,284,490 and $1,221,121, respectively)</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1,213,957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1,255,290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(cost—$26,259 and $20,383, respectively)</w:t>
            </w:r>
          </w:p>
        </w:tc>
        <w:tc>
          <w:tcPr>
            <w:tcW w:w="20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26,251</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200" w:type="dxa"/>
            <w:vAlign w:val="bottom"/>
            <w:shd w:val="clear" w:color="auto" w:fill="CCECFF"/>
          </w:tcPr>
          <w:p>
            <w:pPr>
              <w:spacing w:after="0"/>
              <w:rPr>
                <w:sz w:val="15"/>
                <w:szCs w:val="15"/>
                <w:color w:val="auto"/>
              </w:rPr>
            </w:pP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receivable</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Borders>
              <w:bottom w:val="single" w:sz="8" w:color="CCECFF"/>
            </w:tcBorders>
            <w:shd w:val="clear" w:color="auto" w:fill="CCECFF"/>
          </w:tcPr>
          <w:p>
            <w:pPr>
              <w:ind w:left="7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1,246,022</w:t>
            </w:r>
          </w:p>
        </w:tc>
        <w:tc>
          <w:tcPr>
            <w:tcW w:w="2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1,295,092</w:t>
            </w:r>
          </w:p>
        </w:tc>
        <w:tc>
          <w:tcPr>
            <w:tcW w:w="6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20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9,386</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Truist Credit Facility payable, at fair value (cost—$217,920 and $316,545, respectively) (See Notes 5 and 10)</w:t>
            </w:r>
          </w:p>
        </w:tc>
        <w:tc>
          <w:tcPr>
            <w:tcW w:w="20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215,899</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314,813</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Notes payable, net (par— zero and $86,250, respectively) (See Notes 5 and 10)</w:t>
            </w:r>
          </w:p>
        </w:tc>
        <w:tc>
          <w:tcPr>
            <w:tcW w:w="200" w:type="dxa"/>
            <w:vAlign w:val="bottom"/>
          </w:tcPr>
          <w:p>
            <w:pPr>
              <w:spacing w:after="0"/>
              <w:rPr>
                <w:sz w:val="15"/>
                <w:szCs w:val="15"/>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 Notes payable, net (par— $150,000) (See Notes 5 and 10)</w:t>
            </w:r>
          </w:p>
        </w:tc>
        <w:tc>
          <w:tcPr>
            <w:tcW w:w="20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146,316</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Notes-2 payable, net (par— $165,000 and zero, respectively) (See Notes 5 and 10)</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160,946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SBA debentures payable, net (par—$27,500 and $63,500, respectively) (See Notes 5 and 10)</w:t>
            </w:r>
          </w:p>
        </w:tc>
        <w:tc>
          <w:tcPr>
            <w:tcW w:w="20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27,026</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62,159</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Base-management fee payable, net (See Note 3)</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Performance based-incentive fee payable (See Note 3)</w:t>
            </w:r>
          </w:p>
        </w:tc>
        <w:tc>
          <w:tcPr>
            <w:tcW w:w="200" w:type="dxa"/>
            <w:vAlign w:val="bottom"/>
            <w:shd w:val="clear" w:color="auto" w:fill="CCECFF"/>
          </w:tcPr>
          <w:p>
            <w:pPr>
              <w:spacing w:after="0"/>
              <w:rPr>
                <w:sz w:val="15"/>
                <w:szCs w:val="15"/>
                <w:color w:val="auto"/>
              </w:rPr>
            </w:pP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200" w:type="dxa"/>
            <w:vAlign w:val="bottom"/>
            <w:tcBorders>
              <w:bottom w:val="single" w:sz="8" w:color="auto"/>
            </w:tcBorders>
            <w:shd w:val="clear" w:color="auto" w:fill="CCECFF"/>
          </w:tcPr>
          <w:p>
            <w:pPr>
              <w:spacing w:after="0"/>
              <w:rPr>
                <w:sz w:val="15"/>
                <w:szCs w:val="15"/>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spacing w:after="0"/>
              <w:rPr>
                <w:sz w:val="15"/>
                <w:szCs w:val="15"/>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581,697</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634,948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11)</w:t>
            </w:r>
          </w:p>
        </w:tc>
        <w:tc>
          <w:tcPr>
            <w:tcW w:w="200" w:type="dxa"/>
            <w:vAlign w:val="bottom"/>
            <w:shd w:val="clear" w:color="auto" w:fill="CCECFF"/>
          </w:tcPr>
          <w:p>
            <w:pPr>
              <w:spacing w:after="0"/>
              <w:rPr>
                <w:sz w:val="14"/>
                <w:szCs w:val="14"/>
                <w:color w:val="auto"/>
              </w:rPr>
            </w:pPr>
          </w:p>
        </w:tc>
        <w:tc>
          <w:tcPr>
            <w:tcW w:w="13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8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66,131,651 and 67,045,105, respectively, shares issued and outstanding</w:t>
            </w:r>
          </w:p>
        </w:tc>
        <w:tc>
          <w:tcPr>
            <w:tcW w:w="200" w:type="dxa"/>
            <w:vAlign w:val="bottom"/>
            <w:shd w:val="clear" w:color="auto" w:fill="CCECFF"/>
          </w:tcPr>
          <w:p>
            <w:pPr>
              <w:spacing w:after="0"/>
              <w:rPr>
                <w:sz w:val="12"/>
                <w:szCs w:val="12"/>
                <w:color w:val="auto"/>
              </w:rPr>
            </w:pPr>
          </w:p>
        </w:tc>
        <w:tc>
          <w:tcPr>
            <w:tcW w:w="13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200" w:type="dxa"/>
            <w:vAlign w:val="bottom"/>
            <w:shd w:val="clear" w:color="auto" w:fill="CCECFF"/>
          </w:tcPr>
          <w:p>
            <w:pPr>
              <w:spacing w:after="0"/>
              <w:rPr>
                <w:sz w:val="16"/>
                <w:szCs w:val="16"/>
                <w:color w:val="auto"/>
              </w:rPr>
            </w:pPr>
          </w:p>
        </w:tc>
        <w:tc>
          <w:tcPr>
            <w:tcW w:w="138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440" w:type="dxa"/>
            <w:vAlign w:val="bottom"/>
            <w:vMerge w:val="continue"/>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779,938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CECFF"/>
          </w:tcPr>
          <w:p>
            <w:pPr>
              <w:spacing w:after="0"/>
              <w:rPr>
                <w:sz w:val="15"/>
                <w:szCs w:val="15"/>
                <w:color w:val="auto"/>
              </w:rPr>
            </w:pPr>
          </w:p>
        </w:tc>
        <w:tc>
          <w:tcPr>
            <w:tcW w:w="16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(115,679 )</w:t>
            </w:r>
          </w:p>
        </w:tc>
        <w:tc>
          <w:tcPr>
            <w:tcW w:w="14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(126,916 )</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664,325</w:t>
            </w:r>
          </w:p>
        </w:tc>
        <w:tc>
          <w:tcPr>
            <w:tcW w:w="240" w:type="dxa"/>
            <w:vAlign w:val="bottom"/>
            <w:tcBorders>
              <w:top w:val="single" w:sz="8" w:color="CCEC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660,144</w:t>
            </w:r>
          </w:p>
        </w:tc>
        <w:tc>
          <w:tcPr>
            <w:tcW w:w="6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CECFF"/>
            </w:tcBorders>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1,246,022</w:t>
            </w:r>
          </w:p>
        </w:tc>
        <w:tc>
          <w:tcPr>
            <w:tcW w:w="24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1,295,092</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10.05</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-3214370</wp:posOffset>
            </wp:positionV>
            <wp:extent cx="431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-3214370</wp:posOffset>
            </wp:positionV>
            <wp:extent cx="43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-2528570</wp:posOffset>
            </wp:positionV>
            <wp:extent cx="4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-2528570</wp:posOffset>
            </wp:positionV>
            <wp:extent cx="4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-1182370</wp:posOffset>
            </wp:positionV>
            <wp:extent cx="431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-1182370</wp:posOffset>
            </wp:positionV>
            <wp:extent cx="431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-402590</wp:posOffset>
            </wp:positionV>
            <wp:extent cx="431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-402590</wp:posOffset>
            </wp:positionV>
            <wp:extent cx="431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-162560</wp:posOffset>
            </wp:positionV>
            <wp:extent cx="431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-145415</wp:posOffset>
            </wp:positionV>
            <wp:extent cx="43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-145415</wp:posOffset>
            </wp:positionV>
            <wp:extent cx="4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 w:name="page5"/>
    <w:bookmarkEnd w:id="4"/>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2200" w:type="dxa"/>
            <w:vAlign w:val="bottom"/>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69"/>
        </w:trPr>
        <w:tc>
          <w:tcPr>
            <w:tcW w:w="6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6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14,543</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30,083</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23,101</w:t>
            </w:r>
          </w:p>
        </w:tc>
        <w:tc>
          <w:tcPr>
            <w:tcW w:w="60" w:type="dxa"/>
            <w:vAlign w:val="bottom"/>
            <w:shd w:val="clear" w:color="auto" w:fill="CCECFF"/>
          </w:tcPr>
          <w:p>
            <w:pPr>
              <w:spacing w:after="0"/>
              <w:rPr>
                <w:sz w:val="15"/>
                <w:szCs w:val="15"/>
                <w:color w:val="auto"/>
              </w:rPr>
            </w:pPr>
          </w:p>
        </w:tc>
      </w:tr>
      <w:tr>
        <w:trPr>
          <w:trHeight w:val="176"/>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60" w:type="dxa"/>
            <w:vAlign w:val="bottom"/>
          </w:tcPr>
          <w:p>
            <w:pPr>
              <w:spacing w:after="0"/>
              <w:rPr>
                <w:sz w:val="15"/>
                <w:szCs w:val="15"/>
                <w:color w:val="auto"/>
              </w:rPr>
            </w:pPr>
          </w:p>
        </w:tc>
      </w:tr>
      <w:tr>
        <w:trPr>
          <w:trHeight w:val="176"/>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6,803</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60" w:type="dxa"/>
            <w:vAlign w:val="bottom"/>
            <w:shd w:val="clear" w:color="auto" w:fill="CCECFF"/>
          </w:tcPr>
          <w:p>
            <w:pPr>
              <w:spacing w:after="0"/>
              <w:rPr>
                <w:sz w:val="15"/>
                <w:szCs w:val="15"/>
                <w:color w:val="auto"/>
              </w:rPr>
            </w:pPr>
          </w:p>
        </w:tc>
      </w:tr>
      <w:tr>
        <w:trPr>
          <w:trHeight w:val="175"/>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14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60" w:type="dxa"/>
            <w:vAlign w:val="bottom"/>
            <w:shd w:val="clear" w:color="auto" w:fill="CCECFF"/>
          </w:tcPr>
          <w:p>
            <w:pPr>
              <w:spacing w:after="0"/>
              <w:rPr>
                <w:sz w:val="15"/>
                <w:szCs w:val="15"/>
                <w:color w:val="auto"/>
              </w:rPr>
            </w:pPr>
          </w:p>
        </w:tc>
      </w:tr>
      <w:tr>
        <w:trPr>
          <w:trHeight w:val="175"/>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60" w:type="dxa"/>
            <w:vAlign w:val="bottom"/>
            <w:shd w:val="clear" w:color="auto" w:fill="CCECFF"/>
          </w:tcPr>
          <w:p>
            <w:pPr>
              <w:spacing w:after="0"/>
              <w:rPr>
                <w:sz w:val="15"/>
                <w:szCs w:val="15"/>
                <w:color w:val="auto"/>
              </w:rPr>
            </w:pPr>
          </w:p>
        </w:tc>
      </w:tr>
      <w:tr>
        <w:trPr>
          <w:trHeight w:val="176"/>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60" w:type="dxa"/>
            <w:vAlign w:val="bottom"/>
          </w:tcPr>
          <w:p>
            <w:pPr>
              <w:spacing w:after="0"/>
              <w:rPr>
                <w:sz w:val="15"/>
                <w:szCs w:val="15"/>
                <w:color w:val="auto"/>
              </w:rPr>
            </w:pPr>
          </w:p>
        </w:tc>
      </w:tr>
      <w:tr>
        <w:trPr>
          <w:trHeight w:val="175"/>
        </w:trPr>
        <w:tc>
          <w:tcPr>
            <w:tcW w:w="62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14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2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2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1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60" w:type="dxa"/>
            <w:vAlign w:val="bottom"/>
            <w:tcBorders>
              <w:bottom w:val="single" w:sz="8" w:color="CCECFF"/>
            </w:tcBorders>
            <w:shd w:val="clear" w:color="auto" w:fill="CCECFF"/>
          </w:tcPr>
          <w:p>
            <w:pPr>
              <w:spacing w:after="0"/>
              <w:rPr>
                <w:sz w:val="15"/>
                <w:szCs w:val="15"/>
                <w:color w:val="auto"/>
              </w:rPr>
            </w:pPr>
          </w:p>
        </w:tc>
      </w:tr>
      <w:tr>
        <w:trPr>
          <w:trHeight w:val="169"/>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24,339</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52,687</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37,966</w:t>
            </w:r>
          </w:p>
        </w:tc>
        <w:tc>
          <w:tcPr>
            <w:tcW w:w="60" w:type="dxa"/>
            <w:vAlign w:val="bottom"/>
          </w:tcPr>
          <w:p>
            <w:pPr>
              <w:spacing w:after="0"/>
              <w:rPr>
                <w:sz w:val="14"/>
                <w:szCs w:val="14"/>
                <w:color w:val="auto"/>
              </w:rPr>
            </w:pPr>
          </w:p>
        </w:tc>
      </w:tr>
      <w:tr>
        <w:trPr>
          <w:trHeight w:val="169"/>
        </w:trPr>
        <w:tc>
          <w:tcPr>
            <w:tcW w:w="6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5"/>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Base management fee (See Note 3)</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8,397</w:t>
            </w:r>
          </w:p>
        </w:tc>
        <w:tc>
          <w:tcPr>
            <w:tcW w:w="60" w:type="dxa"/>
            <w:vAlign w:val="bottom"/>
          </w:tcPr>
          <w:p>
            <w:pPr>
              <w:spacing w:after="0"/>
              <w:rPr>
                <w:sz w:val="15"/>
                <w:szCs w:val="15"/>
                <w:color w:val="auto"/>
              </w:rPr>
            </w:pPr>
          </w:p>
        </w:tc>
      </w:tr>
      <w:tr>
        <w:trPr>
          <w:trHeight w:val="176"/>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 (See Note 3)</w:t>
            </w:r>
          </w:p>
        </w:tc>
        <w:tc>
          <w:tcPr>
            <w:tcW w:w="14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8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expenses on debt (See Note 10)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9,894</w:t>
            </w:r>
          </w:p>
        </w:tc>
        <w:tc>
          <w:tcPr>
            <w:tcW w:w="60" w:type="dxa"/>
            <w:vAlign w:val="bottom"/>
          </w:tcPr>
          <w:p>
            <w:pPr>
              <w:spacing w:after="0"/>
              <w:rPr>
                <w:sz w:val="15"/>
                <w:szCs w:val="15"/>
                <w:color w:val="auto"/>
              </w:rPr>
            </w:pPr>
          </w:p>
        </w:tc>
      </w:tr>
      <w:tr>
        <w:trPr>
          <w:trHeight w:val="176"/>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 (See Note 3)</w:t>
            </w:r>
          </w:p>
        </w:tc>
        <w:tc>
          <w:tcPr>
            <w:tcW w:w="1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60" w:type="dxa"/>
            <w:vAlign w:val="bottom"/>
            <w:shd w:val="clear" w:color="auto" w:fill="CCECFF"/>
          </w:tcPr>
          <w:p>
            <w:pPr>
              <w:spacing w:after="0"/>
              <w:rPr>
                <w:sz w:val="15"/>
                <w:szCs w:val="15"/>
                <w:color w:val="auto"/>
              </w:rPr>
            </w:pPr>
          </w:p>
        </w:tc>
      </w:tr>
      <w:tr>
        <w:trPr>
          <w:trHeight w:val="176"/>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60" w:type="dxa"/>
            <w:vAlign w:val="bottom"/>
          </w:tcPr>
          <w:p>
            <w:pPr>
              <w:spacing w:after="0"/>
              <w:rPr>
                <w:sz w:val="15"/>
                <w:szCs w:val="15"/>
                <w:color w:val="auto"/>
              </w:rPr>
            </w:pPr>
          </w:p>
        </w:tc>
      </w:tr>
      <w:tr>
        <w:trPr>
          <w:trHeight w:val="169"/>
        </w:trPr>
        <w:tc>
          <w:tcPr>
            <w:tcW w:w="62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 before provision for taxes</w:t>
            </w:r>
          </w:p>
        </w:tc>
        <w:tc>
          <w:tcPr>
            <w:tcW w:w="1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12,452</w:t>
            </w:r>
          </w:p>
        </w:tc>
        <w:tc>
          <w:tcPr>
            <w:tcW w:w="2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10,320</w:t>
            </w:r>
          </w:p>
        </w:tc>
        <w:tc>
          <w:tcPr>
            <w:tcW w:w="22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28,078</w:t>
            </w:r>
          </w:p>
        </w:tc>
        <w:tc>
          <w:tcPr>
            <w:tcW w:w="1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20,588</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investment income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60" w:type="dxa"/>
            <w:vAlign w:val="bottom"/>
          </w:tcPr>
          <w:p>
            <w:pPr>
              <w:spacing w:after="0"/>
              <w:rPr>
                <w:sz w:val="14"/>
                <w:szCs w:val="14"/>
                <w:color w:val="auto"/>
              </w:rPr>
            </w:pPr>
          </w:p>
        </w:tc>
      </w:tr>
      <w:tr>
        <w:trPr>
          <w:trHeight w:val="169"/>
        </w:trPr>
        <w:tc>
          <w:tcPr>
            <w:tcW w:w="62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1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12,652</w:t>
            </w:r>
          </w:p>
        </w:tc>
        <w:tc>
          <w:tcPr>
            <w:tcW w:w="2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10,470</w:t>
            </w:r>
          </w:p>
        </w:tc>
        <w:tc>
          <w:tcPr>
            <w:tcW w:w="22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28,478</w:t>
            </w:r>
          </w:p>
        </w:tc>
        <w:tc>
          <w:tcPr>
            <w:tcW w:w="1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20,888</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24,209</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17,078</w:t>
            </w:r>
          </w:p>
        </w:tc>
        <w:tc>
          <w:tcPr>
            <w:tcW w:w="60" w:type="dxa"/>
            <w:vAlign w:val="bottom"/>
          </w:tcPr>
          <w:p>
            <w:pPr>
              <w:spacing w:after="0"/>
              <w:rPr>
                <w:sz w:val="14"/>
                <w:szCs w:val="14"/>
                <w:color w:val="auto"/>
              </w:rPr>
            </w:pPr>
          </w:p>
        </w:tc>
      </w:tr>
      <w:tr>
        <w:trPr>
          <w:trHeight w:val="169"/>
        </w:trPr>
        <w:tc>
          <w:tcPr>
            <w:tcW w:w="6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1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5"/>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7,090</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60" w:type="dxa"/>
            <w:vAlign w:val="bottom"/>
            <w:shd w:val="clear" w:color="auto" w:fill="CCECFF"/>
          </w:tcPr>
          <w:p>
            <w:pPr>
              <w:spacing w:after="0"/>
              <w:rPr>
                <w:sz w:val="15"/>
                <w:szCs w:val="15"/>
                <w:color w:val="auto"/>
              </w:rPr>
            </w:pPr>
          </w:p>
        </w:tc>
      </w:tr>
      <w:tr>
        <w:trPr>
          <w:trHeight w:val="175"/>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140,898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109,624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(19,708 )</w:t>
            </w:r>
          </w:p>
        </w:tc>
      </w:tr>
      <w:tr>
        <w:trPr>
          <w:trHeight w:val="176"/>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Debt extinguishment</w:t>
            </w:r>
          </w:p>
        </w:tc>
        <w:tc>
          <w:tcPr>
            <w:tcW w:w="14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(1,132 )</w:t>
            </w:r>
          </w:p>
        </w:tc>
        <w:tc>
          <w:tcPr>
            <w:tcW w:w="24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(2,801 )</w:t>
            </w:r>
          </w:p>
        </w:tc>
        <w:tc>
          <w:tcPr>
            <w:tcW w:w="240" w:type="dxa"/>
            <w:vAlign w:val="bottom"/>
            <w:shd w:val="clear" w:color="auto" w:fill="CCECFF"/>
          </w:tcPr>
          <w:p>
            <w:pPr>
              <w:spacing w:after="0"/>
              <w:rPr>
                <w:sz w:val="15"/>
                <w:szCs w:val="15"/>
                <w:color w:val="auto"/>
              </w:rPr>
            </w:pPr>
          </w:p>
        </w:tc>
        <w:tc>
          <w:tcPr>
            <w:tcW w:w="88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realized gain on investments</w:t>
            </w:r>
          </w:p>
        </w:tc>
        <w:tc>
          <w:tcPr>
            <w:tcW w:w="14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(5,060 )</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(5,060 )</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2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gain (loss) on investments and debt</w:t>
            </w:r>
          </w:p>
        </w:tc>
        <w:tc>
          <w:tcPr>
            <w:tcW w:w="14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136,595</w:t>
            </w:r>
          </w:p>
        </w:tc>
        <w:tc>
          <w:tcPr>
            <w:tcW w:w="2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2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108,853</w:t>
            </w:r>
          </w:p>
        </w:tc>
        <w:tc>
          <w:tcPr>
            <w:tcW w:w="1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(17,258</w:t>
            </w:r>
          </w:p>
        </w:tc>
        <w:tc>
          <w:tcPr>
            <w:tcW w:w="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(158,062 )</w:t>
            </w: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11,207</w:t>
            </w: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(207,665 )</w:t>
            </w: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87,612</w:t>
            </w:r>
          </w:p>
        </w:tc>
        <w:tc>
          <w:tcPr>
            <w:tcW w:w="60" w:type="dxa"/>
            <w:vAlign w:val="bottom"/>
            <w:shd w:val="clear" w:color="auto" w:fill="CCECFF"/>
          </w:tcPr>
          <w:p>
            <w:pPr>
              <w:spacing w:after="0"/>
              <w:rPr>
                <w:sz w:val="15"/>
                <w:szCs w:val="15"/>
                <w:color w:val="auto"/>
              </w:rPr>
            </w:pPr>
          </w:p>
        </w:tc>
      </w:tr>
      <w:tr>
        <w:trPr>
          <w:trHeight w:val="175"/>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102,982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39,069</w:t>
            </w:r>
          </w:p>
        </w:tc>
        <w:tc>
          <w:tcPr>
            <w:tcW w:w="60" w:type="dxa"/>
            <w:vAlign w:val="bottom"/>
          </w:tcPr>
          <w:p>
            <w:pPr>
              <w:spacing w:after="0"/>
              <w:rPr>
                <w:sz w:val="15"/>
                <w:szCs w:val="15"/>
                <w:color w:val="auto"/>
              </w:rPr>
            </w:pPr>
          </w:p>
        </w:tc>
      </w:tr>
      <w:tr>
        <w:trPr>
          <w:trHeight w:val="176"/>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Provision for taxes on unrealized appreciation on investments</w:t>
            </w:r>
          </w:p>
        </w:tc>
        <w:tc>
          <w:tcPr>
            <w:tcW w:w="1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88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(appreciation) depreciation (See Notes 5 and 10)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(3,763 )</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(16,873 )</w:t>
            </w:r>
          </w:p>
        </w:tc>
      </w:tr>
      <w:tr>
        <w:trPr>
          <w:trHeight w:val="169"/>
        </w:trPr>
        <w:tc>
          <w:tcPr>
            <w:tcW w:w="62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debt</w:t>
            </w:r>
          </w:p>
        </w:tc>
        <w:tc>
          <w:tcPr>
            <w:tcW w:w="14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(145,122</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29,413</w:t>
            </w:r>
          </w:p>
        </w:tc>
        <w:tc>
          <w:tcPr>
            <w:tcW w:w="22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(104,394</w:t>
            </w:r>
          </w:p>
        </w:tc>
        <w:tc>
          <w:tcPr>
            <w:tcW w:w="180" w:type="dxa"/>
            <w:vAlign w:val="bottom"/>
            <w:tcBorders>
              <w:bottom w:val="single" w:sz="8" w:color="CCECFF"/>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109,809</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debt</w:t>
            </w:r>
          </w:p>
        </w:tc>
        <w:tc>
          <w:tcPr>
            <w:tcW w:w="140" w:type="dxa"/>
            <w:vAlign w:val="bottom"/>
          </w:tcPr>
          <w:p>
            <w:pPr>
              <w:spacing w:after="0"/>
              <w:rPr>
                <w:sz w:val="14"/>
                <w:szCs w:val="14"/>
                <w:color w:val="auto"/>
              </w:rPr>
            </w:pP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(8,528 )</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92,551</w:t>
            </w:r>
          </w:p>
        </w:tc>
        <w:tc>
          <w:tcPr>
            <w:tcW w:w="60" w:type="dxa"/>
            <w:vAlign w:val="bottom"/>
          </w:tcPr>
          <w:p>
            <w:pPr>
              <w:spacing w:after="0"/>
              <w:rPr>
                <w:sz w:val="14"/>
                <w:szCs w:val="14"/>
                <w:color w:val="auto"/>
              </w:rPr>
            </w:pPr>
          </w:p>
        </w:tc>
      </w:tr>
      <w:tr>
        <w:trPr>
          <w:trHeight w:val="209"/>
        </w:trPr>
        <w:tc>
          <w:tcPr>
            <w:tcW w:w="628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140" w:type="dxa"/>
            <w:vAlign w:val="bottom"/>
            <w:tcBorders>
              <w:top w:val="single" w:sz="8" w:color="auto"/>
              <w:bottom w:val="single" w:sz="8" w:color="auto"/>
            </w:tcBorders>
            <w:shd w:val="clear" w:color="auto" w:fill="CCECFF"/>
          </w:tcPr>
          <w:p>
            <w:pPr>
              <w:spacing w:after="0"/>
              <w:rPr>
                <w:sz w:val="18"/>
                <w:szCs w:val="18"/>
                <w:color w:val="auto"/>
              </w:rPr>
            </w:pP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3,160</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spacing w:after="0"/>
              <w:rPr>
                <w:sz w:val="18"/>
                <w:szCs w:val="18"/>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38,495</w:t>
            </w:r>
          </w:p>
        </w:tc>
        <w:tc>
          <w:tcPr>
            <w:tcW w:w="22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28,668</w:t>
            </w:r>
          </w:p>
        </w:tc>
        <w:tc>
          <w:tcPr>
            <w:tcW w:w="1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spacing w:after="0"/>
              <w:rPr>
                <w:sz w:val="18"/>
                <w:szCs w:val="18"/>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109,629</w:t>
            </w:r>
          </w:p>
        </w:tc>
        <w:tc>
          <w:tcPr>
            <w:tcW w:w="60" w:type="dxa"/>
            <w:vAlign w:val="bottom"/>
            <w:tcBorders>
              <w:bottom w:val="single" w:sz="8" w:color="CCECFF"/>
            </w:tcBorders>
            <w:shd w:val="clear" w:color="auto" w:fill="CCECFF"/>
          </w:tcPr>
          <w:p>
            <w:pPr>
              <w:spacing w:after="0"/>
              <w:rPr>
                <w:sz w:val="18"/>
                <w:szCs w:val="18"/>
                <w:color w:val="auto"/>
              </w:rPr>
            </w:pPr>
          </w:p>
        </w:tc>
      </w:tr>
      <w:tr>
        <w:trPr>
          <w:trHeight w:val="156"/>
        </w:trPr>
        <w:tc>
          <w:tcPr>
            <w:tcW w:w="62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 per common share (See Note 7)</w:t>
            </w: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0.05</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0.57</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0.43</w:t>
            </w: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w:t>
            </w:r>
          </w:p>
        </w:tc>
        <w:tc>
          <w:tcPr>
            <w:tcW w:w="60" w:type="dxa"/>
            <w:vAlign w:val="bottom"/>
          </w:tcPr>
          <w:p>
            <w:pPr>
              <w:spacing w:after="0"/>
              <w:rPr>
                <w:sz w:val="13"/>
                <w:szCs w:val="13"/>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28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0.18</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0.13</w:t>
            </w:r>
          </w:p>
        </w:tc>
        <w:tc>
          <w:tcPr>
            <w:tcW w:w="2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0.36</w:t>
            </w:r>
          </w:p>
        </w:tc>
        <w:tc>
          <w:tcPr>
            <w:tcW w:w="18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0.25</w:t>
            </w:r>
          </w:p>
        </w:tc>
        <w:tc>
          <w:tcPr>
            <w:tcW w:w="60" w:type="dxa"/>
            <w:vAlign w:val="bottom"/>
            <w:tcBorders>
              <w:bottom w:val="single" w:sz="8" w:color="CCECFF"/>
            </w:tcBorders>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-3299460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-3299460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-3299460</wp:posOffset>
            </wp:positionV>
            <wp:extent cx="431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-3299460</wp:posOffset>
            </wp:positionV>
            <wp:extent cx="431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-2382520</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-2382520</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-2382520</wp:posOffset>
            </wp:positionV>
            <wp:extent cx="431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-2382520</wp:posOffset>
            </wp:positionV>
            <wp:extent cx="431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-2142490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-2142490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-2142490</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-2142490</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-1224915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-1224915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-1224915</wp:posOffset>
            </wp:positionV>
            <wp:extent cx="431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-1224915</wp:posOffset>
            </wp:positionV>
            <wp:extent cx="431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-539115</wp:posOffset>
            </wp:positionV>
            <wp:extent cx="51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-539115</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-539115</wp:posOffset>
            </wp:positionV>
            <wp:extent cx="431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-539115</wp:posOffset>
            </wp:positionV>
            <wp:extent cx="431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-299720</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-281940</wp:posOffset>
            </wp:positionV>
            <wp:extent cx="51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-299720</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-281940</wp:posOffset>
            </wp:positionV>
            <wp:extent cx="51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-299720</wp:posOffset>
            </wp:positionV>
            <wp:extent cx="431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-281940</wp:posOffset>
            </wp:positionV>
            <wp:extent cx="431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-299720</wp:posOffset>
            </wp:positionV>
            <wp:extent cx="431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-281940</wp:posOffset>
            </wp:positionV>
            <wp:extent cx="43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51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43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 w:name="page6"/>
    <w:bookmarkEnd w:id="5"/>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NET ASSETS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238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69"/>
        </w:trPr>
        <w:tc>
          <w:tcPr>
            <w:tcW w:w="58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5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2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8,763</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24,209</w:t>
            </w:r>
          </w:p>
        </w:tc>
        <w:tc>
          <w:tcPr>
            <w:tcW w:w="2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17,078</w:t>
            </w:r>
          </w:p>
        </w:tc>
        <w:tc>
          <w:tcPr>
            <w:tcW w:w="60" w:type="dxa"/>
            <w:vAlign w:val="bottom"/>
          </w:tcPr>
          <w:p>
            <w:pPr>
              <w:spacing w:after="0"/>
              <w:rPr>
                <w:sz w:val="15"/>
                <w:szCs w:val="15"/>
                <w:color w:val="auto"/>
              </w:rPr>
            </w:pPr>
          </w:p>
        </w:tc>
      </w:tr>
      <w:tr>
        <w:trPr>
          <w:trHeight w:val="175"/>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20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141,655</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113,913</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(17,258 )</w:t>
            </w:r>
          </w:p>
        </w:tc>
      </w:tr>
      <w:tr>
        <w:trPr>
          <w:trHeight w:val="176"/>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(depreciation) appreciation on investments</w:t>
            </w:r>
          </w:p>
        </w:tc>
        <w:tc>
          <w:tcPr>
            <w:tcW w:w="20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(151,452 )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(104,683 )</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126,681</w:t>
            </w:r>
          </w:p>
        </w:tc>
        <w:tc>
          <w:tcPr>
            <w:tcW w:w="60" w:type="dxa"/>
            <w:vAlign w:val="bottom"/>
          </w:tcPr>
          <w:p>
            <w:pPr>
              <w:spacing w:after="0"/>
              <w:rPr>
                <w:sz w:val="15"/>
                <w:szCs w:val="15"/>
                <w:color w:val="auto"/>
              </w:rPr>
            </w:pPr>
          </w:p>
        </w:tc>
      </w:tr>
      <w:tr>
        <w:trPr>
          <w:trHeight w:val="176"/>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change in provision for taxes on net realized gain (loss) on investments</w:t>
            </w:r>
          </w:p>
        </w:tc>
        <w:tc>
          <w:tcPr>
            <w:tcW w:w="20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(5,060 )</w:t>
            </w:r>
          </w:p>
        </w:tc>
        <w:tc>
          <w:tcPr>
            <w:tcW w:w="26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(5,060 )</w:t>
            </w:r>
          </w:p>
        </w:tc>
        <w:tc>
          <w:tcPr>
            <w:tcW w:w="26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provision for taxes on unrealized appreciation on investments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20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(3,763 )</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(16,873 )</w:t>
            </w:r>
          </w:p>
        </w:tc>
      </w:tr>
      <w:tr>
        <w:trPr>
          <w:trHeight w:val="169"/>
        </w:trPr>
        <w:tc>
          <w:tcPr>
            <w:tcW w:w="580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220" w:type="dxa"/>
            <w:vAlign w:val="bottom"/>
            <w:tcBorders>
              <w:top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38,495</w:t>
            </w:r>
          </w:p>
        </w:tc>
        <w:tc>
          <w:tcPr>
            <w:tcW w:w="220" w:type="dxa"/>
            <w:vAlign w:val="bottom"/>
            <w:tcBorders>
              <w:top w:val="single" w:sz="8" w:color="CCEC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28,668</w:t>
            </w:r>
          </w:p>
        </w:tc>
        <w:tc>
          <w:tcPr>
            <w:tcW w:w="200" w:type="dxa"/>
            <w:vAlign w:val="bottom"/>
            <w:tcBorders>
              <w:top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109,629</w:t>
            </w:r>
          </w:p>
        </w:tc>
        <w:tc>
          <w:tcPr>
            <w:tcW w:w="60" w:type="dxa"/>
            <w:vAlign w:val="bottom"/>
            <w:tcBorders>
              <w:top w:val="single" w:sz="8" w:color="CCECFF"/>
            </w:tcBorders>
          </w:tcPr>
          <w:p>
            <w:pPr>
              <w:spacing w:after="0"/>
              <w:rPr>
                <w:sz w:val="14"/>
                <w:szCs w:val="14"/>
                <w:color w:val="auto"/>
              </w:rPr>
            </w:pPr>
          </w:p>
        </w:tc>
      </w:tr>
      <w:tr>
        <w:trPr>
          <w:trHeight w:val="169"/>
        </w:trPr>
        <w:tc>
          <w:tcPr>
            <w:tcW w:w="58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20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(9,386</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(17,432</w:t>
            </w:r>
          </w:p>
        </w:tc>
        <w:tc>
          <w:tcPr>
            <w:tcW w:w="200" w:type="dxa"/>
            <w:vAlign w:val="bottom"/>
            <w:tcBorders>
              <w:bottom w:val="single" w:sz="8" w:color="CCECFF"/>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(16,091</w:t>
            </w:r>
          </w:p>
        </w:tc>
        <w:tc>
          <w:tcPr>
            <w:tcW w:w="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Capital Transactions:</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8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Repurchase of common stock (See Note 13)</w:t>
            </w:r>
          </w:p>
        </w:tc>
        <w:tc>
          <w:tcPr>
            <w:tcW w:w="20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(7,055</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(7,055</w:t>
            </w:r>
          </w:p>
        </w:tc>
        <w:tc>
          <w:tcPr>
            <w:tcW w:w="200" w:type="dxa"/>
            <w:vAlign w:val="bottom"/>
            <w:tcBorders>
              <w:bottom w:val="single" w:sz="8" w:color="CCECFF"/>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net assets</w:t>
            </w:r>
          </w:p>
        </w:tc>
        <w:tc>
          <w:tcPr>
            <w:tcW w:w="20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(13,281 )</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93,538</w:t>
            </w:r>
          </w:p>
        </w:tc>
        <w:tc>
          <w:tcPr>
            <w:tcW w:w="60" w:type="dxa"/>
            <w:vAlign w:val="bottom"/>
          </w:tcPr>
          <w:p>
            <w:pPr>
              <w:spacing w:after="0"/>
              <w:rPr>
                <w:sz w:val="14"/>
                <w:szCs w:val="14"/>
                <w:color w:val="auto"/>
              </w:rPr>
            </w:pPr>
          </w:p>
        </w:tc>
      </w:tr>
      <w:tr>
        <w:trPr>
          <w:trHeight w:val="169"/>
        </w:trPr>
        <w:tc>
          <w:tcPr>
            <w:tcW w:w="5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00" w:type="dxa"/>
            <w:vAlign w:val="bottom"/>
            <w:tcBorders>
              <w:top w:val="single" w:sz="8" w:color="auto"/>
            </w:tcBorders>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5"/>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Beginning of period</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677,609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588,797</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660,144</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525,709</w:t>
            </w:r>
          </w:p>
        </w:tc>
        <w:tc>
          <w:tcPr>
            <w:tcW w:w="60" w:type="dxa"/>
            <w:vAlign w:val="bottom"/>
          </w:tcPr>
          <w:p>
            <w:pPr>
              <w:spacing w:after="0"/>
              <w:rPr>
                <w:sz w:val="15"/>
                <w:szCs w:val="15"/>
                <w:color w:val="auto"/>
              </w:rPr>
            </w:pPr>
          </w:p>
        </w:tc>
      </w:tr>
      <w:tr>
        <w:trPr>
          <w:trHeight w:val="209"/>
        </w:trPr>
        <w:tc>
          <w:tcPr>
            <w:tcW w:w="5800" w:type="dxa"/>
            <w:vAlign w:val="bottom"/>
            <w:tcBorders>
              <w:bottom w:val="single" w:sz="8" w:color="CCECFF"/>
            </w:tcBorders>
            <w:shd w:val="clear" w:color="auto" w:fill="CCECFF"/>
          </w:tcPr>
          <w:p>
            <w:pPr>
              <w:ind w:left="200"/>
              <w:spacing w:after="0" w:line="155" w:lineRule="exact"/>
              <w:rPr>
                <w:sz w:val="20"/>
                <w:szCs w:val="20"/>
                <w:color w:val="auto"/>
              </w:rPr>
            </w:pPr>
            <w:r>
              <w:rPr>
                <w:rFonts w:ascii="Times New Roman" w:cs="Times New Roman" w:eastAsia="Times New Roman" w:hAnsi="Times New Roman"/>
                <w:sz w:val="14"/>
                <w:szCs w:val="14"/>
                <w:color w:val="auto"/>
              </w:rPr>
              <w:t>End of period</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664,327</w:t>
            </w: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619,246</w:t>
            </w:r>
          </w:p>
        </w:tc>
        <w:tc>
          <w:tcPr>
            <w:tcW w:w="2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664,324</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619,246</w:t>
            </w:r>
          </w:p>
        </w:tc>
        <w:tc>
          <w:tcPr>
            <w:tcW w:w="60" w:type="dxa"/>
            <w:vAlign w:val="bottom"/>
            <w:tcBorders>
              <w:bottom w:val="single" w:sz="8" w:color="CCECFF"/>
            </w:tcBorders>
            <w:shd w:val="clear" w:color="auto" w:fill="CCECFF"/>
          </w:tcPr>
          <w:p>
            <w:pPr>
              <w:spacing w:after="0"/>
              <w:rPr>
                <w:sz w:val="18"/>
                <w:szCs w:val="18"/>
                <w:color w:val="auto"/>
              </w:rPr>
            </w:pPr>
          </w:p>
        </w:tc>
      </w:tr>
      <w:tr>
        <w:trPr>
          <w:trHeight w:val="156"/>
        </w:trPr>
        <w:tc>
          <w:tcPr>
            <w:tcW w:w="58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Capital share activity:</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5800" w:type="dxa"/>
            <w:vAlign w:val="bottom"/>
            <w:tcBorders>
              <w:bottom w:val="single" w:sz="8" w:color="CCECFF"/>
            </w:tcBorders>
            <w:shd w:val="clear" w:color="auto" w:fill="CCECFF"/>
          </w:tcPr>
          <w:p>
            <w:pPr>
              <w:ind w:left="200"/>
              <w:spacing w:after="0" w:line="155" w:lineRule="exact"/>
              <w:rPr>
                <w:sz w:val="20"/>
                <w:szCs w:val="20"/>
                <w:color w:val="auto"/>
              </w:rPr>
            </w:pPr>
            <w:r>
              <w:rPr>
                <w:rFonts w:ascii="Times New Roman" w:cs="Times New Roman" w:eastAsia="Times New Roman" w:hAnsi="Times New Roman"/>
                <w:sz w:val="14"/>
                <w:szCs w:val="14"/>
                <w:color w:val="auto"/>
              </w:rPr>
              <w:t>Shares of common stock repurchased</w:t>
            </w:r>
          </w:p>
        </w:tc>
        <w:tc>
          <w:tcPr>
            <w:tcW w:w="20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913,454</w:t>
            </w: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913,454</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-1224915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-1224915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-1224915</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-1224915</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-985520</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-985520</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-985520</wp:posOffset>
            </wp:positionV>
            <wp:extent cx="431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-985520</wp:posOffset>
            </wp:positionV>
            <wp:extent cx="43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-744855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-744855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-744855</wp:posOffset>
            </wp:positionV>
            <wp:extent cx="4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-744855</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-273685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-256540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-273685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-256540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-273685</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-256540</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-273685</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-256540</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 w:name="page7"/>
    <w:bookmarkEnd w:id="6"/>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28,669</w:t>
            </w:r>
          </w:p>
        </w:tc>
        <w:tc>
          <w:tcPr>
            <w:tcW w:w="260" w:type="dxa"/>
            <w:vAlign w:val="bottom"/>
          </w:tcPr>
          <w:p>
            <w:pPr>
              <w:spacing w:after="0"/>
              <w:rPr>
                <w:sz w:val="15"/>
                <w:szCs w:val="15"/>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109,629</w:t>
            </w:r>
          </w:p>
        </w:tc>
        <w:tc>
          <w:tcPr>
            <w:tcW w:w="60" w:type="dxa"/>
            <w:vAlign w:val="bottom"/>
          </w:tcPr>
          <w:p>
            <w:pPr>
              <w:spacing w:after="0"/>
              <w:rPr>
                <w:sz w:val="15"/>
                <w:szCs w:val="15"/>
                <w:color w:val="auto"/>
              </w:rPr>
            </w:pPr>
          </w:p>
        </w:tc>
      </w:tr>
      <w:tr>
        <w:trPr>
          <w:trHeight w:val="153"/>
        </w:trPr>
        <w:tc>
          <w:tcPr>
            <w:tcW w:w="7700" w:type="dxa"/>
            <w:vAlign w:val="bottom"/>
            <w:shd w:val="clear" w:color="auto" w:fill="CCECFF"/>
          </w:tcPr>
          <w:p>
            <w:pPr>
              <w:ind w:left="380"/>
              <w:spacing w:after="0" w:line="153" w:lineRule="exact"/>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w:t>
            </w:r>
          </w:p>
        </w:tc>
        <w:tc>
          <w:tcPr>
            <w:tcW w:w="10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r>
      <w:tr>
        <w:trPr>
          <w:trHeight w:val="171"/>
        </w:trPr>
        <w:tc>
          <w:tcPr>
            <w:tcW w:w="77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operations to net cash (used in) provided by operating activities:</w:t>
            </w:r>
          </w:p>
        </w:tc>
        <w:tc>
          <w:tcPr>
            <w:tcW w:w="10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change in net unrealized (appreciation) depreciation on investments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104,683</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(126,681 )</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(289 )</w:t>
            </w: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16,873</w:t>
            </w:r>
          </w:p>
        </w:tc>
        <w:tc>
          <w:tcPr>
            <w:tcW w:w="60" w:type="dxa"/>
            <w:vAlign w:val="bottom"/>
            <w:shd w:val="clear" w:color="auto" w:fill="CCECFF"/>
          </w:tcPr>
          <w:p>
            <w:pPr>
              <w:spacing w:after="0"/>
              <w:rPr>
                <w:sz w:val="15"/>
                <w:szCs w:val="15"/>
                <w:color w:val="auto"/>
              </w:rPr>
            </w:pP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(116,714 )</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17,258</w:t>
            </w:r>
          </w:p>
        </w:tc>
        <w:tc>
          <w:tcPr>
            <w:tcW w:w="60" w:type="dxa"/>
            <w:vAlign w:val="bottom"/>
          </w:tcPr>
          <w:p>
            <w:pPr>
              <w:spacing w:after="0"/>
              <w:rPr>
                <w:sz w:val="15"/>
                <w:szCs w:val="15"/>
                <w:color w:val="auto"/>
              </w:rPr>
            </w:pP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Debt extinguishment realized loss</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(3,515 )</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(1,643 )</w:t>
            </w:r>
          </w:p>
        </w:tc>
      </w:tr>
      <w:tr>
        <w:trPr>
          <w:trHeight w:val="175"/>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(473,128 )</w:t>
            </w:r>
          </w:p>
        </w:tc>
        <w:tc>
          <w:tcPr>
            <w:tcW w:w="100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(143,008 )</w:t>
            </w: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Payment-in-kind income</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(7,688 )</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(7,058 )</w:t>
            </w:r>
          </w:p>
        </w:tc>
      </w:tr>
      <w:tr>
        <w:trPr>
          <w:trHeight w:val="175"/>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Proceeds from dispositions of investments</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537,695</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167,585</w:t>
            </w:r>
          </w:p>
        </w:tc>
        <w:tc>
          <w:tcPr>
            <w:tcW w:w="60" w:type="dxa"/>
            <w:vAlign w:val="bottom"/>
            <w:shd w:val="clear" w:color="auto" w:fill="CCECFF"/>
          </w:tcPr>
          <w:p>
            <w:pPr>
              <w:spacing w:after="0"/>
              <w:rPr>
                <w:sz w:val="15"/>
                <w:szCs w:val="15"/>
                <w:color w:val="auto"/>
              </w:rPr>
            </w:pP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60" w:type="dxa"/>
            <w:vAlign w:val="bottom"/>
          </w:tcPr>
          <w:p>
            <w:pPr>
              <w:spacing w:after="0"/>
              <w:rPr>
                <w:sz w:val="15"/>
                <w:szCs w:val="15"/>
                <w:color w:val="auto"/>
              </w:rPr>
            </w:pP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Decrease in interest receivable</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shd w:val="clear" w:color="auto" w:fill="CCECFF"/>
          </w:tcPr>
          <w:p>
            <w:pPr>
              <w:spacing w:after="0"/>
              <w:rPr>
                <w:sz w:val="15"/>
                <w:szCs w:val="15"/>
                <w:color w:val="auto"/>
              </w:rPr>
            </w:pP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Decrease in receivables from investments sold</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 in distribution receivable</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(726 )</w:t>
            </w:r>
          </w:p>
        </w:tc>
        <w:tc>
          <w:tcPr>
            <w:tcW w:w="100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(58 )</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 in prepaid expenses and other assets</w:t>
            </w:r>
          </w:p>
        </w:tc>
        <w:tc>
          <w:tcPr>
            <w:tcW w:w="102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 in payable for investments purchased</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13,120</w:t>
            </w:r>
          </w:p>
        </w:tc>
        <w:tc>
          <w:tcPr>
            <w:tcW w:w="60" w:type="dxa"/>
            <w:vAlign w:val="bottom"/>
            <w:shd w:val="clear" w:color="auto" w:fill="CCECFF"/>
          </w:tcPr>
          <w:p>
            <w:pPr>
              <w:spacing w:after="0"/>
              <w:rPr>
                <w:sz w:val="15"/>
                <w:szCs w:val="15"/>
                <w:color w:val="auto"/>
              </w:rPr>
            </w:pP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 (decrease) in interest payable on debt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 (decrease) in base management fee payable, net</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(88 )</w:t>
            </w: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Decrease in performance-based incentive fee payable, net</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(575 )</w:t>
            </w:r>
          </w:p>
        </w:tc>
        <w:tc>
          <w:tcPr>
            <w:tcW w:w="1000" w:type="dxa"/>
            <w:vAlign w:val="bottom"/>
          </w:tcPr>
          <w:p>
            <w:pPr>
              <w:spacing w:after="0"/>
              <w:rPr>
                <w:sz w:val="15"/>
                <w:szCs w:val="15"/>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(Decrease) increase in accrued other expenses</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(223 )</w:t>
            </w: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CECFF"/>
          </w:tcPr>
          <w:p>
            <w:pPr>
              <w:spacing w:after="0"/>
              <w:rPr>
                <w:sz w:val="15"/>
                <w:szCs w:val="15"/>
                <w:color w:val="auto"/>
              </w:rPr>
            </w:pPr>
          </w:p>
        </w:tc>
      </w:tr>
      <w:tr>
        <w:trPr>
          <w:trHeight w:val="169"/>
        </w:trPr>
        <w:tc>
          <w:tcPr>
            <w:tcW w:w="7700" w:type="dxa"/>
            <w:vAlign w:val="bottom"/>
            <w:tcBorders>
              <w:top w:val="single" w:sz="8" w:color="CCECFF"/>
            </w:tcBorders>
          </w:tcPr>
          <w:p>
            <w:pPr>
              <w:ind w:left="110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0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89,753</w:t>
            </w:r>
          </w:p>
        </w:tc>
        <w:tc>
          <w:tcPr>
            <w:tcW w:w="260" w:type="dxa"/>
            <w:vAlign w:val="bottom"/>
            <w:tcBorders>
              <w:top w:val="single" w:sz="8" w:color="CCECFF"/>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46,767</w:t>
            </w:r>
          </w:p>
        </w:tc>
        <w:tc>
          <w:tcPr>
            <w:tcW w:w="60" w:type="dxa"/>
            <w:vAlign w:val="bottom"/>
            <w:tcBorders>
              <w:top w:val="single" w:sz="8" w:color="CCECFF"/>
            </w:tcBorders>
          </w:tcPr>
          <w:p>
            <w:pPr>
              <w:spacing w:after="0"/>
              <w:rPr>
                <w:sz w:val="14"/>
                <w:szCs w:val="14"/>
                <w:color w:val="auto"/>
              </w:rPr>
            </w:pPr>
          </w:p>
        </w:tc>
      </w:tr>
      <w:tr>
        <w:trPr>
          <w:trHeight w:val="169"/>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(7,055 )</w:t>
            </w:r>
          </w:p>
        </w:tc>
        <w:tc>
          <w:tcPr>
            <w:tcW w:w="1000" w:type="dxa"/>
            <w:vAlign w:val="bottom"/>
          </w:tcPr>
          <w:p>
            <w:pPr>
              <w:spacing w:after="0"/>
              <w:rPr>
                <w:sz w:val="15"/>
                <w:szCs w:val="15"/>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Distributions paid to stockholders</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(16,091 )</w:t>
            </w:r>
          </w:p>
        </w:tc>
        <w:tc>
          <w:tcPr>
            <w:tcW w:w="100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(16,091 )</w:t>
            </w: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repayments of the 2024 Notes issuance</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(86,250 )</w:t>
            </w:r>
          </w:p>
        </w:tc>
        <w:tc>
          <w:tcPr>
            <w:tcW w:w="1000" w:type="dxa"/>
            <w:vAlign w:val="bottom"/>
          </w:tcPr>
          <w:p>
            <w:pPr>
              <w:spacing w:after="0"/>
              <w:rPr>
                <w:sz w:val="15"/>
                <w:szCs w:val="15"/>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Proceeds from 2026 Notes-2 issuance</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160,519</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Repayments under SBA debentures</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(36,358 )</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175"/>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Borrowings under Truist Credit Facility</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496,841</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91,564</w:t>
            </w:r>
          </w:p>
        </w:tc>
        <w:tc>
          <w:tcPr>
            <w:tcW w:w="60" w:type="dxa"/>
            <w:vAlign w:val="bottom"/>
            <w:shd w:val="clear" w:color="auto" w:fill="CCECFF"/>
          </w:tcPr>
          <w:p>
            <w:pPr>
              <w:spacing w:after="0"/>
              <w:rPr>
                <w:sz w:val="15"/>
                <w:szCs w:val="15"/>
                <w:color w:val="auto"/>
              </w:rPr>
            </w:pP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Repayments under Truist Credit Facility</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(595,466 )</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(104,271 )</w:t>
            </w:r>
          </w:p>
        </w:tc>
      </w:tr>
      <w:tr>
        <w:trPr>
          <w:trHeight w:val="169"/>
        </w:trPr>
        <w:tc>
          <w:tcPr>
            <w:tcW w:w="7700" w:type="dxa"/>
            <w:vAlign w:val="bottom"/>
            <w:tcBorders>
              <w:bottom w:val="single" w:sz="8" w:color="CCECFF"/>
            </w:tcBorders>
            <w:shd w:val="clear" w:color="auto" w:fill="CCECFF"/>
          </w:tcPr>
          <w:p>
            <w:pPr>
              <w:ind w:left="11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20" w:type="dxa"/>
            <w:vAlign w:val="bottom"/>
            <w:tcBorders>
              <w:top w:val="single" w:sz="8" w:color="auto"/>
              <w:bottom w:val="single" w:sz="8" w:color="auto"/>
            </w:tcBorders>
            <w:shd w:val="clear" w:color="auto" w:fill="CCECFF"/>
          </w:tcPr>
          <w:p>
            <w:pPr>
              <w:spacing w:after="0"/>
              <w:rPr>
                <w:sz w:val="14"/>
                <w:szCs w:val="14"/>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(83,859</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bottom w:val="single" w:sz="8" w:color="auto"/>
            </w:tcBorders>
            <w:shd w:val="clear" w:color="auto" w:fill="CCECFF"/>
          </w:tcPr>
          <w:p>
            <w:pPr>
              <w:spacing w:after="0"/>
              <w:rPr>
                <w:sz w:val="14"/>
                <w:szCs w:val="14"/>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(38,798</w:t>
            </w:r>
          </w:p>
        </w:tc>
        <w:tc>
          <w:tcPr>
            <w:tcW w:w="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equivalents</w:t>
            </w: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5,894</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7,969</w:t>
            </w:r>
          </w:p>
        </w:tc>
        <w:tc>
          <w:tcPr>
            <w:tcW w:w="60" w:type="dxa"/>
            <w:vAlign w:val="bottom"/>
          </w:tcPr>
          <w:p>
            <w:pPr>
              <w:spacing w:after="0"/>
              <w:rPr>
                <w:sz w:val="14"/>
                <w:szCs w:val="14"/>
                <w:color w:val="auto"/>
              </w:rPr>
            </w:pPr>
          </w:p>
        </w:tc>
      </w:tr>
      <w:tr>
        <w:trPr>
          <w:trHeight w:val="175"/>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shd w:val="clear" w:color="auto" w:fill="CCECFF"/>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25,806</w:t>
            </w:r>
          </w:p>
        </w:tc>
        <w:tc>
          <w:tcPr>
            <w:tcW w:w="60" w:type="dxa"/>
            <w:vAlign w:val="bottom"/>
          </w:tcPr>
          <w:p>
            <w:pPr>
              <w:spacing w:after="0"/>
              <w:rPr>
                <w:sz w:val="15"/>
                <w:szCs w:val="15"/>
                <w:color w:val="auto"/>
              </w:rPr>
            </w:pPr>
          </w:p>
        </w:tc>
      </w:tr>
      <w:tr>
        <w:trPr>
          <w:trHeight w:val="209"/>
        </w:trPr>
        <w:tc>
          <w:tcPr>
            <w:tcW w:w="770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020" w:type="dxa"/>
            <w:vAlign w:val="bottom"/>
            <w:tcBorders>
              <w:bottom w:val="single" w:sz="8" w:color="auto"/>
            </w:tcBorders>
            <w:shd w:val="clear" w:color="auto" w:fill="CCECFF"/>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26,251</w:t>
            </w:r>
          </w:p>
        </w:tc>
        <w:tc>
          <w:tcPr>
            <w:tcW w:w="260" w:type="dxa"/>
            <w:vAlign w:val="bottom"/>
            <w:tcBorders>
              <w:bottom w:val="single" w:sz="8" w:color="CCECFF"/>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33,855</w:t>
            </w:r>
          </w:p>
        </w:tc>
        <w:tc>
          <w:tcPr>
            <w:tcW w:w="60" w:type="dxa"/>
            <w:vAlign w:val="bottom"/>
            <w:tcBorders>
              <w:bottom w:val="single" w:sz="8" w:color="CCECFF"/>
            </w:tcBorders>
            <w:shd w:val="clear" w:color="auto" w:fill="CCECFF"/>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5"/>
        </w:trPr>
        <w:tc>
          <w:tcPr>
            <w:tcW w:w="7700" w:type="dxa"/>
            <w:vAlign w:val="bottom"/>
            <w:tcBorders>
              <w:bottom w:val="single" w:sz="8" w:color="CCECFF"/>
            </w:tcBorders>
            <w:shd w:val="clear" w:color="auto" w:fill="CCECFF"/>
          </w:tcPr>
          <w:p>
            <w:pPr>
              <w:ind w:left="200"/>
              <w:spacing w:after="0" w:line="155" w:lineRule="exact"/>
              <w:rPr>
                <w:sz w:val="20"/>
                <w:szCs w:val="20"/>
                <w:color w:val="auto"/>
              </w:rPr>
            </w:pPr>
            <w:r>
              <w:rPr>
                <w:rFonts w:ascii="Times New Roman" w:cs="Times New Roman" w:eastAsia="Times New Roman" w:hAnsi="Times New Roman"/>
                <w:sz w:val="14"/>
                <w:szCs w:val="14"/>
                <w:color w:val="auto"/>
              </w:rPr>
              <w:t>Interest paid</w:t>
            </w:r>
          </w:p>
        </w:tc>
        <w:tc>
          <w:tcPr>
            <w:tcW w:w="1020" w:type="dxa"/>
            <w:vAlign w:val="bottom"/>
            <w:tcBorders>
              <w:bottom w:val="single" w:sz="8" w:color="auto"/>
            </w:tcBorders>
            <w:shd w:val="clear" w:color="auto" w:fill="CCECFF"/>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10,594</w:t>
            </w:r>
          </w:p>
        </w:tc>
        <w:tc>
          <w:tcPr>
            <w:tcW w:w="260" w:type="dxa"/>
            <w:vAlign w:val="bottom"/>
            <w:tcBorders>
              <w:bottom w:val="single" w:sz="8" w:color="CCECFF"/>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9,220</w:t>
            </w:r>
          </w:p>
        </w:tc>
        <w:tc>
          <w:tcPr>
            <w:tcW w:w="60" w:type="dxa"/>
            <w:vAlign w:val="bottom"/>
            <w:tcBorders>
              <w:bottom w:val="single" w:sz="8" w:color="CCECFF"/>
            </w:tcBorders>
            <w:shd w:val="clear" w:color="auto" w:fill="CCECFF"/>
          </w:tcPr>
          <w:p>
            <w:pPr>
              <w:spacing w:after="0"/>
              <w:rPr>
                <w:sz w:val="18"/>
                <w:szCs w:val="18"/>
                <w:color w:val="auto"/>
              </w:rPr>
            </w:pPr>
          </w:p>
        </w:tc>
      </w:tr>
      <w:tr>
        <w:trPr>
          <w:trHeight w:val="156"/>
        </w:trPr>
        <w:tc>
          <w:tcPr>
            <w:tcW w:w="770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Taxes paid</w:t>
            </w:r>
          </w:p>
        </w:tc>
        <w:tc>
          <w:tcPr>
            <w:tcW w:w="1020" w:type="dxa"/>
            <w:vAlign w:val="bottom"/>
            <w:tcBorders>
              <w:bottom w:val="single" w:sz="8" w:color="auto"/>
            </w:tcBorders>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5,055</w:t>
            </w:r>
          </w:p>
        </w:tc>
        <w:tc>
          <w:tcPr>
            <w:tcW w:w="260" w:type="dxa"/>
            <w:vAlign w:val="bottom"/>
          </w:tcPr>
          <w:p>
            <w:pPr>
              <w:spacing w:after="0"/>
              <w:rPr>
                <w:sz w:val="13"/>
                <w:szCs w:val="13"/>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656</w:t>
            </w:r>
          </w:p>
        </w:tc>
        <w:tc>
          <w:tcPr>
            <w:tcW w:w="60" w:type="dxa"/>
            <w:vAlign w:val="bottom"/>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700" w:type="dxa"/>
            <w:vAlign w:val="bottom"/>
            <w:tcBorders>
              <w:bottom w:val="single" w:sz="8" w:color="CCECFF"/>
            </w:tcBorders>
            <w:shd w:val="clear" w:color="auto" w:fill="CCECFF"/>
          </w:tcPr>
          <w:p>
            <w:pPr>
              <w:ind w:left="200"/>
              <w:spacing w:after="0" w:line="155" w:lineRule="exact"/>
              <w:rPr>
                <w:sz w:val="20"/>
                <w:szCs w:val="20"/>
                <w:color w:val="auto"/>
              </w:rPr>
            </w:pPr>
            <w:r>
              <w:rPr>
                <w:rFonts w:ascii="Times New Roman" w:cs="Times New Roman" w:eastAsia="Times New Roman" w:hAnsi="Times New Roman"/>
                <w:sz w:val="14"/>
                <w:szCs w:val="14"/>
                <w:color w:val="auto"/>
              </w:rPr>
              <w:t>Non-cash exchanges and conversions</w:t>
            </w:r>
          </w:p>
        </w:tc>
        <w:tc>
          <w:tcPr>
            <w:tcW w:w="1020" w:type="dxa"/>
            <w:vAlign w:val="bottom"/>
            <w:tcBorders>
              <w:top w:val="single" w:sz="8" w:color="auto"/>
              <w:bottom w:val="single" w:sz="8" w:color="auto"/>
            </w:tcBorders>
            <w:shd w:val="clear" w:color="auto" w:fill="CCECFF"/>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(31,274</w:t>
            </w:r>
          </w:p>
        </w:tc>
        <w:tc>
          <w:tcPr>
            <w:tcW w:w="260" w:type="dxa"/>
            <w:vAlign w:val="bottom"/>
            <w:tcBorders>
              <w:bottom w:val="single" w:sz="8" w:color="CCECFF"/>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bottom w:val="single" w:sz="8" w:color="auto"/>
            </w:tcBorders>
            <w:shd w:val="clear" w:color="auto" w:fill="CCECFF"/>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16,516</w:t>
            </w:r>
          </w:p>
        </w:tc>
        <w:tc>
          <w:tcPr>
            <w:tcW w:w="60" w:type="dxa"/>
            <w:vAlign w:val="bottom"/>
            <w:tcBorders>
              <w:bottom w:val="single" w:sz="8" w:color="CCECFF"/>
            </w:tcBorders>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-2150745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-2150745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-1010920</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-1010920</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-548005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-530860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-548005</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-530860</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-299720</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-281940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-299720</wp:posOffset>
            </wp:positionV>
            <wp:extent cx="43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-281940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 w:name="page8"/>
    <w:bookmarkEnd w:id="7"/>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7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1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0" w:type="dxa"/>
            <w:vAlign w:val="bottom"/>
            <w:tcBorders>
              <w:top w:val="single" w:sz="8" w:color="auto"/>
            </w:tcBorders>
            <w:shd w:val="clear" w:color="auto" w:fill="CCECFF"/>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Investments in Non-Controlled, Non-Affiliated Portfolio</w:t>
            </w:r>
          </w:p>
        </w:tc>
        <w:tc>
          <w:tcPr>
            <w:tcW w:w="140" w:type="dxa"/>
            <w:vAlign w:val="bottom"/>
            <w:shd w:val="clear" w:color="auto" w:fill="CCECFF"/>
          </w:tcPr>
          <w:p>
            <w:pPr>
              <w:spacing w:after="0"/>
              <w:rPr>
                <w:sz w:val="7"/>
                <w:szCs w:val="7"/>
                <w:color w:val="auto"/>
              </w:rPr>
            </w:pPr>
          </w:p>
        </w:tc>
        <w:tc>
          <w:tcPr>
            <w:tcW w:w="640" w:type="dxa"/>
            <w:vAlign w:val="bottom"/>
            <w:tcBorders>
              <w:top w:val="single" w:sz="8" w:color="auto"/>
            </w:tcBorders>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2480" w:type="dxa"/>
            <w:vAlign w:val="bottom"/>
            <w:tcBorders>
              <w:top w:val="single" w:sz="8" w:color="auto"/>
            </w:tcBorders>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700" w:type="dxa"/>
            <w:vAlign w:val="bottom"/>
            <w:tcBorders>
              <w:top w:val="single" w:sz="8" w:color="auto"/>
            </w:tcBorders>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880" w:type="dxa"/>
            <w:vAlign w:val="bottom"/>
            <w:tcBorders>
              <w:top w:val="single" w:sz="8" w:color="auto"/>
            </w:tcBorders>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760" w:type="dxa"/>
            <w:vAlign w:val="bottom"/>
            <w:tcBorders>
              <w:top w:val="single" w:sz="8" w:color="auto"/>
            </w:tcBorders>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180" w:type="dxa"/>
            <w:vAlign w:val="bottom"/>
            <w:tcBorders>
              <w:top w:val="single" w:sz="8" w:color="auto"/>
            </w:tcBorders>
            <w:shd w:val="clear" w:color="auto" w:fill="CCECFF"/>
          </w:tcPr>
          <w:p>
            <w:pPr>
              <w:spacing w:after="0"/>
              <w:rPr>
                <w:sz w:val="7"/>
                <w:szCs w:val="7"/>
                <w:color w:val="auto"/>
              </w:rPr>
            </w:pPr>
          </w:p>
        </w:tc>
        <w:tc>
          <w:tcPr>
            <w:tcW w:w="600" w:type="dxa"/>
            <w:vAlign w:val="bottom"/>
            <w:tcBorders>
              <w:top w:val="single" w:sz="8" w:color="auto"/>
            </w:tcBorders>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80" w:type="dxa"/>
            <w:vAlign w:val="bottom"/>
            <w:tcBorders>
              <w:top w:val="single" w:sz="8" w:color="auto"/>
            </w:tcBorders>
            <w:shd w:val="clear" w:color="auto" w:fill="CCECFF"/>
          </w:tcPr>
          <w:p>
            <w:pPr>
              <w:spacing w:after="0"/>
              <w:rPr>
                <w:sz w:val="7"/>
                <w:szCs w:val="7"/>
                <w:color w:val="auto"/>
              </w:rPr>
            </w:pPr>
          </w:p>
        </w:tc>
        <w:tc>
          <w:tcPr>
            <w:tcW w:w="700" w:type="dxa"/>
            <w:vAlign w:val="bottom"/>
            <w:tcBorders>
              <w:top w:val="single" w:sz="8" w:color="auto"/>
            </w:tcBorders>
            <w:shd w:val="clear" w:color="auto" w:fill="CCECFF"/>
          </w:tcPr>
          <w:p>
            <w:pPr>
              <w:spacing w:after="0"/>
              <w:rPr>
                <w:sz w:val="7"/>
                <w:szCs w:val="7"/>
                <w:color w:val="auto"/>
              </w:rPr>
            </w:pPr>
          </w:p>
        </w:tc>
        <w:tc>
          <w:tcPr>
            <w:tcW w:w="4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Companies—135.7% </w:t>
            </w:r>
            <w:r>
              <w:rPr>
                <w:rFonts w:ascii="Times New Roman" w:cs="Times New Roman" w:eastAsia="Times New Roman" w:hAnsi="Times New Roman"/>
                <w:sz w:val="14"/>
                <w:szCs w:val="14"/>
                <w:b w:val="1"/>
                <w:bCs w:val="1"/>
                <w:color w:val="auto"/>
                <w:vertAlign w:val="superscript"/>
              </w:rPr>
              <w:t>(1), (2)</w:t>
            </w:r>
          </w:p>
        </w:tc>
        <w:tc>
          <w:tcPr>
            <w:tcW w:w="14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4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First Lien Secured Debt—92.9%</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05/06/2026</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Technologies, LLC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07/24/2025</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9.00 %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L+800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07/24/2025</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12/21/2023</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6.50 %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10,815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Any Hour Services</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07/21/2027</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3,510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3,477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3,510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Term Loan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07/21/2027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Any Hour Services Term Loan II</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01/14/2024</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07/21/2027</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1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Apex Service Partners, LLC Term Loan C</w:t>
            </w:r>
          </w:p>
        </w:tc>
        <w:tc>
          <w:tcPr>
            <w:tcW w:w="78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color w:val="auto"/>
              </w:rPr>
              <w:t>07/31/2025</w:t>
            </w:r>
          </w:p>
        </w:tc>
        <w:tc>
          <w:tcPr>
            <w:tcW w:w="14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120" w:type="dxa"/>
            <w:vAlign w:val="bottom"/>
            <w:gridSpan w:val="3"/>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6.50 %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6,895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6,837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6,895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Apex Service Partners, LLC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07/29/2024</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6.36 %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07/29/2024</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Applied Technical Services,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12/29/2026</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6.76 %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1,306</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1,292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06/29/2022</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Applied Technical Services, LLC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12/29/2026</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8.25 %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P +475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12/29/2026</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Arcfield Acquisition Corp.</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03/07/2028</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11,762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Arcfield Acquisition Corp.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03/07/2028</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2,263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09/17/2024</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16,433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16,192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16,186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Blackhawk Industrial Distribution, Inc.</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09/17/2024</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2,288</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Blackhawk Industrial Distribution, Inc.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09/17/2024</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Blackhawk Industrial Distribution,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09/17/2024</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2,059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02/13/2023</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6,153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6,137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Broder Bros., Co.</w:t>
            </w:r>
          </w:p>
        </w:tc>
        <w:tc>
          <w:tcPr>
            <w:tcW w:w="78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color w:val="auto"/>
              </w:rPr>
              <w:t>12/02/2022</w:t>
            </w:r>
          </w:p>
        </w:tc>
        <w:tc>
          <w:tcPr>
            <w:tcW w:w="14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120" w:type="dxa"/>
            <w:vAlign w:val="bottom"/>
            <w:gridSpan w:val="3"/>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L+700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21,375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21,375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21,375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CF512, Inc.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08/20/2026</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6,754</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6,654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6,686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CF512, Inc.(Revolver)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08/20/2026</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02/09/2026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Compex Legal Services, Inc. (Revolver)</w:t>
            </w:r>
          </w:p>
        </w:tc>
        <w:tc>
          <w:tcPr>
            <w:tcW w:w="78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1"/>
                <w:szCs w:val="11"/>
                <w:color w:val="auto"/>
              </w:rPr>
              <w:t>02/07/2025</w:t>
            </w:r>
          </w:p>
        </w:tc>
        <w:tc>
          <w:tcPr>
            <w:tcW w:w="14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80"/>
              <w:spacing w:after="0" w:line="103" w:lineRule="exact"/>
              <w:rPr>
                <w:sz w:val="20"/>
                <w:szCs w:val="20"/>
                <w:color w:val="auto"/>
              </w:rPr>
            </w:pPr>
            <w:r>
              <w:rPr>
                <w:rFonts w:ascii="Times New Roman" w:cs="Times New Roman" w:eastAsia="Times New Roman" w:hAnsi="Times New Roman"/>
                <w:sz w:val="11"/>
                <w:szCs w:val="11"/>
                <w:color w:val="auto"/>
              </w:rPr>
              <w:t>6.26 %</w:t>
            </w:r>
          </w:p>
        </w:tc>
        <w:tc>
          <w:tcPr>
            <w:tcW w:w="8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393</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393</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393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02/07/2025</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Connatix Buyer, Inc.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07/13/2027</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9,190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9,025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9,236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01/13/2023</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07/13/2027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1,859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Crane 1 Services, Inc.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08/16/2027</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2,368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2,338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08/16/2023</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08/16/2027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Crash Champions,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08/05/2025</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Auto Sector</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25,007</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24,577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24,382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Crash Champions,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08/05/2025</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DermaRite Industries LLC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06/30/2023</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8.00 %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8,383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 Squatch,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08/31/2026</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8,475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8,314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8,475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 Squatch,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08/27/2026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08/31/2026</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2,326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DRS Holdings III, Inc.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11/03/2025</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2,182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11/03/2025</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06/30/2024</w:t>
            </w:r>
          </w:p>
        </w:tc>
        <w:tc>
          <w:tcPr>
            <w:tcW w:w="14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6.50 %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03/31/2028</w:t>
            </w: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1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8.25 %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8,703</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8,626</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8,740</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ECM Industries, LLC (Revolver)</w:t>
            </w:r>
          </w:p>
        </w:tc>
        <w:tc>
          <w:tcPr>
            <w:tcW w:w="78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1"/>
                <w:szCs w:val="11"/>
                <w:color w:val="auto"/>
              </w:rPr>
              <w:t>12/23/2025</w:t>
            </w:r>
          </w:p>
        </w:tc>
        <w:tc>
          <w:tcPr>
            <w:tcW w:w="14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6"/>
              </w:rPr>
              <w:t>Electronics</w:t>
            </w:r>
          </w:p>
        </w:tc>
        <w:tc>
          <w:tcPr>
            <w:tcW w:w="1120" w:type="dxa"/>
            <w:vAlign w:val="bottom"/>
            <w:gridSpan w:val="3"/>
          </w:tcPr>
          <w:p>
            <w:pPr>
              <w:jc w:val="right"/>
              <w:ind w:right="180"/>
              <w:spacing w:after="0" w:line="103" w:lineRule="exact"/>
              <w:rPr>
                <w:sz w:val="20"/>
                <w:szCs w:val="20"/>
                <w:color w:val="auto"/>
              </w:rPr>
            </w:pPr>
            <w:r>
              <w:rPr>
                <w:rFonts w:ascii="Times New Roman" w:cs="Times New Roman" w:eastAsia="Times New Roman" w:hAnsi="Times New Roman"/>
                <w:sz w:val="11"/>
                <w:szCs w:val="11"/>
                <w:color w:val="auto"/>
              </w:rPr>
              <w:t>5.75 %</w:t>
            </w:r>
          </w:p>
        </w:tc>
        <w:tc>
          <w:tcPr>
            <w:tcW w:w="8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291</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291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285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12/23/2025</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Exigo Intermediate II,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03/15/2027</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35,000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34,478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34,475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03/15/2024</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7,424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Exigo Intermediate II, LLC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03/15/2027</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371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03/15/2027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06/17/2028</w:t>
            </w:r>
          </w:p>
        </w:tc>
        <w:tc>
          <w:tcPr>
            <w:tcW w:w="14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5.50 %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16,981</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16,689</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16,812</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Gantech Acquisition Corp. (Revolver)</w:t>
            </w:r>
          </w:p>
        </w:tc>
        <w:tc>
          <w:tcPr>
            <w:tcW w:w="78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80"/>
              <w:spacing w:after="0" w:line="103" w:lineRule="exact"/>
              <w:rPr>
                <w:sz w:val="20"/>
                <w:szCs w:val="20"/>
                <w:color w:val="auto"/>
              </w:rPr>
            </w:pPr>
            <w:r>
              <w:rPr>
                <w:rFonts w:ascii="Times New Roman" w:cs="Times New Roman" w:eastAsia="Times New Roman" w:hAnsi="Times New Roman"/>
                <w:sz w:val="11"/>
                <w:szCs w:val="11"/>
                <w:color w:val="auto"/>
              </w:rPr>
              <w:t>7.25 %</w:t>
            </w:r>
          </w:p>
        </w:tc>
        <w:tc>
          <w:tcPr>
            <w:tcW w:w="8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332</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332</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329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08/10/2023</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Graffiti Buyer, Inc.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08/10/2027</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08/10/2027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12/31/2026</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1,097</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1,097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12/31/2022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12/31/2026</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Holdco Sands Intermediate,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11/23/2028</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7.01 %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17,955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17,608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17,596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11/23/2027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3,941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HW Holdco,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6.16 %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10,246</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10,111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10,041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3,049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3,387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IDC Infusion Services, Inc.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12/30/2026</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17,488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17,271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17,138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12/30/2026</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IG Investments Holdings, LLC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09/22/2027</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8.50 %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09/22/2027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Imagine Acquisitionco,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11/15/2027</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1,982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1,944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11/15/2027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11/15/2027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1,685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Inception Fertility Ventures,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12/07/2023</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4,909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4,807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Inception Fertility Ventures,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12/07/2023</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12,980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Infolinks Media Buyco,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11/01/2026</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7.01 %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6,461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6,341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6,461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11/01/2023</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2,372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Integrity Marketing Acquisition, LLC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08/27/2025</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6.76 %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21,270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21,144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21,066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07/09/2023</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ITI Holdings, Inc.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03/03/2028</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8,972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8,817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8,815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03/03/2028</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12/20/2023</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9.00 %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11,739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11,670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K2 Pure Solutions NoCal, L.P.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12/20/2023</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9.00 %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L+800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872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12/20/2023</w:t>
            </w:r>
          </w:p>
        </w:tc>
        <w:tc>
          <w:tcPr>
            <w:tcW w:w="14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-7215505</wp:posOffset>
            </wp:positionV>
            <wp:extent cx="713232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-7044055</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-6872605</wp:posOffset>
            </wp:positionV>
            <wp:extent cx="713232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-6701155</wp:posOffset>
            </wp:positionV>
            <wp:extent cx="713232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-6358255</wp:posOffset>
            </wp:positionV>
            <wp:extent cx="713232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-6186805</wp:posOffset>
            </wp:positionV>
            <wp:extent cx="713232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-6015355</wp:posOffset>
            </wp:positionV>
            <wp:extent cx="71323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-5843905</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-5672455</wp:posOffset>
            </wp:positionV>
            <wp:extent cx="713232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-5501005</wp:posOffset>
            </wp:positionV>
            <wp:extent cx="71323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-5158105</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-4815205</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-4643755</wp:posOffset>
            </wp:positionV>
            <wp:extent cx="71323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-4472305</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-4300855</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-4129405</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-3957955</wp:posOffset>
            </wp:positionV>
            <wp:extent cx="713232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-3786505</wp:posOffset>
            </wp:positionV>
            <wp:extent cx="713232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-3615055</wp:posOffset>
            </wp:positionV>
            <wp:extent cx="713232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-3272155</wp:posOffset>
            </wp:positionV>
            <wp:extent cx="713232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-3100705</wp:posOffset>
            </wp:positionV>
            <wp:extent cx="713232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-2929255</wp:posOffset>
            </wp:positionV>
            <wp:extent cx="713232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-2586355</wp:posOffset>
            </wp:positionV>
            <wp:extent cx="713232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-2414905</wp:posOffset>
            </wp:positionV>
            <wp:extent cx="713232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-2243455</wp:posOffset>
            </wp:positionV>
            <wp:extent cx="713232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-2072005</wp:posOffset>
            </wp:positionV>
            <wp:extent cx="713232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-1900555</wp:posOffset>
            </wp:positionV>
            <wp:extent cx="713232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-1729105</wp:posOffset>
            </wp:positionV>
            <wp:extent cx="713232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-1557655</wp:posOffset>
            </wp:positionV>
            <wp:extent cx="713232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-1386205</wp:posOffset>
            </wp:positionV>
            <wp:extent cx="713232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-1214755</wp:posOffset>
            </wp:positionV>
            <wp:extent cx="713232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-1043305</wp:posOffset>
            </wp:positionV>
            <wp:extent cx="713232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-871855</wp:posOffset>
            </wp:positionV>
            <wp:extent cx="713232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 w:name="page9"/>
    <w:bookmarkEnd w:id="8"/>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(Unaudited)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9"/>
                <w:szCs w:val="9"/>
                <w:color w:val="auto"/>
              </w:rPr>
            </w:pP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20" w:type="dxa"/>
            <w:vAlign w:val="bottom"/>
          </w:tcPr>
          <w:p>
            <w:pPr>
              <w:spacing w:after="0"/>
              <w:rPr>
                <w:sz w:val="9"/>
                <w:szCs w:val="9"/>
                <w:color w:val="auto"/>
              </w:rPr>
            </w:pPr>
          </w:p>
        </w:tc>
        <w:tc>
          <w:tcPr>
            <w:tcW w:w="80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49"/>
        </w:trPr>
        <w:tc>
          <w:tcPr>
            <w:tcW w:w="3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4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120" w:type="dxa"/>
            <w:vAlign w:val="bottom"/>
          </w:tcPr>
          <w:p>
            <w:pPr>
              <w:spacing w:after="0"/>
              <w:rPr>
                <w:sz w:val="12"/>
                <w:szCs w:val="12"/>
                <w:color w:val="auto"/>
              </w:rPr>
            </w:pPr>
          </w:p>
        </w:tc>
        <w:tc>
          <w:tcPr>
            <w:tcW w:w="8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000" w:type="dxa"/>
            <w:vAlign w:val="bottom"/>
            <w:tcBorders>
              <w:top w:val="single" w:sz="8" w:color="auto"/>
            </w:tcBorders>
          </w:tcPr>
          <w:p>
            <w:pPr>
              <w:ind w:left="20"/>
              <w:spacing w:after="0" w:line="110" w:lineRule="exact"/>
              <w:rPr>
                <w:sz w:val="20"/>
                <w:szCs w:val="20"/>
                <w:color w:val="auto"/>
              </w:rPr>
            </w:pPr>
            <w:r>
              <w:rPr>
                <w:rFonts w:ascii="Times New Roman" w:cs="Times New Roman" w:eastAsia="Times New Roman" w:hAnsi="Times New Roman"/>
                <w:sz w:val="11"/>
                <w:szCs w:val="11"/>
                <w:color w:val="auto"/>
              </w:rPr>
              <w:t>Kinetic Purchaser, LLC</w:t>
            </w:r>
          </w:p>
        </w:tc>
        <w:tc>
          <w:tcPr>
            <w:tcW w:w="140" w:type="dxa"/>
            <w:vAlign w:val="bottom"/>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w w:val="95"/>
              </w:rPr>
              <w:t>11/10/2027</w:t>
            </w:r>
          </w:p>
        </w:tc>
        <w:tc>
          <w:tcPr>
            <w:tcW w:w="140" w:type="dxa"/>
            <w:vAlign w:val="bottom"/>
          </w:tcPr>
          <w:p>
            <w:pPr>
              <w:spacing w:after="0"/>
              <w:rPr>
                <w:sz w:val="9"/>
                <w:szCs w:val="9"/>
                <w:color w:val="auto"/>
              </w:rPr>
            </w:pPr>
          </w:p>
        </w:tc>
        <w:tc>
          <w:tcPr>
            <w:tcW w:w="25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9"/>
                <w:szCs w:val="9"/>
                <w:color w:val="auto"/>
              </w:rPr>
            </w:pPr>
          </w:p>
        </w:tc>
        <w:tc>
          <w:tcPr>
            <w:tcW w:w="8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7.00 %</w:t>
            </w:r>
          </w:p>
        </w:tc>
        <w:tc>
          <w:tcPr>
            <w:tcW w:w="120" w:type="dxa"/>
            <w:vAlign w:val="bottom"/>
          </w:tcPr>
          <w:p>
            <w:pPr>
              <w:spacing w:after="0"/>
              <w:rPr>
                <w:sz w:val="9"/>
                <w:szCs w:val="9"/>
                <w:color w:val="auto"/>
              </w:rPr>
            </w:pPr>
          </w:p>
        </w:tc>
        <w:tc>
          <w:tcPr>
            <w:tcW w:w="9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3M L+600</w:t>
            </w:r>
          </w:p>
        </w:tc>
        <w:tc>
          <w:tcPr>
            <w:tcW w:w="120" w:type="dxa"/>
            <w:vAlign w:val="bottom"/>
          </w:tcPr>
          <w:p>
            <w:pPr>
              <w:spacing w:after="0"/>
              <w:rPr>
                <w:sz w:val="9"/>
                <w:szCs w:val="9"/>
                <w:color w:val="auto"/>
              </w:rPr>
            </w:pPr>
          </w:p>
        </w:tc>
        <w:tc>
          <w:tcPr>
            <w:tcW w:w="800" w:type="dxa"/>
            <w:vAlign w:val="bottom"/>
            <w:tcBorders>
              <w:top w:val="single" w:sz="8" w:color="auto"/>
            </w:tcBorders>
          </w:tcPr>
          <w:p>
            <w:pPr>
              <w:jc w:val="right"/>
              <w:ind w:right="6"/>
              <w:spacing w:after="0" w:line="110" w:lineRule="exact"/>
              <w:rPr>
                <w:sz w:val="20"/>
                <w:szCs w:val="20"/>
                <w:color w:val="auto"/>
              </w:rPr>
            </w:pPr>
            <w:r>
              <w:rPr>
                <w:rFonts w:ascii="Times New Roman" w:cs="Times New Roman" w:eastAsia="Times New Roman" w:hAnsi="Times New Roman"/>
                <w:sz w:val="11"/>
                <w:szCs w:val="11"/>
                <w:color w:val="auto"/>
              </w:rPr>
              <w:t>19,451</w:t>
            </w: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19,082</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6"/>
              <w:spacing w:after="0" w:line="110" w:lineRule="exact"/>
              <w:rPr>
                <w:sz w:val="20"/>
                <w:szCs w:val="20"/>
                <w:color w:val="auto"/>
              </w:rPr>
            </w:pPr>
            <w:r>
              <w:rPr>
                <w:rFonts w:ascii="Times New Roman" w:cs="Times New Roman" w:eastAsia="Times New Roman" w:hAnsi="Times New Roman"/>
                <w:sz w:val="11"/>
                <w:szCs w:val="11"/>
                <w:color w:val="auto"/>
              </w:rPr>
              <w:t>19,257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Kinetic Purchaser,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11/10/2026</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4,854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(49 )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02/18/2027</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8.01 %</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12,893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line="143"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08/16/2026</w:t>
            </w:r>
          </w:p>
        </w:tc>
        <w:tc>
          <w:tcPr>
            <w:tcW w:w="14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1,820</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7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tcPr>
          <w:p>
            <w:pPr>
              <w:spacing w:after="0"/>
              <w:rPr>
                <w:sz w:val="10"/>
                <w:szCs w:val="10"/>
                <w:color w:val="auto"/>
              </w:rPr>
            </w:pPr>
          </w:p>
        </w:tc>
        <w:tc>
          <w:tcPr>
            <w:tcW w:w="2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8.51 %</w:t>
            </w:r>
          </w:p>
        </w:tc>
        <w:tc>
          <w:tcPr>
            <w:tcW w:w="12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795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790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(PIK 5.00%)</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Ledge Lounger,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11/09/2026</w:t>
            </w:r>
          </w:p>
        </w:tc>
        <w:tc>
          <w:tcPr>
            <w:tcW w:w="14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7.25 %</w:t>
            </w:r>
          </w:p>
        </w:tc>
        <w:tc>
          <w:tcPr>
            <w:tcW w:w="12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9,224</w:t>
            </w:r>
          </w:p>
        </w:tc>
        <w:tc>
          <w:tcPr>
            <w:tcW w:w="3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9,051</w:t>
            </w:r>
          </w:p>
        </w:tc>
        <w:tc>
          <w:tcPr>
            <w:tcW w:w="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9,131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Ledge Lounger, Inc. (Revolver)</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11/09/2026</w:t>
            </w:r>
          </w:p>
        </w:tc>
        <w:tc>
          <w:tcPr>
            <w:tcW w:w="140" w:type="dxa"/>
            <w:vAlign w:val="bottom"/>
          </w:tcPr>
          <w:p>
            <w:pPr>
              <w:spacing w:after="0"/>
              <w:rPr>
                <w:sz w:val="10"/>
                <w:szCs w:val="10"/>
                <w:color w:val="auto"/>
              </w:rPr>
            </w:pPr>
          </w:p>
        </w:tc>
        <w:tc>
          <w:tcPr>
            <w:tcW w:w="2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120" w:type="dxa"/>
            <w:vAlign w:val="bottom"/>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1,288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1,276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11/09/2026</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644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6.50 %</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2,232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6.50 %</w:t>
            </w:r>
          </w:p>
        </w:tc>
        <w:tc>
          <w:tcPr>
            <w:tcW w:w="12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311</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855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7.25 %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2,046</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2,046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 (Revolver)</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7.25 %</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737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03/31/2029</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6,000</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5,760</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5,880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Mars Acquisition Holdings Corp. (Revolver)</w:t>
            </w:r>
            <w:r>
              <w:rPr>
                <w:rFonts w:ascii="Times New Roman" w:cs="Times New Roman" w:eastAsia="Times New Roman" w:hAnsi="Times New Roman"/>
                <w:sz w:val="13"/>
                <w:szCs w:val="13"/>
                <w:color w:val="auto"/>
                <w:vertAlign w:val="superscript"/>
              </w:rPr>
              <w:t>(7)</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8"/>
              </w:rPr>
              <w:t>5/14/2026</w:t>
            </w:r>
          </w:p>
        </w:tc>
        <w:tc>
          <w:tcPr>
            <w:tcW w:w="140" w:type="dxa"/>
            <w:vAlign w:val="bottom"/>
          </w:tcPr>
          <w:p>
            <w:pPr>
              <w:spacing w:after="0"/>
              <w:rPr>
                <w:sz w:val="10"/>
                <w:szCs w:val="10"/>
                <w:color w:val="auto"/>
              </w:rPr>
            </w:pPr>
          </w:p>
        </w:tc>
        <w:tc>
          <w:tcPr>
            <w:tcW w:w="2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40" w:type="dxa"/>
            <w:vAlign w:val="bottom"/>
          </w:tcPr>
          <w:p>
            <w:pPr>
              <w:spacing w:after="0"/>
              <w:rPr>
                <w:sz w:val="10"/>
                <w:szCs w:val="10"/>
                <w:color w:val="auto"/>
              </w:rPr>
            </w:pPr>
          </w:p>
        </w:tc>
        <w:tc>
          <w:tcPr>
            <w:tcW w:w="840" w:type="dxa"/>
            <w:vAlign w:val="bottom"/>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806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MBS Holdings,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04/16/2027</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694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6.51 %</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3,080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Term Loan I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2,920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Term Loan II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8,922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(89 )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1,685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6.50 %</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2,444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line="143" w:lineRule="exact"/>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4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1,612</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7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0"/>
                <w:szCs w:val="10"/>
                <w:color w:val="auto"/>
              </w:rPr>
            </w:pPr>
          </w:p>
        </w:tc>
        <w:tc>
          <w:tcPr>
            <w:tcW w:w="2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120" w:type="dxa"/>
            <w:vAlign w:val="bottom"/>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547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529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1,333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3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 (Revolver)</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6.00 %</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282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1,598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(53 )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3"/>
                <w:szCs w:val="13"/>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1,163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Neptune Flood Incorporated</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10/14/2026</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4,821</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4,787</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4,821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5.56 %</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1,433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333</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330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05/07/2027</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Cargo Transport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7.25 %</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7,127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ORL Acquisition,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6.26 %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4,476</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4,394</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4,476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597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2/4/2028</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4,000</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3,922</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3,900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8.00 %</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12,849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12,676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2,097</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2,097</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2,055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323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11/09/2027</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8,678</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8,535</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8,526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PL Acquisitionco, LLC - (Revolver)</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11/09/2027</w:t>
            </w:r>
          </w:p>
        </w:tc>
        <w:tc>
          <w:tcPr>
            <w:tcW w:w="140" w:type="dxa"/>
            <w:vAlign w:val="bottom"/>
          </w:tcPr>
          <w:p>
            <w:pPr>
              <w:spacing w:after="0"/>
              <w:rPr>
                <w:sz w:val="10"/>
                <w:szCs w:val="10"/>
                <w:color w:val="auto"/>
              </w:rPr>
            </w:pPr>
          </w:p>
        </w:tc>
        <w:tc>
          <w:tcPr>
            <w:tcW w:w="2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Retail</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7.50 %</w:t>
            </w:r>
          </w:p>
        </w:tc>
        <w:tc>
          <w:tcPr>
            <w:tcW w:w="120" w:type="dxa"/>
            <w:vAlign w:val="bottom"/>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L+650</w:t>
            </w:r>
          </w:p>
        </w:tc>
        <w:tc>
          <w:tcPr>
            <w:tcW w:w="920" w:type="dxa"/>
            <w:vAlign w:val="bottom"/>
            <w:gridSpan w:val="2"/>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1,294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1,294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1,272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PL Acquisitionco,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11/09/2027</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1,941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PRA Events,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08/07/2025</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11.50 %</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L+1,050</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24,868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(PIK 11.50%)</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 Events, Inc.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08/07/2025</w:t>
            </w:r>
          </w:p>
        </w:tc>
        <w:tc>
          <w:tcPr>
            <w:tcW w:w="140" w:type="dxa"/>
            <w:vAlign w:val="bottom"/>
            <w:shd w:val="clear" w:color="auto" w:fill="CCECFF"/>
          </w:tcPr>
          <w:p>
            <w:pPr>
              <w:spacing w:after="0"/>
              <w:rPr>
                <w:sz w:val="10"/>
                <w:szCs w:val="10"/>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11.50 %</w:t>
            </w:r>
          </w:p>
        </w:tc>
        <w:tc>
          <w:tcPr>
            <w:tcW w:w="120" w:type="dxa"/>
            <w:vAlign w:val="bottom"/>
            <w:shd w:val="clear" w:color="auto" w:fill="CCECFF"/>
          </w:tcPr>
          <w:p>
            <w:pPr>
              <w:spacing w:after="0"/>
              <w:rPr>
                <w:sz w:val="10"/>
                <w:szCs w:val="10"/>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L+1,050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2,606</w:t>
            </w:r>
          </w:p>
        </w:tc>
        <w:tc>
          <w:tcPr>
            <w:tcW w:w="1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2,268</w:t>
            </w:r>
          </w:p>
        </w:tc>
        <w:tc>
          <w:tcPr>
            <w:tcW w:w="1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2,606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(PIK 11.50%)</w:t>
            </w:r>
          </w:p>
        </w:tc>
        <w:tc>
          <w:tcPr>
            <w:tcW w:w="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Quantic Electronics, LLC </w:t>
            </w:r>
            <w:r>
              <w:rPr>
                <w:rFonts w:ascii="Times New Roman" w:cs="Times New Roman" w:eastAsia="Times New Roman" w:hAnsi="Times New Roman"/>
                <w:sz w:val="13"/>
                <w:szCs w:val="13"/>
                <w:color w:val="auto"/>
                <w:vertAlign w:val="superscript"/>
              </w:rPr>
              <w:t>(7)</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0"/>
                <w:szCs w:val="10"/>
                <w:color w:val="auto"/>
              </w:rPr>
            </w:pPr>
          </w:p>
        </w:tc>
        <w:tc>
          <w:tcPr>
            <w:tcW w:w="2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0"/>
                <w:szCs w:val="10"/>
                <w:color w:val="auto"/>
              </w:rPr>
            </w:pPr>
          </w:p>
        </w:tc>
        <w:tc>
          <w:tcPr>
            <w:tcW w:w="840" w:type="dxa"/>
            <w:vAlign w:val="bottom"/>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2,094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528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6.00 %</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21,713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20,627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Questex, LLC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6.00 %</w:t>
            </w:r>
          </w:p>
        </w:tc>
        <w:tc>
          <w:tcPr>
            <w:tcW w:w="12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1,436</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1,436</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13"/>
                <w:szCs w:val="13"/>
                <w:color w:val="auto"/>
                <w:vertAlign w:val="superscript"/>
              </w:rPr>
              <w:t>(7)</w:t>
            </w:r>
          </w:p>
        </w:tc>
        <w:tc>
          <w:tcPr>
            <w:tcW w:w="7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0"/>
                <w:szCs w:val="10"/>
                <w:color w:val="auto"/>
              </w:rPr>
            </w:pPr>
          </w:p>
        </w:tc>
        <w:tc>
          <w:tcPr>
            <w:tcW w:w="2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40" w:type="dxa"/>
            <w:vAlign w:val="bottom"/>
          </w:tcPr>
          <w:p>
            <w:pPr>
              <w:spacing w:after="0"/>
              <w:rPr>
                <w:sz w:val="10"/>
                <w:szCs w:val="10"/>
                <w:color w:val="auto"/>
              </w:rPr>
            </w:pPr>
          </w:p>
        </w:tc>
        <w:tc>
          <w:tcPr>
            <w:tcW w:w="840" w:type="dxa"/>
            <w:vAlign w:val="bottom"/>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2,154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(108 )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03/31/2025</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2,227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3"/>
                <w:szCs w:val="13"/>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1,050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1,127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6.50 %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126</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06/20/2025</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364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03/10/2025</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6.50 %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12,692</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12,542</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12,692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732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598</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598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Schlesinger Global, Inc.</w:t>
            </w:r>
          </w:p>
        </w:tc>
        <w:tc>
          <w:tcPr>
            <w:tcW w:w="7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0"/>
                <w:szCs w:val="10"/>
                <w:color w:val="auto"/>
              </w:rPr>
            </w:pPr>
          </w:p>
        </w:tc>
        <w:tc>
          <w:tcPr>
            <w:tcW w:w="2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12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L+700</w:t>
            </w:r>
          </w:p>
        </w:tc>
        <w:tc>
          <w:tcPr>
            <w:tcW w:w="9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4,513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4,455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(PIK 1.00%)</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shd w:val="clear" w:color="auto" w:fill="CCECFF"/>
          </w:tcPr>
          <w:p>
            <w:pPr>
              <w:spacing w:after="0"/>
              <w:rPr>
                <w:sz w:val="10"/>
                <w:szCs w:val="10"/>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7.00 %</w:t>
            </w:r>
          </w:p>
        </w:tc>
        <w:tc>
          <w:tcPr>
            <w:tcW w:w="120" w:type="dxa"/>
            <w:vAlign w:val="bottom"/>
            <w:shd w:val="clear" w:color="auto" w:fill="CCECFF"/>
          </w:tcPr>
          <w:p>
            <w:pPr>
              <w:spacing w:after="0"/>
              <w:rPr>
                <w:sz w:val="10"/>
                <w:szCs w:val="10"/>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(PIK 1.00%)</w:t>
            </w:r>
          </w:p>
        </w:tc>
        <w:tc>
          <w:tcPr>
            <w:tcW w:w="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Schlesinger Global, Inc. (Revolver)</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9.50 %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20,665</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20,189</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20,355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2,976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484</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484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Signature Systems Holding Company (Revolver) </w:t>
            </w:r>
            <w:r>
              <w:rPr>
                <w:rFonts w:ascii="Times New Roman" w:cs="Times New Roman" w:eastAsia="Times New Roman" w:hAnsi="Times New Roman"/>
                <w:sz w:val="13"/>
                <w:szCs w:val="13"/>
                <w:color w:val="auto"/>
                <w:vertAlign w:val="superscript"/>
              </w:rPr>
              <w:t>(7)</w:t>
            </w:r>
          </w:p>
        </w:tc>
        <w:tc>
          <w:tcPr>
            <w:tcW w:w="7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0"/>
                <w:szCs w:val="10"/>
                <w:color w:val="auto"/>
              </w:rPr>
            </w:pPr>
          </w:p>
        </w:tc>
        <w:tc>
          <w:tcPr>
            <w:tcW w:w="2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40" w:type="dxa"/>
            <w:vAlign w:val="bottom"/>
          </w:tcPr>
          <w:p>
            <w:pPr>
              <w:spacing w:after="0"/>
              <w:rPr>
                <w:sz w:val="10"/>
                <w:szCs w:val="10"/>
                <w:color w:val="auto"/>
              </w:rPr>
            </w:pPr>
          </w:p>
        </w:tc>
        <w:tc>
          <w:tcPr>
            <w:tcW w:w="840" w:type="dxa"/>
            <w:vAlign w:val="bottom"/>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1,532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01/17/2024</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1,665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(73 )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02/26/2025</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6.26 %</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12,110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03/01/2028</w:t>
            </w:r>
          </w:p>
        </w:tc>
        <w:tc>
          <w:tcPr>
            <w:tcW w:w="14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6.75 %</w:t>
            </w:r>
          </w:p>
        </w:tc>
        <w:tc>
          <w:tcPr>
            <w:tcW w:w="12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7,861</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7,744</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7,735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Spendmend Holdings LLC - Unfunded Term Loan</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03/01/2023</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4,671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 - Funded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03/01/2028</w:t>
            </w:r>
          </w:p>
        </w:tc>
        <w:tc>
          <w:tcPr>
            <w:tcW w:w="1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6.75 %</w:t>
            </w:r>
          </w:p>
        </w:tc>
        <w:tc>
          <w:tcPr>
            <w:tcW w:w="12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187</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Spendmend Holdings LLC - Unfunded Revolver</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03/01/2028</w:t>
            </w:r>
          </w:p>
        </w:tc>
        <w:tc>
          <w:tcPr>
            <w:tcW w:w="1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1,215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08"/>
        </w:trPr>
        <w:tc>
          <w:tcPr>
            <w:tcW w:w="300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1"/>
                <w:szCs w:val="11"/>
                <w:color w:val="auto"/>
              </w:rPr>
              <w:t>System Planning and Analysis, Inc. (f/k/a Management Consulting</w:t>
            </w:r>
          </w:p>
        </w:tc>
        <w:tc>
          <w:tcPr>
            <w:tcW w:w="14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250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&amp; Research,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7.00 %</w:t>
            </w:r>
          </w:p>
        </w:tc>
        <w:tc>
          <w:tcPr>
            <w:tcW w:w="12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11,250</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11,038</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10,879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00" w:type="dxa"/>
            <w:vAlign w:val="bottom"/>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System Planning and Analysis, Inc. - (Revolver) </w:t>
            </w:r>
            <w:r>
              <w:rPr>
                <w:rFonts w:ascii="Times New Roman" w:cs="Times New Roman" w:eastAsia="Times New Roman" w:hAnsi="Times New Roman"/>
                <w:sz w:val="12"/>
                <w:szCs w:val="12"/>
                <w:color w:val="auto"/>
                <w:vertAlign w:val="superscript"/>
              </w:rPr>
              <w:t>(7)</w:t>
            </w:r>
            <w:r>
              <w:rPr>
                <w:rFonts w:ascii="Times New Roman" w:cs="Times New Roman" w:eastAsia="Times New Roman" w:hAnsi="Times New Roman"/>
                <w:sz w:val="9"/>
                <w:szCs w:val="9"/>
                <w:color w:val="auto"/>
              </w:rPr>
              <w:t xml:space="preserve"> (f/k/a</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Management Consulting &amp; Research,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2,925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(97 )</w:t>
            </w:r>
          </w:p>
        </w:tc>
        <w:tc>
          <w:tcPr>
            <w:tcW w:w="0" w:type="dxa"/>
            <w:vAlign w:val="bottom"/>
          </w:tcPr>
          <w:p>
            <w:pPr>
              <w:spacing w:after="0"/>
              <w:rPr>
                <w:sz w:val="1"/>
                <w:szCs w:val="1"/>
                <w:color w:val="auto"/>
              </w:rPr>
            </w:pPr>
          </w:p>
        </w:tc>
      </w:tr>
      <w:tr>
        <w:trPr>
          <w:trHeight w:val="143"/>
        </w:trPr>
        <w:tc>
          <w:tcPr>
            <w:tcW w:w="3000" w:type="dxa"/>
            <w:vAlign w:val="bottom"/>
            <w:shd w:val="clear" w:color="auto" w:fill="CCECFF"/>
          </w:tcPr>
          <w:p>
            <w:pPr>
              <w:ind w:left="20"/>
              <w:spacing w:after="0" w:line="143" w:lineRule="exact"/>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03/01/2026</w:t>
            </w:r>
          </w:p>
        </w:tc>
        <w:tc>
          <w:tcPr>
            <w:tcW w:w="14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620</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10/31/2025</w:t>
            </w:r>
          </w:p>
        </w:tc>
        <w:tc>
          <w:tcPr>
            <w:tcW w:w="1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7.01 %</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11,265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-6757670</wp:posOffset>
            </wp:positionV>
            <wp:extent cx="71323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-6157595</wp:posOffset>
            </wp:positionV>
            <wp:extent cx="713232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-5471795</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-5300345</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-5128895</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-4785995</wp:posOffset>
            </wp:positionV>
            <wp:extent cx="713232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-4614545</wp:posOffset>
            </wp:positionV>
            <wp:extent cx="713232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-3414395</wp:posOffset>
            </wp:positionV>
            <wp:extent cx="7132320"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-2900045</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-2557145</wp:posOffset>
            </wp:positionV>
            <wp:extent cx="7132320" cy="85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-1014095</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9" w:name="page10"/>
    <w:bookmarkEnd w:id="9"/>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(Unaudited)—(Continued)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8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49"/>
        </w:trPr>
        <w:tc>
          <w:tcPr>
            <w:tcW w:w="3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8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160" w:type="dxa"/>
            <w:vAlign w:val="bottom"/>
          </w:tcPr>
          <w:p>
            <w:pPr>
              <w:spacing w:after="0"/>
              <w:rPr>
                <w:sz w:val="12"/>
                <w:szCs w:val="12"/>
                <w:color w:val="auto"/>
              </w:rPr>
            </w:pPr>
          </w:p>
        </w:tc>
        <w:tc>
          <w:tcPr>
            <w:tcW w:w="7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07/27/2026</w:t>
            </w:r>
          </w:p>
        </w:tc>
        <w:tc>
          <w:tcPr>
            <w:tcW w:w="180" w:type="dxa"/>
            <w:vAlign w:val="bottom"/>
            <w:shd w:val="clear" w:color="auto" w:fill="CCECFF"/>
          </w:tcPr>
          <w:p>
            <w:pPr>
              <w:spacing w:after="0"/>
              <w:rPr>
                <w:sz w:val="11"/>
                <w:szCs w:val="11"/>
                <w:color w:val="auto"/>
              </w:rPr>
            </w:pPr>
          </w:p>
        </w:tc>
        <w:tc>
          <w:tcPr>
            <w:tcW w:w="24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240" w:type="dxa"/>
            <w:vAlign w:val="bottom"/>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w w:val="86"/>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16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7,511</w:t>
            </w:r>
          </w:p>
        </w:tc>
        <w:tc>
          <w:tcPr>
            <w:tcW w:w="16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7,367</w:t>
            </w:r>
          </w:p>
        </w:tc>
        <w:tc>
          <w:tcPr>
            <w:tcW w:w="16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7,661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3"/>
                <w:szCs w:val="13"/>
                <w:color w:val="auto"/>
                <w:vertAlign w:val="superscript"/>
              </w:rPr>
              <w:t>(7)</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07/27/2026</w:t>
            </w:r>
          </w:p>
        </w:tc>
        <w:tc>
          <w:tcPr>
            <w:tcW w:w="18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0"/>
                <w:szCs w:val="10"/>
                <w:color w:val="auto"/>
              </w:rPr>
            </w:pPr>
          </w:p>
        </w:tc>
        <w:tc>
          <w:tcPr>
            <w:tcW w:w="940" w:type="dxa"/>
            <w:vAlign w:val="bottom"/>
            <w:gridSpan w:val="2"/>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734</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08/30/2027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2,221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08/30/2027</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03/26/2026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7.00 %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17,688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17,485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17,335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03/26/2026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06/16/2025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7.25 %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06/16/2025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04/01/2028</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6.25 %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04/01/2026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03/31/2027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9.76 %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25,110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24,574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24,733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02/27/2026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6.76 %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Term Loan C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05/11/2023</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02/27/2026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03/01/2024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8.18 %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14,002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13,868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13,862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Zips Car Wash,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03/01/2024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615,472</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616,862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Debt—19.6%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Atlas Purchaser, Inc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05/07/2029</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9.75 %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16,527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Best Practice Associates LLC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06/29/2027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10.00 %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17,176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Data Axle, Inc.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04/03/2024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Other Media</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10.25 %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20,253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ENC Parent Corporation</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08/19/2029</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8.51 %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Halo Buyer, Inc.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07/06/2026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9.25 %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32,134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31,119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09/29/2024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9.50 %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16,593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16,340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02/04/2027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11.00 %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VT Topco, Inc.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08/17/2026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7.76 %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14,926</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124,602</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123,455</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Debt/Corporate Notes—5.1%</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shd w:val="clear" w:color="auto" w:fill="CCECFF"/>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Cascade Environmental LLC </w:t>
            </w:r>
            <w:r>
              <w:rPr>
                <w:rFonts w:ascii="Times New Roman" w:cs="Times New Roman" w:eastAsia="Times New Roman" w:hAnsi="Times New Roman"/>
                <w:sz w:val="14"/>
                <w:szCs w:val="14"/>
                <w:color w:val="auto"/>
                <w:vertAlign w:val="superscript"/>
              </w:rPr>
              <w:t>(6)</w:t>
            </w:r>
          </w:p>
        </w:tc>
        <w:tc>
          <w:tcPr>
            <w:tcW w:w="780" w:type="dxa"/>
            <w:vAlign w:val="bottom"/>
            <w:gridSpan w:val="2"/>
            <w:shd w:val="clear" w:color="auto" w:fill="CCECFF"/>
          </w:tcPr>
          <w:p>
            <w:pPr>
              <w:ind w:left="220"/>
              <w:spacing w:after="0" w:line="122" w:lineRule="exact"/>
              <w:rPr>
                <w:sz w:val="20"/>
                <w:szCs w:val="20"/>
                <w:color w:val="auto"/>
              </w:rPr>
            </w:pPr>
            <w:r>
              <w:rPr>
                <w:rFonts w:ascii="Times New Roman" w:cs="Times New Roman" w:eastAsia="Times New Roman" w:hAnsi="Times New Roman"/>
                <w:sz w:val="11"/>
                <w:szCs w:val="11"/>
                <w:color w:val="auto"/>
              </w:rPr>
              <w:t>12/30/2023</w:t>
            </w:r>
          </w:p>
        </w:tc>
        <w:tc>
          <w:tcPr>
            <w:tcW w:w="18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45,265</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43,561</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33,782</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4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940" w:type="dxa"/>
            <w:vAlign w:val="bottom"/>
            <w:tcBorders>
              <w:bottom w:val="single" w:sz="8" w:color="CCECFF"/>
            </w:tcBorders>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(PIK 13.00%)</w:t>
            </w:r>
          </w:p>
        </w:tc>
        <w:tc>
          <w:tcPr>
            <w:tcW w:w="8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43,561</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Interests—1.0% </w:t>
            </w:r>
            <w:r>
              <w:rPr>
                <w:rFonts w:ascii="Times New Roman" w:cs="Times New Roman" w:eastAsia="Times New Roman" w:hAnsi="Times New Roman"/>
                <w:sz w:val="14"/>
                <w:szCs w:val="14"/>
                <w:b w:val="1"/>
                <w:bCs w:val="1"/>
                <w:color w:val="auto"/>
                <w:vertAlign w:val="superscript"/>
              </w:rPr>
              <w:t>(6)</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AH Newco Equityholdings, LLC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6.00 %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Cascade Environmental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16.00 %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178,304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17,607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8.00 %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12.00 %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(8),(11)</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TWD Parent Holdings, LLC</w:t>
            </w:r>
          </w:p>
        </w:tc>
        <w:tc>
          <w:tcPr>
            <w:tcW w:w="14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0"/>
                <w:szCs w:val="10"/>
                <w:color w:val="auto"/>
              </w:rPr>
            </w:pPr>
          </w:p>
        </w:tc>
        <w:tc>
          <w:tcPr>
            <w:tcW w:w="94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22,634</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Interests/Warrants—18.2% </w:t>
            </w:r>
            <w:r>
              <w:rPr>
                <w:rFonts w:ascii="Times New Roman" w:cs="Times New Roman" w:eastAsia="Times New Roman" w:hAnsi="Times New Roman"/>
                <w:sz w:val="14"/>
                <w:szCs w:val="14"/>
                <w:b w:val="1"/>
                <w:bCs w:val="1"/>
                <w:color w:val="auto"/>
                <w:vertAlign w:val="superscript"/>
              </w:rPr>
              <w:t>(6)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04/10/2024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Athletico Holdings,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9,357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Atlas Investment Aggregator, LLC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Telecomunications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Cascade Environmental Holdings,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33,901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863</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Parent,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57,416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Cowboy Parent LLC</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26,360</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2,782</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3,632</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Acquisition Parent Holdings, L.P.</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Crash Champion Holdings, LLC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Delta InvestCo LP</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0"/>
                <w:szCs w:val="10"/>
                <w:color w:val="auto"/>
              </w:rPr>
            </w:pPr>
          </w:p>
        </w:tc>
        <w:tc>
          <w:tcPr>
            <w:tcW w:w="940" w:type="dxa"/>
            <w:vAlign w:val="bottom"/>
            <w:gridSpan w:val="2"/>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698,889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699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Delta InvestCo LP</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442,155</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40" w:type="dxa"/>
            <w:vAlign w:val="bottom"/>
            <w:gridSpan w:val="2"/>
            <w:shd w:val="clear" w:color="auto" w:fill="CCEC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0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(7), (9)</w:t>
            </w:r>
          </w:p>
        </w:tc>
        <w:tc>
          <w:tcPr>
            <w:tcW w:w="1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(11)</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Exigo,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1,458,333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14,186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6,384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II LP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20,357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Lash Coinvest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Gauge TVC Coinvest, LLC</w:t>
            </w:r>
          </w:p>
        </w:tc>
        <w:tc>
          <w:tcPr>
            <w:tcW w:w="14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140" w:type="dxa"/>
            <w:vAlign w:val="bottom"/>
          </w:tcPr>
          <w:p>
            <w:pPr>
              <w:spacing w:after="0"/>
              <w:rPr>
                <w:sz w:val="10"/>
                <w:szCs w:val="10"/>
                <w:color w:val="auto"/>
              </w:rPr>
            </w:pPr>
          </w:p>
        </w:tc>
        <w:tc>
          <w:tcPr>
            <w:tcW w:w="94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810,645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(TVC Enterprises, LLC)</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1,003</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140" w:type="dxa"/>
            <w:vAlign w:val="bottom"/>
          </w:tcPr>
          <w:p>
            <w:pPr>
              <w:spacing w:after="0"/>
              <w:rPr>
                <w:sz w:val="10"/>
                <w:szCs w:val="10"/>
                <w:color w:val="auto"/>
              </w:rPr>
            </w:pPr>
          </w:p>
        </w:tc>
        <w:tc>
          <w:tcPr>
            <w:tcW w:w="940" w:type="dxa"/>
            <w:vAlign w:val="bottom"/>
            <w:gridSpan w:val="2"/>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675,325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675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00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Green Veracity Holdings, LP - Class A</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5,078</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(VT Topco, Inc.)</w:t>
            </w: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6"/>
                <w:szCs w:val="16"/>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6"/>
                <w:szCs w:val="16"/>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-6875780</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-5581650</wp:posOffset>
            </wp:positionV>
            <wp:extent cx="254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-5581650</wp:posOffset>
            </wp:positionV>
            <wp:extent cx="260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-4707255</wp:posOffset>
            </wp:positionV>
            <wp:extent cx="254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-4707255</wp:posOffset>
            </wp:positionV>
            <wp:extent cx="260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-4441190</wp:posOffset>
            </wp:positionV>
            <wp:extent cx="254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-4441190</wp:posOffset>
            </wp:positionV>
            <wp:extent cx="260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-3129915</wp:posOffset>
            </wp:positionV>
            <wp:extent cx="254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-3129915</wp:posOffset>
            </wp:positionV>
            <wp:extent cx="260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0" w:name="page11"/>
    <w:bookmarkEnd w:id="10"/>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(Unaudited)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000" w:type="dxa"/>
            <w:vAlign w:val="bottom"/>
            <w:tcBorders>
              <w:top w:val="single" w:sz="8" w:color="auto"/>
            </w:tcBorders>
            <w:gridSpan w:val="2"/>
          </w:tcPr>
          <w:p>
            <w:pPr>
              <w:ind w:left="20"/>
              <w:spacing w:after="0" w:line="97" w:lineRule="exact"/>
              <w:rPr>
                <w:sz w:val="20"/>
                <w:szCs w:val="20"/>
                <w:color w:val="auto"/>
              </w:rPr>
            </w:pPr>
            <w:r>
              <w:rPr>
                <w:rFonts w:ascii="Times New Roman" w:cs="Times New Roman" w:eastAsia="Times New Roman" w:hAnsi="Times New Roman"/>
                <w:sz w:val="11"/>
                <w:szCs w:val="11"/>
                <w:color w:val="auto"/>
              </w:rPr>
              <w:t>Icon Partners V C, L.P.</w:t>
            </w:r>
          </w:p>
        </w:tc>
        <w:tc>
          <w:tcPr>
            <w:tcW w:w="140" w:type="dxa"/>
            <w:vAlign w:val="bottom"/>
          </w:tcPr>
          <w:p>
            <w:pPr>
              <w:spacing w:after="0"/>
              <w:rPr>
                <w:sz w:val="8"/>
                <w:szCs w:val="8"/>
                <w:color w:val="auto"/>
              </w:rPr>
            </w:pPr>
          </w:p>
        </w:tc>
        <w:tc>
          <w:tcPr>
            <w:tcW w:w="640" w:type="dxa"/>
            <w:vAlign w:val="bottom"/>
            <w:tcBorders>
              <w:top w:val="single" w:sz="8" w:color="auto"/>
            </w:tcBorders>
          </w:tcPr>
          <w:p>
            <w:pPr>
              <w:ind w:left="520"/>
              <w:spacing w:after="0" w:line="9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48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8"/>
                <w:szCs w:val="8"/>
                <w:color w:val="auto"/>
              </w:rPr>
            </w:pPr>
          </w:p>
        </w:tc>
        <w:tc>
          <w:tcPr>
            <w:tcW w:w="7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8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1,111,111</w:t>
            </w:r>
          </w:p>
        </w:tc>
        <w:tc>
          <w:tcPr>
            <w:tcW w:w="180" w:type="dxa"/>
            <w:vAlign w:val="bottom"/>
          </w:tcPr>
          <w:p>
            <w:pPr>
              <w:spacing w:after="0"/>
              <w:rPr>
                <w:sz w:val="8"/>
                <w:szCs w:val="8"/>
                <w:color w:val="auto"/>
              </w:rPr>
            </w:pPr>
          </w:p>
        </w:tc>
        <w:tc>
          <w:tcPr>
            <w:tcW w:w="160" w:type="dxa"/>
            <w:vAlign w:val="bottom"/>
            <w:tcBorders>
              <w:top w:val="single" w:sz="8" w:color="auto"/>
            </w:tcBorders>
          </w:tcPr>
          <w:p>
            <w:pPr>
              <w:jc w:val="right"/>
              <w:ind w:right="4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1,111</w:t>
            </w:r>
          </w:p>
        </w:tc>
        <w:tc>
          <w:tcPr>
            <w:tcW w:w="160" w:type="dxa"/>
            <w:vAlign w:val="bottom"/>
          </w:tcPr>
          <w:p>
            <w:pPr>
              <w:spacing w:after="0"/>
              <w:rPr>
                <w:sz w:val="8"/>
                <w:szCs w:val="8"/>
                <w:color w:val="auto"/>
              </w:rPr>
            </w:pPr>
          </w:p>
        </w:tc>
        <w:tc>
          <w:tcPr>
            <w:tcW w:w="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1,111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(7),(9)</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388,889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Infogroup Parent Holdings, Inc.</w:t>
            </w:r>
          </w:p>
        </w:tc>
        <w:tc>
          <w:tcPr>
            <w:tcW w:w="14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Other Media</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181,495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2,040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(Data Axle, Inc.)</w:t>
            </w:r>
          </w:p>
        </w:tc>
        <w:tc>
          <w:tcPr>
            <w:tcW w:w="140" w:type="dxa"/>
            <w:vAlign w:val="bottom"/>
          </w:tcPr>
          <w:p>
            <w:pPr>
              <w:spacing w:after="0"/>
              <w:rPr>
                <w:sz w:val="12"/>
                <w:szCs w:val="12"/>
                <w:color w:val="auto"/>
              </w:rPr>
            </w:pP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4,566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000" w:type="dxa"/>
            <w:vAlign w:val="bottom"/>
            <w:gridSpan w:val="2"/>
            <w:shd w:val="clear" w:color="auto" w:fill="CCECFF"/>
          </w:tcPr>
          <w:p>
            <w:pPr>
              <w:ind w:left="20"/>
              <w:spacing w:after="0" w:line="107" w:lineRule="exact"/>
              <w:rPr>
                <w:sz w:val="20"/>
                <w:szCs w:val="20"/>
                <w:color w:val="auto"/>
              </w:rPr>
            </w:pPr>
            <w:r>
              <w:rPr>
                <w:rFonts w:ascii="Times New Roman" w:cs="Times New Roman" w:eastAsia="Times New Roman" w:hAnsi="Times New Roman"/>
                <w:sz w:val="11"/>
                <w:szCs w:val="11"/>
                <w:color w:val="auto"/>
              </w:rPr>
              <w:t>Ironclad Holdco, LLC</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3000" w:type="dxa"/>
            <w:vAlign w:val="bottom"/>
            <w:gridSpan w:val="2"/>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00" w:type="dxa"/>
            <w:vAlign w:val="bottom"/>
            <w:gridSpan w:val="2"/>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ITC Infusion Co-invest, LP</w:t>
            </w:r>
          </w:p>
        </w:tc>
        <w:tc>
          <w:tcPr>
            <w:tcW w:w="14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82,895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gridSpan w:val="2"/>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ITC Rumba, LLC</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375,675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30,965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000" w:type="dxa"/>
            <w:vAlign w:val="bottom"/>
            <w:gridSpan w:val="2"/>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(Cano Health,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00" w:type="dxa"/>
            <w:vAlign w:val="bottom"/>
            <w:gridSpan w:val="2"/>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JWC-WE Holdings, L.P.</w:t>
            </w:r>
          </w:p>
        </w:tc>
        <w:tc>
          <w:tcPr>
            <w:tcW w:w="14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140" w:type="dxa"/>
            <w:vAlign w:val="bottom"/>
          </w:tcPr>
          <w:p>
            <w:pPr>
              <w:spacing w:after="0"/>
              <w:rPr>
                <w:sz w:val="8"/>
                <w:szCs w:val="8"/>
                <w:color w:val="auto"/>
              </w:rPr>
            </w:pPr>
          </w:p>
        </w:tc>
        <w:tc>
          <w:tcPr>
            <w:tcW w:w="94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2,688</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783</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2,688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Kentucky Racing Holdco, LLC (Warrants)</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Kinetic Purchaser, LLC</w:t>
            </w:r>
          </w:p>
        </w:tc>
        <w:tc>
          <w:tcPr>
            <w:tcW w:w="14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1,308,814</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1,309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KL Stockton Co-Invest LP</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382,353</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000" w:type="dxa"/>
            <w:vAlign w:val="bottom"/>
            <w:gridSpan w:val="2"/>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gridSpan w:val="2"/>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48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8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0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363,656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1,262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Lightspeed Investment Holdco LLC</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273,143</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Intermidiate Holdings II, Inc.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Title,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815,385</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3,920,145</w:t>
            </w: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NEPRT Parent Holdings, LLC</w:t>
            </w:r>
          </w:p>
        </w:tc>
        <w:tc>
          <w:tcPr>
            <w:tcW w:w="14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8"/>
                <w:szCs w:val="8"/>
                <w:color w:val="auto"/>
              </w:rPr>
            </w:pPr>
          </w:p>
        </w:tc>
        <w:tc>
          <w:tcPr>
            <w:tcW w:w="94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1,299</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1,261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1,112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 xml:space="preserve">(Recteq,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North Haven Saints Equity Holdings, LP</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351,553</w:t>
            </w: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NXOF Holdings, Inc.</w:t>
            </w:r>
          </w:p>
        </w:tc>
        <w:tc>
          <w:tcPr>
            <w:tcW w:w="14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3,261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(Tyto Athene, LLC)</w:t>
            </w:r>
          </w:p>
        </w:tc>
        <w:tc>
          <w:tcPr>
            <w:tcW w:w="140" w:type="dxa"/>
            <w:vAlign w:val="bottom"/>
          </w:tcPr>
          <w:p>
            <w:pPr>
              <w:spacing w:after="0"/>
              <w:rPr>
                <w:sz w:val="12"/>
                <w:szCs w:val="12"/>
                <w:color w:val="auto"/>
              </w:rPr>
            </w:pP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98,286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000" w:type="dxa"/>
            <w:vAlign w:val="bottom"/>
            <w:gridSpan w:val="2"/>
            <w:shd w:val="clear" w:color="auto" w:fill="CCECFF"/>
          </w:tcPr>
          <w:p>
            <w:pPr>
              <w:ind w:left="20"/>
              <w:spacing w:after="0" w:line="107" w:lineRule="exact"/>
              <w:rPr>
                <w:sz w:val="20"/>
                <w:szCs w:val="20"/>
                <w:color w:val="auto"/>
              </w:rPr>
            </w:pPr>
            <w:r>
              <w:rPr>
                <w:rFonts w:ascii="Times New Roman" w:cs="Times New Roman" w:eastAsia="Times New Roman" w:hAnsi="Times New Roman"/>
                <w:sz w:val="11"/>
                <w:szCs w:val="11"/>
                <w:color w:val="auto"/>
              </w:rPr>
              <w:t>OceanSound Discovery Equity, LP</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3000" w:type="dxa"/>
            <w:vAlign w:val="bottom"/>
            <w:gridSpan w:val="2"/>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00" w:type="dxa"/>
            <w:vAlign w:val="bottom"/>
            <w:gridSpan w:val="2"/>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OHCP V BC COI, L.P.</w:t>
            </w:r>
          </w:p>
        </w:tc>
        <w:tc>
          <w:tcPr>
            <w:tcW w:w="14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8"/>
                <w:szCs w:val="8"/>
                <w:color w:val="auto"/>
              </w:rPr>
            </w:pPr>
          </w:p>
        </w:tc>
        <w:tc>
          <w:tcPr>
            <w:tcW w:w="94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446,250</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446</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446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(7),(9)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303,750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PennantPark-TSO Senior Loan Fund II, LP</w:t>
            </w:r>
          </w:p>
        </w:tc>
        <w:tc>
          <w:tcPr>
            <w:tcW w:w="14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tcPr>
          <w:p>
            <w:pPr>
              <w:spacing w:after="0"/>
              <w:rPr>
                <w:sz w:val="8"/>
                <w:szCs w:val="8"/>
                <w:color w:val="auto"/>
              </w:rPr>
            </w:pPr>
          </w:p>
        </w:tc>
        <w:tc>
          <w:tcPr>
            <w:tcW w:w="94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11,418,675</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11,419</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11,678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Pink Lily Holdco,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000" w:type="dxa"/>
            <w:vAlign w:val="bottom"/>
            <w:gridSpan w:val="2"/>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RFMG Parent, LP</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1,050,000</w:t>
            </w:r>
          </w:p>
        </w:tc>
        <w:tc>
          <w:tcPr>
            <w:tcW w:w="1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1,173</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(Rancho Health MSO, Inc.)</w:t>
            </w: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SBI Holdings Investments LLC</w:t>
            </w:r>
          </w:p>
        </w:tc>
        <w:tc>
          <w:tcPr>
            <w:tcW w:w="14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36,585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 L2 Holdings,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881,966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gridSpan w:val="2"/>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SSC Dominion Holdings, LLC</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1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1,890</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A (US Dominion, Inc.)</w:t>
            </w: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SSC Dominion Holdings, LLC</w:t>
            </w:r>
          </w:p>
        </w:tc>
        <w:tc>
          <w:tcPr>
            <w:tcW w:w="14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Class B (US Dominion, Inc.)</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StellPen Holdings, LLC</w:t>
            </w: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153,846</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000" w:type="dxa"/>
            <w:vAlign w:val="bottom"/>
            <w:gridSpan w:val="2"/>
          </w:tcPr>
          <w:p>
            <w:pPr>
              <w:ind w:left="100"/>
              <w:spacing w:after="0" w:line="103" w:lineRule="exact"/>
              <w:rPr>
                <w:sz w:val="20"/>
                <w:szCs w:val="20"/>
                <w:color w:val="auto"/>
              </w:rPr>
            </w:pPr>
            <w:r>
              <w:rPr>
                <w:rFonts w:ascii="Times New Roman" w:cs="Times New Roman" w:eastAsia="Times New Roman" w:hAnsi="Times New Roman"/>
                <w:sz w:val="11"/>
                <w:szCs w:val="11"/>
                <w:color w:val="auto"/>
              </w:rPr>
              <w:t>(CF512, Inc.)</w:t>
            </w: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48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8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0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TAC LifePort Holdings, LLC </w:t>
            </w:r>
            <w:r>
              <w:rPr>
                <w:rFonts w:ascii="Times New Roman" w:cs="Times New Roman" w:eastAsia="Times New Roman" w:hAnsi="Times New Roman"/>
                <w:sz w:val="11"/>
                <w:szCs w:val="11"/>
                <w:color w:val="auto"/>
                <w:vertAlign w:val="superscript"/>
              </w:rPr>
              <w:t>(9)</w:t>
            </w:r>
          </w:p>
        </w:tc>
        <w:tc>
          <w:tcPr>
            <w:tcW w:w="14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8"/>
                <w:szCs w:val="8"/>
                <w:color w:val="auto"/>
              </w:rPr>
            </w:pPr>
          </w:p>
        </w:tc>
        <w:tc>
          <w:tcPr>
            <w:tcW w:w="94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232,558</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233</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274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528,683</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366,761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 (11)</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TWD Parent Holdings,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gridSpan w:val="2"/>
          </w:tcPr>
          <w:p>
            <w:pPr>
              <w:ind w:left="100"/>
              <w:spacing w:after="0" w:line="117" w:lineRule="exact"/>
              <w:rPr>
                <w:sz w:val="20"/>
                <w:szCs w:val="20"/>
                <w:color w:val="auto"/>
              </w:rPr>
            </w:pPr>
            <w:r>
              <w:rPr>
                <w:rFonts w:ascii="Times New Roman" w:cs="Times New Roman" w:eastAsia="Times New Roman" w:hAnsi="Times New Roman"/>
                <w:sz w:val="11"/>
                <w:szCs w:val="11"/>
                <w:color w:val="auto"/>
              </w:rPr>
              <w:t>(The Vertex Companies, LLC)</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14"/>
                <w:szCs w:val="14"/>
                <w:color w:val="auto"/>
                <w:vertAlign w:val="superscript"/>
              </w:rPr>
              <w:t>(5), (11)</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360,343</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000" w:type="dxa"/>
            <w:vAlign w:val="bottom"/>
            <w:gridSpan w:val="2"/>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Wildcat Parent, LP</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2,314</w:t>
            </w:r>
          </w:p>
        </w:tc>
        <w:tc>
          <w:tcPr>
            <w:tcW w:w="1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231</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563</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Borders>
              <w:bottom w:val="single" w:sz="8" w:color="CCECFF"/>
            </w:tcBorders>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(Wildcat Buyerco, Inc.)</w:t>
            </w:r>
          </w:p>
        </w:tc>
        <w:tc>
          <w:tcPr>
            <w:tcW w:w="14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4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68,962</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121,115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00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875,230</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901,587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780" w:type="dxa"/>
            <w:vAlign w:val="bottom"/>
            <w:gridSpan w:val="4"/>
          </w:tcPr>
          <w:p>
            <w:pPr>
              <w:ind w:left="24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Investments in Non-Controlled, Affiliated Portfolio Companies—5.5% </w:t>
            </w:r>
            <w:r>
              <w:rPr>
                <w:rFonts w:ascii="Times New Roman" w:cs="Times New Roman" w:eastAsia="Times New Roman" w:hAnsi="Times New Roman"/>
                <w:sz w:val="11"/>
                <w:szCs w:val="11"/>
                <w:b w:val="1"/>
                <w:bCs w:val="1"/>
                <w:color w:val="auto"/>
                <w:vertAlign w:val="superscript"/>
              </w:rPr>
              <w:t>(1), (2)</w:t>
            </w:r>
          </w:p>
        </w:tc>
        <w:tc>
          <w:tcPr>
            <w:tcW w:w="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Interests—4.8% </w:t>
            </w:r>
            <w:r>
              <w:rPr>
                <w:rFonts w:ascii="Times New Roman" w:cs="Times New Roman" w:eastAsia="Times New Roman" w:hAnsi="Times New Roman"/>
                <w:sz w:val="14"/>
                <w:szCs w:val="14"/>
                <w:b w:val="1"/>
                <w:bCs w:val="1"/>
                <w:color w:val="auto"/>
                <w:vertAlign w:val="superscript"/>
              </w:rPr>
              <w:t>(6)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ETX Energy, LLC - Series X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4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153,922</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15,392</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31,619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0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22,660</w:t>
            </w: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31,619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Interests/Warrants—0.8% </w:t>
            </w:r>
            <w:r>
              <w:rPr>
                <w:rFonts w:ascii="Times New Roman" w:cs="Times New Roman" w:eastAsia="Times New Roman" w:hAnsi="Times New Roman"/>
                <w:sz w:val="14"/>
                <w:szCs w:val="14"/>
                <w:b w:val="1"/>
                <w:bCs w:val="1"/>
                <w:color w:val="auto"/>
                <w:vertAlign w:val="superscript"/>
              </w:rPr>
              <w:t>(6)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65,933</w:t>
            </w:r>
          </w:p>
        </w:tc>
        <w:tc>
          <w:tcPr>
            <w:tcW w:w="1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24,790</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5,111</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24,790</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000" w:type="dxa"/>
            <w:vAlign w:val="bottom"/>
            <w:gridSpan w:val="2"/>
            <w:shd w:val="clear" w:color="auto" w:fill="CCECFF"/>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w:t>
            </w:r>
          </w:p>
        </w:tc>
        <w:tc>
          <w:tcPr>
            <w:tcW w:w="140" w:type="dxa"/>
            <w:vAlign w:val="bottom"/>
            <w:shd w:val="clear" w:color="auto" w:fill="CCECFF"/>
          </w:tcPr>
          <w:p>
            <w:pPr>
              <w:spacing w:after="0"/>
              <w:rPr>
                <w:sz w:val="7"/>
                <w:szCs w:val="7"/>
                <w:color w:val="auto"/>
              </w:rPr>
            </w:pPr>
          </w:p>
        </w:tc>
        <w:tc>
          <w:tcPr>
            <w:tcW w:w="64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2480" w:type="dxa"/>
            <w:vAlign w:val="bottom"/>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70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8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58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47,450</w:t>
            </w:r>
          </w:p>
        </w:tc>
        <w:tc>
          <w:tcPr>
            <w:tcW w:w="16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7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36,730</w:t>
            </w:r>
          </w:p>
        </w:tc>
        <w:tc>
          <w:tcPr>
            <w:tcW w:w="4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30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4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4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vMerge w:val="continue"/>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vMerge w:val="continue"/>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000" w:type="dxa"/>
            <w:vAlign w:val="bottom"/>
            <w:gridSpan w:val="2"/>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Investments in Controlled, Affiliated Portfolio Companies—</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41.5%</w:t>
            </w:r>
          </w:p>
        </w:tc>
        <w:tc>
          <w:tcPr>
            <w:tcW w:w="2660" w:type="dxa"/>
            <w:vAlign w:val="bottom"/>
          </w:tcPr>
          <w:p>
            <w:pPr>
              <w:jc w:val="right"/>
              <w:ind w:right="2404"/>
              <w:spacing w:after="0"/>
              <w:rPr>
                <w:sz w:val="20"/>
                <w:szCs w:val="20"/>
                <w:color w:val="auto"/>
              </w:rPr>
            </w:pPr>
            <w:r>
              <w:rPr>
                <w:rFonts w:ascii="Times New Roman" w:cs="Times New Roman" w:eastAsia="Times New Roman" w:hAnsi="Times New Roman"/>
                <w:sz w:val="7"/>
                <w:szCs w:val="7"/>
                <w:b w:val="1"/>
                <w:bCs w:val="1"/>
                <w:color w:val="auto"/>
              </w:rPr>
              <w:t>(1), (2)</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00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1"/>
                <w:szCs w:val="11"/>
                <w:b w:val="1"/>
                <w:bCs w:val="1"/>
                <w:color w:val="auto"/>
              </w:rPr>
              <w:t>First Lien Secured Debt—7.6%</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03/13/2024</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7.56 %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38,250</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52,792</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50,362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52,792</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50,362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-6814185</wp:posOffset>
            </wp:positionV>
            <wp:extent cx="713232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-6385560</wp:posOffset>
            </wp:positionV>
            <wp:extent cx="7132320"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-6128385</wp:posOffset>
            </wp:positionV>
            <wp:extent cx="7132320" cy="857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-5614035</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-5356860</wp:posOffset>
            </wp:positionV>
            <wp:extent cx="7132320"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-5185410</wp:posOffset>
            </wp:positionV>
            <wp:extent cx="7132320"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-4499610</wp:posOffset>
            </wp:positionV>
            <wp:extent cx="7132320"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-3899535</wp:posOffset>
            </wp:positionV>
            <wp:extent cx="7132320"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190309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030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-2442210</wp:posOffset>
            </wp:positionV>
            <wp:extent cx="713232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85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-2013585</wp:posOffset>
            </wp:positionV>
            <wp:extent cx="7132320" cy="85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-1670685</wp:posOffset>
            </wp:positionV>
            <wp:extent cx="260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-1670685</wp:posOffset>
            </wp:positionV>
            <wp:extent cx="260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5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5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-702310</wp:posOffset>
            </wp:positionV>
            <wp:extent cx="260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-702310</wp:posOffset>
            </wp:positionV>
            <wp:extent cx="260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-445135</wp:posOffset>
            </wp:positionV>
            <wp:extent cx="260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-445135</wp:posOffset>
            </wp:positionV>
            <wp:extent cx="260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260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-8255</wp:posOffset>
            </wp:positionV>
            <wp:extent cx="260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1" w:name="page12"/>
    <w:bookmarkEnd w:id="11"/>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(Unaudited)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80" w:type="dxa"/>
            <w:vAlign w:val="bottom"/>
            <w:gridSpan w:val="2"/>
          </w:tcPr>
          <w:p>
            <w:pPr>
              <w:jc w:val="right"/>
              <w:ind w:right="129"/>
              <w:spacing w:after="0" w:line="114" w:lineRule="exact"/>
              <w:rPr>
                <w:sz w:val="20"/>
                <w:szCs w:val="20"/>
                <w:color w:val="auto"/>
              </w:rPr>
            </w:pPr>
            <w:r>
              <w:rPr>
                <w:rFonts w:ascii="Times New Roman" w:cs="Times New Roman" w:eastAsia="Times New Roman" w:hAnsi="Times New Roman"/>
                <w:sz w:val="11"/>
                <w:szCs w:val="11"/>
                <w:b w:val="1"/>
                <w:bCs w:val="1"/>
                <w:color w:val="auto"/>
              </w:rPr>
              <w:t>Basis Point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80" w:type="dxa"/>
            <w:vAlign w:val="bottom"/>
            <w:gridSpan w:val="2"/>
          </w:tcPr>
          <w:p>
            <w:pPr>
              <w:jc w:val="right"/>
              <w:ind w:right="49"/>
              <w:spacing w:after="0" w:line="111" w:lineRule="exact"/>
              <w:rPr>
                <w:sz w:val="20"/>
                <w:szCs w:val="20"/>
                <w:color w:val="auto"/>
              </w:rPr>
            </w:pPr>
            <w:r>
              <w:rPr>
                <w:rFonts w:ascii="Times New Roman" w:cs="Times New Roman" w:eastAsia="Times New Roman" w:hAnsi="Times New Roman"/>
                <w:sz w:val="11"/>
                <w:szCs w:val="11"/>
                <w:b w:val="1"/>
                <w:bCs w:val="1"/>
                <w:color w:val="auto"/>
              </w:rPr>
              <w:t>Spread Above</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48"/>
        </w:trPr>
        <w:tc>
          <w:tcPr>
            <w:tcW w:w="3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8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w w:val="96"/>
              </w:rPr>
              <w:t>Index</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7"/>
                <w:szCs w:val="7"/>
                <w:b w:val="1"/>
                <w:bCs w:val="1"/>
                <w:color w:val="auto"/>
                <w:w w:val="97"/>
              </w:rPr>
              <w:t>(4)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Debt—1.7%</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spacing w:after="0"/>
              <w:rPr>
                <w:sz w:val="11"/>
                <w:szCs w:val="11"/>
                <w:color w:val="auto"/>
              </w:rPr>
            </w:pPr>
          </w:p>
        </w:tc>
        <w:tc>
          <w:tcPr>
            <w:tcW w:w="34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Mailsouth Inc.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04/23/2025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15.00 %</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11,950,604</w:t>
            </w:r>
          </w:p>
        </w:tc>
        <w:tc>
          <w:tcPr>
            <w:tcW w:w="3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15.00%)</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11,951</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Debt—11.5%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780" w:type="dxa"/>
            <w:vAlign w:val="bottom"/>
            <w:tcBorders>
              <w:bottom w:val="single" w:sz="8" w:color="CCECFF"/>
            </w:tcBorders>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07/31/2027</w:t>
            </w: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100" w:type="dxa"/>
            <w:vAlign w:val="bottom"/>
            <w:tcBorders>
              <w:bottom w:val="single" w:sz="8" w:color="CCECFF"/>
            </w:tcBorders>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9.00 %</w:t>
            </w:r>
          </w:p>
        </w:tc>
        <w:tc>
          <w:tcPr>
            <w:tcW w:w="88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76,082,678</w:t>
            </w: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76,083</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76,083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76,083</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76,083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Equity—20.7% </w:t>
            </w:r>
            <w:r>
              <w:rPr>
                <w:rFonts w:ascii="Times New Roman" w:cs="Times New Roman" w:eastAsia="Times New Roman" w:hAnsi="Times New Roman"/>
                <w:sz w:val="14"/>
                <w:szCs w:val="14"/>
                <w:b w:val="1"/>
                <w:bCs w:val="1"/>
                <w:color w:val="auto"/>
                <w:vertAlign w:val="superscript"/>
              </w:rPr>
              <w:t>(6)</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MSpark, LLC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51,151</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16,516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41,564,397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RAM Energy Holdings LLC </w:t>
            </w:r>
            <w:r>
              <w:rPr>
                <w:rFonts w:ascii="Times New Roman" w:cs="Times New Roman" w:eastAsia="Times New Roman" w:hAnsi="Times New Roman"/>
                <w:sz w:val="14"/>
                <w:szCs w:val="14"/>
                <w:color w:val="auto"/>
                <w:vertAlign w:val="superscript"/>
              </w:rPr>
              <w:t>(9)</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14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162,708</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88,862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220,984</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137,842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Total Investments in Controlled, Affiliated Portfolio Companies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361,809</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275,640</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Investments—182.7%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1,284,489</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1,213,957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Equivalents—4.0%</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13,663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12,596</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12,587</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26,259</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Equivalents—186.7%</w:t>
            </w:r>
          </w:p>
        </w:tc>
        <w:tc>
          <w:tcPr>
            <w:tcW w:w="140" w:type="dxa"/>
            <w:vAlign w:val="bottom"/>
            <w:tcBorders>
              <w:bottom w:val="single" w:sz="8" w:color="CCECFF"/>
            </w:tcBorders>
            <w:shd w:val="clear" w:color="auto" w:fill="CCECFF"/>
          </w:tcPr>
          <w:p>
            <w:pPr>
              <w:spacing w:after="0"/>
              <w:rPr>
                <w:sz w:val="14"/>
                <w:szCs w:val="14"/>
                <w:color w:val="auto"/>
              </w:rPr>
            </w:pPr>
          </w:p>
        </w:tc>
        <w:tc>
          <w:tcPr>
            <w:tcW w:w="64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CCECFF"/>
            </w:tcBorders>
            <w:shd w:val="clear" w:color="auto" w:fill="CCECFF"/>
          </w:tcPr>
          <w:p>
            <w:pPr>
              <w:spacing w:after="0"/>
              <w:rPr>
                <w:sz w:val="14"/>
                <w:szCs w:val="14"/>
                <w:color w:val="auto"/>
              </w:rPr>
            </w:pPr>
          </w:p>
        </w:tc>
        <w:tc>
          <w:tcPr>
            <w:tcW w:w="248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7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CCECFF"/>
            </w:tcBorders>
            <w:shd w:val="clear" w:color="auto" w:fill="CCECFF"/>
          </w:tcPr>
          <w:p>
            <w:pPr>
              <w:spacing w:after="0"/>
              <w:rPr>
                <w:sz w:val="14"/>
                <w:szCs w:val="14"/>
                <w:color w:val="auto"/>
              </w:rPr>
            </w:pPr>
          </w:p>
        </w:tc>
        <w:tc>
          <w:tcPr>
            <w:tcW w:w="54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6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1,310,748</w:t>
            </w:r>
          </w:p>
        </w:tc>
        <w:tc>
          <w:tcPr>
            <w:tcW w:w="16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1,240,208</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00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Assets—(86.7%)</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(575,882 )</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140" w:type="dxa"/>
            <w:vAlign w:val="bottom"/>
            <w:tcBorders>
              <w:bottom w:val="single" w:sz="8" w:color="CCECFF"/>
            </w:tcBorders>
            <w:shd w:val="clear" w:color="auto" w:fill="CCECFF"/>
          </w:tcPr>
          <w:p>
            <w:pPr>
              <w:spacing w:after="0"/>
              <w:rPr>
                <w:sz w:val="15"/>
                <w:szCs w:val="15"/>
                <w:color w:val="auto"/>
              </w:rPr>
            </w:pPr>
          </w:p>
        </w:tc>
        <w:tc>
          <w:tcPr>
            <w:tcW w:w="6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48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54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664,325</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-1671320</wp:posOffset>
            </wp:positionV>
            <wp:extent cx="254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-1671320</wp:posOffset>
            </wp:positionV>
            <wp:extent cx="260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-1490980</wp:posOffset>
            </wp:positionV>
            <wp:extent cx="254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-1490980</wp:posOffset>
            </wp:positionV>
            <wp:extent cx="260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-959485</wp:posOffset>
            </wp:positionV>
            <wp:extent cx="254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-959485</wp:posOffset>
            </wp:positionV>
            <wp:extent cx="260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-770890</wp:posOffset>
            </wp:positionV>
            <wp:extent cx="254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-770890</wp:posOffset>
            </wp:positionV>
            <wp:extent cx="260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-410845</wp:posOffset>
            </wp:positionV>
            <wp:extent cx="254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-410845</wp:posOffset>
            </wp:positionV>
            <wp:extent cx="260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-222250</wp:posOffset>
            </wp:positionV>
            <wp:extent cx="254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-205105</wp:posOffset>
            </wp:positionV>
            <wp:extent cx="254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-222250</wp:posOffset>
            </wp:positionV>
            <wp:extent cx="260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-205105</wp:posOffset>
            </wp:positionV>
            <wp:extent cx="260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-8255</wp:posOffset>
            </wp:positionV>
            <wp:extent cx="260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1" w:lineRule="exact"/>
        <w:rPr>
          <w:sz w:val="20"/>
          <w:szCs w:val="20"/>
          <w:color w:val="auto"/>
        </w:rPr>
      </w:pPr>
    </w:p>
    <w:p>
      <w:pPr>
        <w:ind w:left="360" w:right="20" w:hanging="339"/>
        <w:spacing w:after="0" w:line="182" w:lineRule="auto"/>
        <w:tabs>
          <w:tab w:leader="none" w:pos="36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 (See Note 6).</w:t>
      </w:r>
    </w:p>
    <w:p>
      <w:pPr>
        <w:spacing w:after="0" w:line="26" w:lineRule="exact"/>
        <w:rPr>
          <w:rFonts w:ascii="Times New Roman" w:cs="Times New Roman" w:eastAsia="Times New Roman" w:hAnsi="Times New Roman"/>
          <w:sz w:val="20"/>
          <w:szCs w:val="20"/>
          <w:color w:val="auto"/>
          <w:vertAlign w:val="superscript"/>
        </w:rPr>
      </w:pPr>
    </w:p>
    <w:p>
      <w:pPr>
        <w:ind w:left="360" w:right="20" w:hanging="339"/>
        <w:spacing w:after="0" w:line="182" w:lineRule="auto"/>
        <w:tabs>
          <w:tab w:leader="none" w:pos="36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Times New Roman" w:cs="Times New Roman" w:eastAsia="Times New Roman" w:hAnsi="Times New Roman"/>
          <w:sz w:val="20"/>
          <w:szCs w:val="20"/>
          <w:color w:val="auto"/>
          <w:vertAlign w:val="superscript"/>
        </w:rPr>
      </w:pPr>
    </w:p>
    <w:p>
      <w:pPr>
        <w:ind w:left="360" w:hanging="339"/>
        <w:spacing w:after="0" w:line="183" w:lineRule="auto"/>
        <w:tabs>
          <w:tab w:leader="none" w:pos="36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Valued based on our accounting policy (See Note 2).</w:t>
      </w:r>
    </w:p>
    <w:p>
      <w:pPr>
        <w:spacing w:after="0" w:line="37" w:lineRule="exact"/>
        <w:rPr>
          <w:rFonts w:ascii="Times New Roman" w:cs="Times New Roman" w:eastAsia="Times New Roman" w:hAnsi="Times New Roman"/>
          <w:sz w:val="20"/>
          <w:szCs w:val="20"/>
          <w:color w:val="auto"/>
          <w:vertAlign w:val="superscript"/>
        </w:rPr>
      </w:pPr>
    </w:p>
    <w:p>
      <w:pPr>
        <w:ind w:left="360" w:right="140" w:hanging="339"/>
        <w:spacing w:after="0" w:line="182" w:lineRule="auto"/>
        <w:tabs>
          <w:tab w:leader="none" w:pos="36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1" w:lineRule="exact"/>
        <w:rPr>
          <w:rFonts w:ascii="Times New Roman" w:cs="Times New Roman" w:eastAsia="Times New Roman" w:hAnsi="Times New Roman"/>
          <w:sz w:val="23"/>
          <w:szCs w:val="23"/>
          <w:color w:val="auto"/>
          <w:vertAlign w:val="superscript"/>
        </w:rPr>
      </w:pPr>
    </w:p>
    <w:p>
      <w:pPr>
        <w:ind w:left="360" w:hanging="339"/>
        <w:spacing w:after="0" w:line="187" w:lineRule="auto"/>
        <w:tabs>
          <w:tab w:leader="none" w:pos="36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The security was not valued using significant unobservable inputs. The value of all other securities was determined using significant unobservable inputs (See Note 5).</w:t>
      </w:r>
    </w:p>
    <w:p>
      <w:pPr>
        <w:spacing w:after="0" w:line="38" w:lineRule="exact"/>
        <w:rPr>
          <w:rFonts w:ascii="Times New Roman" w:cs="Times New Roman" w:eastAsia="Times New Roman" w:hAnsi="Times New Roman"/>
          <w:sz w:val="18"/>
          <w:szCs w:val="18"/>
          <w:color w:val="auto"/>
          <w:vertAlign w:val="superscript"/>
        </w:rPr>
      </w:pPr>
    </w:p>
    <w:p>
      <w:pPr>
        <w:ind w:left="360" w:hanging="339"/>
        <w:spacing w:after="0" w:line="180" w:lineRule="auto"/>
        <w:tabs>
          <w:tab w:leader="none" w:pos="3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Non-income producing securities.</w:t>
      </w:r>
    </w:p>
    <w:p>
      <w:pPr>
        <w:spacing w:after="0" w:line="37" w:lineRule="exact"/>
        <w:rPr>
          <w:rFonts w:ascii="Times New Roman" w:cs="Times New Roman" w:eastAsia="Times New Roman" w:hAnsi="Times New Roman"/>
          <w:sz w:val="16"/>
          <w:szCs w:val="16"/>
          <w:color w:val="auto"/>
          <w:vertAlign w:val="superscript"/>
        </w:rPr>
      </w:pPr>
    </w:p>
    <w:p>
      <w:pPr>
        <w:ind w:left="360" w:hanging="339"/>
        <w:spacing w:after="0" w:line="180" w:lineRule="auto"/>
        <w:tabs>
          <w:tab w:leader="none" w:pos="3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6"/>
          <w:szCs w:val="16"/>
          <w:color w:val="auto"/>
          <w:vertAlign w:val="superscript"/>
        </w:rPr>
      </w:pPr>
    </w:p>
    <w:p>
      <w:pPr>
        <w:ind w:left="360" w:hanging="339"/>
        <w:spacing w:after="0" w:line="180" w:lineRule="auto"/>
        <w:tabs>
          <w:tab w:leader="none" w:pos="3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Non-U.S. company or principal place of business outside the United States.</w:t>
      </w:r>
    </w:p>
    <w:p>
      <w:pPr>
        <w:spacing w:after="0" w:line="37" w:lineRule="exact"/>
        <w:rPr>
          <w:rFonts w:ascii="Times New Roman" w:cs="Times New Roman" w:eastAsia="Times New Roman" w:hAnsi="Times New Roman"/>
          <w:sz w:val="16"/>
          <w:szCs w:val="16"/>
          <w:color w:val="auto"/>
          <w:vertAlign w:val="superscript"/>
        </w:rPr>
      </w:pPr>
    </w:p>
    <w:p>
      <w:pPr>
        <w:ind w:left="360" w:hanging="339"/>
        <w:spacing w:after="0" w:line="180" w:lineRule="auto"/>
        <w:tabs>
          <w:tab w:leader="none" w:pos="3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Investment is held through our Taxable Subsidiary (See Note 1).</w:t>
      </w:r>
    </w:p>
    <w:p>
      <w:pPr>
        <w:spacing w:after="0" w:line="37" w:lineRule="exact"/>
        <w:rPr>
          <w:rFonts w:ascii="Times New Roman" w:cs="Times New Roman" w:eastAsia="Times New Roman" w:hAnsi="Times New Roman"/>
          <w:sz w:val="16"/>
          <w:szCs w:val="16"/>
          <w:color w:val="auto"/>
          <w:vertAlign w:val="superscript"/>
        </w:rPr>
      </w:pPr>
    </w:p>
    <w:p>
      <w:pPr>
        <w:ind w:left="360" w:hanging="339"/>
        <w:spacing w:after="0" w:line="180" w:lineRule="auto"/>
        <w:tabs>
          <w:tab w:leader="none" w:pos="3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Par / Shares amount is denominated in British Pounds (£) as denoted.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2" w:name="page13"/>
    <w:bookmarkEnd w:id="12"/>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2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9"/>
                <w:szCs w:val="9"/>
                <w:color w:val="auto"/>
              </w:rPr>
            </w:pPr>
          </w:p>
        </w:tc>
        <w:tc>
          <w:tcPr>
            <w:tcW w:w="7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(3)</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40" w:type="dxa"/>
            <w:vAlign w:val="bottom"/>
          </w:tcPr>
          <w:p>
            <w:pPr>
              <w:spacing w:after="0"/>
              <w:rPr>
                <w:sz w:val="12"/>
                <w:szCs w:val="12"/>
                <w:color w:val="auto"/>
              </w:rPr>
            </w:pPr>
          </w:p>
        </w:tc>
        <w:tc>
          <w:tcPr>
            <w:tcW w:w="26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6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00" w:type="dxa"/>
            <w:vAlign w:val="bottom"/>
            <w:gridSpan w:val="4"/>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w w:val="97"/>
              </w:rPr>
              <w:t xml:space="preserve">Investments in Non-Controlled, Non-Affiliated Portfolio Companies—124.3% </w:t>
            </w:r>
            <w:r>
              <w:rPr>
                <w:rFonts w:ascii="Times New Roman" w:cs="Times New Roman" w:eastAsia="Times New Roman" w:hAnsi="Times New Roman"/>
                <w:sz w:val="14"/>
                <w:szCs w:val="14"/>
                <w:b w:val="1"/>
                <w:bCs w:val="1"/>
                <w:color w:val="auto"/>
                <w:w w:val="97"/>
                <w:vertAlign w:val="superscript"/>
              </w:rPr>
              <w:t>(1), (2)</w:t>
            </w: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Debt—77.5%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08/11/2025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9.50 %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3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6,815</w:t>
            </w:r>
          </w:p>
        </w:tc>
        <w:tc>
          <w:tcPr>
            <w:tcW w:w="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Ad.net Acquisition, LLC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05/06/2026</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76</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76</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05/06/2026</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 (Revolver)</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07/24/2025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07/24/2025</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12/21/2023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15,795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07/21/2027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07/21/2027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Apex Service Partners, LLC Term Loan 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07/31/2025</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L+525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5,592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5,509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5,536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Apex Service Partners, LLC Term Loan 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01/31/2022</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6,658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(Revolver)</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07/29/2024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07/29/2024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06/29/2022</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6,235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(55 )</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12/29/2026</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02/13/2023</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6,153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12/02/2022</w:t>
            </w: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9.75 %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CF512, Inc.</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08/20/2026</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9,802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9,800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08/20/2026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2,727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CF512, Inc.(Revolver)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08/20/2026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02/09/2026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Compex Legal Services, Inc.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02/07/2025</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459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02/07/2025</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3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07/13/2027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01/13/2023</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3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 (Revolver)</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07/13/2027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07/13/2027</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3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08/16/2027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1,847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08/16/2023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08/16/2027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08/05/2025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4,751</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4,656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Crash Champions,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05/14/2022</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6,749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DermaRite Industries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03/03/2022</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8,041</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08/27/2026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13,515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 (Revolver)</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08/27/2026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1,706</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08/27/2026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11/03/2025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9,882</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11/03/2025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03/31/2028</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8,664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8,944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12/23/2025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06/17/2028</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3,487</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19,522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 (Revolver)</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08/10/2027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Graffiti Buyer, Inc. </w:t>
            </w:r>
            <w:r>
              <w:rPr>
                <w:rFonts w:ascii="Times New Roman" w:cs="Times New Roman" w:eastAsia="Times New Roman" w:hAnsi="Times New Roman"/>
                <w:sz w:val="13"/>
                <w:szCs w:val="13"/>
                <w:color w:val="auto"/>
                <w:vertAlign w:val="superscript"/>
              </w:rPr>
              <w:t>(7)</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08/10/2023</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893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08/10/2027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12/31/2022</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12/31/2026</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2,541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 (Revolver)</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1,219</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1,219</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1,207</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2,168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09/22/2028</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4,518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09/22/2027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04/09/2027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13,589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13,341</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IMIA Holdings,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04/09/2027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08/27/2025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6.49 %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17,220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17,116</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17,134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07/09/2023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12/22/2021</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2,611</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12/20/2023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11,712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 (Revolver)</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12/20/2023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12/20/2023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02/18/2027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29,335</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Lash OpCo, LLC (Revolver)</w:t>
            </w:r>
          </w:p>
        </w:tc>
        <w:tc>
          <w:tcPr>
            <w:tcW w:w="7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1"/>
                <w:szCs w:val="11"/>
                <w:color w:val="auto"/>
              </w:rPr>
              <w:t>08/16/2026</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291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08/19/2026</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10/31/2024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8.50 %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5.00%)</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02/03/2026</w:t>
            </w: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4,922</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02/03/2026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7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04/13/2023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 (Revolver)</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04/13/2023</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-5917565</wp:posOffset>
            </wp:positionV>
            <wp:extent cx="7132320" cy="85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-5746115</wp:posOffset>
            </wp:positionV>
            <wp:extent cx="7132320"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-5574665</wp:posOffset>
            </wp:positionV>
            <wp:extent cx="7132320"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-5231765</wp:posOffset>
            </wp:positionV>
            <wp:extent cx="7132320"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-5060315</wp:posOffset>
            </wp:positionV>
            <wp:extent cx="7132320" cy="85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-4888865</wp:posOffset>
            </wp:positionV>
            <wp:extent cx="7132320" cy="85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-4545965</wp:posOffset>
            </wp:positionV>
            <wp:extent cx="7132320" cy="857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-4203065</wp:posOffset>
            </wp:positionV>
            <wp:extent cx="7132320" cy="85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-4031615</wp:posOffset>
            </wp:positionV>
            <wp:extent cx="713232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-3860165</wp:posOffset>
            </wp:positionV>
            <wp:extent cx="7132320" cy="857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-3688715</wp:posOffset>
            </wp:positionV>
            <wp:extent cx="7132320"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-2145665</wp:posOffset>
            </wp:positionV>
            <wp:extent cx="7132320" cy="857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-1974215</wp:posOffset>
            </wp:positionV>
            <wp:extent cx="7132320" cy="857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3" w:name="page14"/>
    <w:bookmarkEnd w:id="13"/>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2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9"/>
                <w:szCs w:val="9"/>
                <w:color w:val="auto"/>
              </w:rPr>
            </w:pPr>
          </w:p>
        </w:tc>
        <w:tc>
          <w:tcPr>
            <w:tcW w:w="7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(3)</w:t>
            </w:r>
          </w:p>
        </w:tc>
        <w:tc>
          <w:tcPr>
            <w:tcW w:w="0" w:type="dxa"/>
            <w:vAlign w:val="bottom"/>
          </w:tcPr>
          <w:p>
            <w:pPr>
              <w:spacing w:after="0"/>
              <w:rPr>
                <w:sz w:val="1"/>
                <w:szCs w:val="1"/>
                <w:color w:val="auto"/>
              </w:rPr>
            </w:pPr>
          </w:p>
        </w:tc>
      </w:tr>
      <w:tr>
        <w:trPr>
          <w:trHeight w:val="149"/>
        </w:trPr>
        <w:tc>
          <w:tcPr>
            <w:tcW w:w="2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4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16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980" w:type="dxa"/>
            <w:vAlign w:val="bottom"/>
            <w:tcBorders>
              <w:top w:val="single" w:sz="8" w:color="auto"/>
            </w:tcBorders>
          </w:tcPr>
          <w:p>
            <w:pPr>
              <w:ind w:left="20"/>
              <w:spacing w:after="0" w:line="110" w:lineRule="exact"/>
              <w:rPr>
                <w:sz w:val="20"/>
                <w:szCs w:val="20"/>
                <w:color w:val="auto"/>
              </w:rPr>
            </w:pPr>
            <w:r>
              <w:rPr>
                <w:rFonts w:ascii="Times New Roman" w:cs="Times New Roman" w:eastAsia="Times New Roman" w:hAnsi="Times New Roman"/>
                <w:sz w:val="9"/>
                <w:szCs w:val="9"/>
                <w:color w:val="auto"/>
              </w:rPr>
              <w:t>Mars Acquisition Holdings Corp. (Revolver)</w:t>
            </w:r>
            <w:r>
              <w:rPr>
                <w:rFonts w:ascii="Times New Roman" w:cs="Times New Roman" w:eastAsia="Times New Roman" w:hAnsi="Times New Roman"/>
                <w:sz w:val="12"/>
                <w:szCs w:val="12"/>
                <w:color w:val="auto"/>
                <w:vertAlign w:val="superscript"/>
              </w:rPr>
              <w:t>(7)</w:t>
            </w:r>
          </w:p>
        </w:tc>
        <w:tc>
          <w:tcPr>
            <w:tcW w:w="140" w:type="dxa"/>
            <w:vAlign w:val="bottom"/>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w w:val="98"/>
              </w:rPr>
              <w:t>5/14/2026</w:t>
            </w:r>
          </w:p>
        </w:tc>
        <w:tc>
          <w:tcPr>
            <w:tcW w:w="140" w:type="dxa"/>
            <w:vAlign w:val="bottom"/>
          </w:tcPr>
          <w:p>
            <w:pPr>
              <w:spacing w:after="0"/>
              <w:rPr>
                <w:sz w:val="9"/>
                <w:szCs w:val="9"/>
                <w:color w:val="auto"/>
              </w:rPr>
            </w:pPr>
          </w:p>
        </w:tc>
        <w:tc>
          <w:tcPr>
            <w:tcW w:w="26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9"/>
                <w:szCs w:val="9"/>
                <w:color w:val="auto"/>
              </w:rPr>
            </w:pPr>
          </w:p>
        </w:tc>
        <w:tc>
          <w:tcPr>
            <w:tcW w:w="6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9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806</w:t>
            </w:r>
          </w:p>
        </w:tc>
        <w:tc>
          <w:tcPr>
            <w:tcW w:w="160" w:type="dxa"/>
            <w:vAlign w:val="bottom"/>
          </w:tcPr>
          <w:p>
            <w:pPr>
              <w:spacing w:after="0"/>
              <w:rPr>
                <w:sz w:val="9"/>
                <w:szCs w:val="9"/>
                <w:color w:val="auto"/>
              </w:rPr>
            </w:pPr>
          </w:p>
        </w:tc>
        <w:tc>
          <w:tcPr>
            <w:tcW w:w="180" w:type="dxa"/>
            <w:vAlign w:val="bottom"/>
            <w:tcBorders>
              <w:top w:val="single" w:sz="8" w:color="auto"/>
            </w:tcBorders>
          </w:tcPr>
          <w:p>
            <w:pPr>
              <w:jc w:val="right"/>
              <w:ind w:right="46"/>
              <w:spacing w:after="0" w:line="110"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MBS Holdings,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04/16/2027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05/23/2024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2,736</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05/23/2024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09/28/2027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6,953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09/28/2027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09/28/2027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NBH Group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08/19/2026</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7,561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7,413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7,410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08/19/2026</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07/09/2026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07/09/2023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07/09/2026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05/07/2027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Cargo Transport</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14,631</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Acquisition,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09/03/2027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5,041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09/03/2027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05/18/2026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15,671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15,435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(Revolver)</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05/18/2026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05/18/2026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21"/>
        </w:trPr>
        <w:tc>
          <w:tcPr>
            <w:tcW w:w="298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w:t>
            </w:r>
          </w:p>
        </w:tc>
        <w:tc>
          <w:tcPr>
            <w:tcW w:w="78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08/07/2025</w:t>
            </w:r>
          </w:p>
        </w:tc>
        <w:tc>
          <w:tcPr>
            <w:tcW w:w="140" w:type="dxa"/>
            <w:vAlign w:val="bottom"/>
            <w:shd w:val="clear" w:color="auto" w:fill="CCECFF"/>
          </w:tcPr>
          <w:p>
            <w:pPr>
              <w:spacing w:after="0"/>
              <w:rPr>
                <w:sz w:val="10"/>
                <w:szCs w:val="10"/>
                <w:color w:val="auto"/>
              </w:rPr>
            </w:pPr>
          </w:p>
        </w:tc>
        <w:tc>
          <w:tcPr>
            <w:tcW w:w="26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shd w:val="clear" w:color="auto" w:fill="CCEC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9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L+1,050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23,675</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20,421</w:t>
            </w:r>
          </w:p>
        </w:tc>
        <w:tc>
          <w:tcPr>
            <w:tcW w:w="18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22,373</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11.50%)</w:t>
            </w:r>
          </w:p>
        </w:tc>
        <w:tc>
          <w:tcPr>
            <w:tcW w:w="9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 (Revolver)</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08/07/2025</w:t>
            </w:r>
          </w:p>
        </w:tc>
        <w:tc>
          <w:tcPr>
            <w:tcW w:w="140" w:type="dxa"/>
            <w:vAlign w:val="bottom"/>
          </w:tcPr>
          <w:p>
            <w:pPr>
              <w:spacing w:after="0"/>
              <w:rPr>
                <w:sz w:val="10"/>
                <w:szCs w:val="10"/>
                <w:color w:val="auto"/>
              </w:rPr>
            </w:pPr>
          </w:p>
        </w:tc>
        <w:tc>
          <w:tcPr>
            <w:tcW w:w="2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L+1,050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2,461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2,123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11.50%)</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6,188</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6,095</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6,064</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Quantic Electronics, LLC </w:t>
            </w:r>
            <w:r>
              <w:rPr>
                <w:rFonts w:ascii="Times New Roman" w:cs="Times New Roman" w:eastAsia="Times New Roman" w:hAnsi="Times New Roman"/>
                <w:sz w:val="13"/>
                <w:szCs w:val="13"/>
                <w:color w:val="auto"/>
                <w:vertAlign w:val="superscript"/>
              </w:rPr>
              <w:t>(7)</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2,094</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09/09/2024</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21,825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21,584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Questex, LLC (Revolver)</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09/09/2024</w:t>
            </w: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13"/>
                <w:szCs w:val="13"/>
                <w:color w:val="auto"/>
                <w:vertAlign w:val="superscript"/>
              </w:rPr>
              <w:t>(7)</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09/09/2024</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1,436</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(86 )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03/31/2025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2,227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(63 )</w:t>
            </w: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12/18/2025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12/18/2025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01/29/2026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Horizons,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06/28/2022</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28,796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28,682</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28,508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Research Now Group, Inc. and Dynata,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12/20/2024</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2,884</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2,884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2,847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06/20/2025</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03/10/2025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16,174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01/03/2025</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12/20/2024</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line="143"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12/20/2024</w:t>
            </w: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9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Schlesinger Global, Inc.</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07/14/2025</w:t>
            </w:r>
          </w:p>
        </w:tc>
        <w:tc>
          <w:tcPr>
            <w:tcW w:w="140" w:type="dxa"/>
            <w:vAlign w:val="bottom"/>
          </w:tcPr>
          <w:p>
            <w:pPr>
              <w:spacing w:after="0"/>
              <w:rPr>
                <w:sz w:val="10"/>
                <w:szCs w:val="10"/>
                <w:color w:val="auto"/>
              </w:rPr>
            </w:pPr>
          </w:p>
        </w:tc>
        <w:tc>
          <w:tcPr>
            <w:tcW w:w="2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507</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07/14/2025</w:t>
            </w:r>
          </w:p>
        </w:tc>
        <w:tc>
          <w:tcPr>
            <w:tcW w:w="140" w:type="dxa"/>
            <w:vAlign w:val="bottom"/>
            <w:shd w:val="clear" w:color="auto" w:fill="CCECFF"/>
          </w:tcPr>
          <w:p>
            <w:pPr>
              <w:spacing w:after="0"/>
              <w:rPr>
                <w:sz w:val="10"/>
                <w:szCs w:val="10"/>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8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9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Schlesinger Global, Inc. (Revolver)</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07/14/2025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12/18/2025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9.75 %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6,520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6,378</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12/18/2025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 Term Loan II</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12/31/2021</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8.50 %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Signature Systems Holding Company (Revolver)</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05/03/2024</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8.50 %</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484</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05/03/2024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01/17/2024</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02/26/2025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14,781</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02/26/2022</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12/23/2025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11.00 %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20,972</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23,391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03/01/2026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07/27/2026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5,496</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07/27/2026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4,577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4,486</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The Vertex Companies, LLC </w:t>
            </w:r>
            <w:r>
              <w:rPr>
                <w:rFonts w:ascii="Times New Roman" w:cs="Times New Roman" w:eastAsia="Times New Roman" w:hAnsi="Times New Roman"/>
                <w:sz w:val="13"/>
                <w:szCs w:val="13"/>
                <w:color w:val="auto"/>
                <w:vertAlign w:val="superscript"/>
              </w:rPr>
              <w:t>(7)</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08/30/2027</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2,221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(8),(11)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11/24/2025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03/26/2026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15,506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15,347</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15,506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03/26/2026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2,702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06/16/2025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4,137</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06/16/2025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04/01/2026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03/31/2027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24,293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02/27/2026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Wildcat Buyerco, Inc. </w:t>
            </w:r>
            <w:r>
              <w:rPr>
                <w:rFonts w:ascii="Times New Roman" w:cs="Times New Roman" w:eastAsia="Times New Roman" w:hAnsi="Times New Roman"/>
                <w:sz w:val="13"/>
                <w:szCs w:val="13"/>
                <w:color w:val="auto"/>
                <w:vertAlign w:val="superscript"/>
              </w:rPr>
              <w:t>(7)</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02/27/2022</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2,574</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02/27/2026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28"/>
        </w:trPr>
        <w:tc>
          <w:tcPr>
            <w:tcW w:w="29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509,046</w:t>
            </w:r>
          </w:p>
        </w:tc>
        <w:tc>
          <w:tcPr>
            <w:tcW w:w="1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511,405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Debt—16.2%</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Atlas Purchaser,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05/07/2029</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9.75 %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Data Axle,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04/03/2024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Other Media</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10.25 %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20,220</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ENC Parent Corporation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08/19/2029</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8.25 %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Halo Buyer,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07/06/2026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9.25 %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32,106</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31,119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09/29/2024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9.50 %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16,593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16,292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02/04/2027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11.00 %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VT Topco,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08/17/2026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7.06 %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14,922</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107,620</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107,225</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-6805930</wp:posOffset>
            </wp:positionV>
            <wp:extent cx="7132320" cy="85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-6120130</wp:posOffset>
            </wp:positionV>
            <wp:extent cx="7132320" cy="857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-5948680</wp:posOffset>
            </wp:positionV>
            <wp:extent cx="7132320" cy="857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-4748530</wp:posOffset>
            </wp:positionV>
            <wp:extent cx="7132320"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7132320" cy="85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-3891280</wp:posOffset>
            </wp:positionV>
            <wp:extent cx="7132320" cy="857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-3719830</wp:posOffset>
            </wp:positionV>
            <wp:extent cx="7132320"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857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93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260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-8255</wp:posOffset>
            </wp:positionV>
            <wp:extent cx="260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4" w:name="page15"/>
    <w:bookmarkEnd w:id="14"/>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9"/>
                <w:szCs w:val="9"/>
                <w:color w:val="auto"/>
              </w:rPr>
            </w:pPr>
          </w:p>
        </w:tc>
        <w:tc>
          <w:tcPr>
            <w:tcW w:w="7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(3)</w:t>
            </w:r>
          </w:p>
        </w:tc>
        <w:tc>
          <w:tcPr>
            <w:tcW w:w="0" w:type="dxa"/>
            <w:vAlign w:val="bottom"/>
          </w:tcPr>
          <w:p>
            <w:pPr>
              <w:spacing w:after="0"/>
              <w:rPr>
                <w:sz w:val="1"/>
                <w:szCs w:val="1"/>
                <w:color w:val="auto"/>
              </w:rPr>
            </w:pPr>
          </w:p>
        </w:tc>
      </w:tr>
      <w:tr>
        <w:trPr>
          <w:trHeight w:val="149"/>
        </w:trPr>
        <w:tc>
          <w:tcPr>
            <w:tcW w:w="2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8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14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Debt/Corporate Notes—8.6%</w:t>
            </w:r>
          </w:p>
        </w:tc>
        <w:tc>
          <w:tcPr>
            <w:tcW w:w="12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58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76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03/17/2025</w:t>
            </w:r>
          </w:p>
        </w:tc>
        <w:tc>
          <w:tcPr>
            <w:tcW w:w="180" w:type="dxa"/>
            <w:vAlign w:val="bottom"/>
          </w:tcPr>
          <w:p>
            <w:pPr>
              <w:spacing w:after="0"/>
              <w:rPr>
                <w:sz w:val="10"/>
                <w:szCs w:val="10"/>
                <w:color w:val="auto"/>
              </w:rPr>
            </w:pPr>
          </w:p>
        </w:tc>
        <w:tc>
          <w:tcPr>
            <w:tcW w:w="2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10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12.00 %</w:t>
            </w:r>
          </w:p>
        </w:tc>
        <w:tc>
          <w:tcPr>
            <w:tcW w:w="920" w:type="dxa"/>
            <w:vAlign w:val="bottom"/>
          </w:tcPr>
          <w:p>
            <w:pPr>
              <w:ind w:left="8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14,335</w:t>
            </w:r>
          </w:p>
        </w:tc>
        <w:tc>
          <w:tcPr>
            <w:tcW w:w="32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14,165</w:t>
            </w: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14,335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(PIK 2.00%)</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Cascade Environmental LLC</w:t>
            </w:r>
          </w:p>
        </w:tc>
        <w:tc>
          <w:tcPr>
            <w:tcW w:w="76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12/30/2023</w:t>
            </w:r>
          </w:p>
        </w:tc>
        <w:tc>
          <w:tcPr>
            <w:tcW w:w="18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13.00 %</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42,468</w:t>
            </w: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42,150</w:t>
            </w:r>
          </w:p>
        </w:tc>
        <w:tc>
          <w:tcPr>
            <w:tcW w:w="1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42,680</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5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CCECFF"/>
            </w:tcBorders>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(PIK 13.00%)</w:t>
            </w:r>
          </w:p>
        </w:tc>
        <w:tc>
          <w:tcPr>
            <w:tcW w:w="9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56,315</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Interests—3.9% </w:t>
            </w:r>
            <w:r>
              <w:rPr>
                <w:rFonts w:ascii="Times New Roman" w:cs="Times New Roman" w:eastAsia="Times New Roman" w:hAnsi="Times New Roman"/>
                <w:sz w:val="14"/>
                <w:szCs w:val="14"/>
                <w:b w:val="1"/>
                <w:bCs w:val="1"/>
                <w:color w:val="auto"/>
                <w:vertAlign w:val="superscript"/>
              </w:rPr>
              <w:t>(6)</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AH Newco Equityholdings,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Cascade Environmental LLC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16.00 %</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178,304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17,607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Intermediate Holdings II, Inc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12.00 %</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(8),(11)</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TWD Parent Holdings, LLC (The Vertex Companies, LLC)</w:t>
            </w:r>
          </w:p>
        </w:tc>
        <w:tc>
          <w:tcPr>
            <w:tcW w:w="12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CFF"/>
            </w:tcBorders>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21,295</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Interests/Warrants—18.0% </w:t>
            </w:r>
            <w:r>
              <w:rPr>
                <w:rFonts w:ascii="Times New Roman" w:cs="Times New Roman" w:eastAsia="Times New Roman" w:hAnsi="Times New Roman"/>
                <w:sz w:val="14"/>
                <w:szCs w:val="14"/>
                <w:b w:val="1"/>
                <w:bCs w:val="1"/>
                <w:color w:val="auto"/>
                <w:vertAlign w:val="superscript"/>
              </w:rPr>
              <w:t>(6)</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Holdings, Inc. (9)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76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04/10/2024</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Atlas Investment Aggregator,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Telecomunications</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Cascade Environmental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33,901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6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1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475</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5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Parent, LLC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57,416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Cowboy Parent LLC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22,500</w:t>
            </w: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w:t>
            </w:r>
          </w:p>
        </w:tc>
        <w:tc>
          <w:tcPr>
            <w:tcW w:w="1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1,902</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Acquisition Parent Holdings, L.P.</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Food and Miscellaneous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Crash Champion Holdings,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3"/>
                <w:szCs w:val="13"/>
                <w:color w:val="auto"/>
                <w:vertAlign w:val="superscript"/>
              </w:rPr>
              <w:t>(9)</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0"/>
                <w:szCs w:val="10"/>
                <w:color w:val="auto"/>
              </w:rPr>
            </w:pPr>
          </w:p>
        </w:tc>
        <w:tc>
          <w:tcPr>
            <w:tcW w:w="960" w:type="dxa"/>
            <w:vAlign w:val="bottom"/>
            <w:gridSpan w:val="2"/>
          </w:tcPr>
          <w:p>
            <w:pPr>
              <w:jc w:val="right"/>
              <w:ind w:righ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570,522</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570,522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(82 )</w:t>
            </w:r>
          </w:p>
        </w:tc>
        <w:tc>
          <w:tcPr>
            <w:tcW w:w="0" w:type="dxa"/>
            <w:vAlign w:val="bottom"/>
          </w:tcPr>
          <w:p>
            <w:pPr>
              <w:spacing w:after="0"/>
              <w:rPr>
                <w:sz w:val="1"/>
                <w:szCs w:val="1"/>
                <w:color w:val="auto"/>
              </w:rPr>
            </w:pPr>
          </w:p>
        </w:tc>
      </w:tr>
      <w:tr>
        <w:trPr>
          <w:trHeight w:val="153"/>
        </w:trPr>
        <w:tc>
          <w:tcPr>
            <w:tcW w:w="29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(11)</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3,331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4,072</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Lash Coinvest LLC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Gauge TVC Coinvest, LLC</w:t>
            </w:r>
          </w:p>
        </w:tc>
        <w:tc>
          <w:tcPr>
            <w:tcW w:w="12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Transportation</w:t>
            </w:r>
          </w:p>
        </w:tc>
        <w:tc>
          <w:tcPr>
            <w:tcW w:w="140" w:type="dxa"/>
            <w:vAlign w:val="bottom"/>
          </w:tcPr>
          <w:p>
            <w:pPr>
              <w:spacing w:after="0"/>
              <w:rPr>
                <w:sz w:val="10"/>
                <w:szCs w:val="10"/>
                <w:color w:val="auto"/>
              </w:rPr>
            </w:pPr>
          </w:p>
        </w:tc>
        <w:tc>
          <w:tcPr>
            <w:tcW w:w="96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810,645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(TVC Enterprises, LLC)</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1,855</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809</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96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14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675,325</w:t>
            </w: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675</w:t>
            </w:r>
          </w:p>
        </w:tc>
        <w:tc>
          <w:tcPr>
            <w:tcW w:w="1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844</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5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9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0"/>
                <w:szCs w:val="10"/>
                <w:color w:val="auto"/>
              </w:rPr>
            </w:pPr>
          </w:p>
        </w:tc>
        <w:tc>
          <w:tcPr>
            <w:tcW w:w="96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(VT Topco, Inc.)</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Infogroup Parent Holdings, Inc. (Data Axle, Inc.)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Other Media</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181,495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3,960</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375,675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6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Home and Office Furnishings</w:t>
            </w:r>
          </w:p>
        </w:tc>
        <w:tc>
          <w:tcPr>
            <w:tcW w:w="14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1,906,433</w:t>
            </w: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6,616</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5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Kadmon Holdings, Inc. </w:t>
            </w:r>
            <w:r>
              <w:rPr>
                <w:rFonts w:ascii="Times New Roman" w:cs="Times New Roman" w:eastAsia="Times New Roman" w:hAnsi="Times New Roman"/>
                <w:sz w:val="14"/>
                <w:szCs w:val="14"/>
                <w:color w:val="auto"/>
                <w:vertAlign w:val="superscript"/>
              </w:rPr>
              <w:t>(5)</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252,014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Food and Miscellaneous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Investment Holdco LLC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Intermidiate Holdings II, Inc.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1,593,514</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1,594</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1,299</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3,261</w:t>
            </w: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186</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OceanSound Discovery Equity, LP</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0"/>
                <w:szCs w:val="10"/>
                <w:color w:val="auto"/>
              </w:rPr>
            </w:pPr>
          </w:p>
        </w:tc>
        <w:tc>
          <w:tcPr>
            <w:tcW w:w="960" w:type="dxa"/>
            <w:vAlign w:val="bottom"/>
            <w:gridSpan w:val="2"/>
          </w:tcPr>
          <w:p>
            <w:pPr>
              <w:jc w:val="right"/>
              <w:ind w:righ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98,286</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979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2,904</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-5862955</wp:posOffset>
            </wp:positionV>
            <wp:extent cx="171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-5862955</wp:posOffset>
            </wp:positionV>
            <wp:extent cx="260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-4817110</wp:posOffset>
            </wp:positionV>
            <wp:extent cx="171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-4817110</wp:posOffset>
            </wp:positionV>
            <wp:extent cx="260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85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5" w:name="page16"/>
    <w:bookmarkEnd w:id="15"/>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(3)</w:t>
            </w:r>
          </w:p>
        </w:tc>
        <w:tc>
          <w:tcPr>
            <w:tcW w:w="0" w:type="dxa"/>
            <w:vAlign w:val="bottom"/>
          </w:tcPr>
          <w:p>
            <w:pPr>
              <w:spacing w:after="0"/>
              <w:rPr>
                <w:sz w:val="1"/>
                <w:szCs w:val="1"/>
                <w:color w:val="auto"/>
              </w:rPr>
            </w:pPr>
          </w:p>
        </w:tc>
      </w:tr>
      <w:tr>
        <w:trPr>
          <w:trHeight w:val="162"/>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0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8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RFMG Parent, LP (Rancho Health MSO, Inc.)</w:t>
            </w:r>
          </w:p>
        </w:tc>
        <w:tc>
          <w:tcPr>
            <w:tcW w:w="140" w:type="dxa"/>
            <w:vAlign w:val="bottom"/>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26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16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8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SBI Holdings Investments LLC</w:t>
            </w:r>
          </w:p>
        </w:tc>
        <w:tc>
          <w:tcPr>
            <w:tcW w:w="14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2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tcPr>
          <w:p>
            <w:pPr>
              <w:spacing w:after="0"/>
              <w:rPr>
                <w:sz w:val="10"/>
                <w:szCs w:val="10"/>
                <w:color w:val="auto"/>
              </w:rPr>
            </w:pPr>
          </w:p>
        </w:tc>
        <w:tc>
          <w:tcPr>
            <w:tcW w:w="9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36,585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3"/>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9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SSC Dominion Holdings, LLC</w:t>
            </w:r>
          </w:p>
        </w:tc>
        <w:tc>
          <w:tcPr>
            <w:tcW w:w="14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2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tcPr>
          <w:p>
            <w:pPr>
              <w:spacing w:after="0"/>
              <w:rPr>
                <w:sz w:val="10"/>
                <w:szCs w:val="10"/>
                <w:color w:val="auto"/>
              </w:rPr>
            </w:pPr>
          </w:p>
        </w:tc>
        <w:tc>
          <w:tcPr>
            <w:tcW w:w="9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 (US Dominion, Inc.)</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4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0"/>
                <w:szCs w:val="10"/>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shd w:val="clear" w:color="auto" w:fill="CCECFF"/>
          </w:tcPr>
          <w:p>
            <w:pPr>
              <w:spacing w:after="0"/>
              <w:rPr>
                <w:sz w:val="10"/>
                <w:szCs w:val="10"/>
                <w:color w:val="auto"/>
              </w:rPr>
            </w:pPr>
          </w:p>
        </w:tc>
        <w:tc>
          <w:tcPr>
            <w:tcW w:w="9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3,534</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B (US Dominion, Inc.)</w:t>
            </w: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3"/>
        </w:trPr>
        <w:tc>
          <w:tcPr>
            <w:tcW w:w="29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StellPen Holdings, LLC (CF512, Inc.)</w:t>
            </w:r>
          </w:p>
        </w:tc>
        <w:tc>
          <w:tcPr>
            <w:tcW w:w="140" w:type="dxa"/>
            <w:vAlign w:val="bottom"/>
          </w:tcPr>
          <w:p>
            <w:pPr>
              <w:spacing w:after="0"/>
              <w:rPr>
                <w:sz w:val="8"/>
                <w:szCs w:val="8"/>
                <w:color w:val="auto"/>
              </w:rPr>
            </w:pPr>
          </w:p>
        </w:tc>
        <w:tc>
          <w:tcPr>
            <w:tcW w:w="62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8"/>
                <w:szCs w:val="8"/>
                <w:color w:val="auto"/>
              </w:rPr>
            </w:pPr>
          </w:p>
        </w:tc>
        <w:tc>
          <w:tcPr>
            <w:tcW w:w="26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8"/>
                <w:szCs w:val="8"/>
                <w:color w:val="auto"/>
              </w:rPr>
            </w:pPr>
          </w:p>
        </w:tc>
        <w:tc>
          <w:tcPr>
            <w:tcW w:w="900" w:type="dxa"/>
            <w:vAlign w:val="bottom"/>
            <w:gridSpan w:val="2"/>
          </w:tcPr>
          <w:p>
            <w:pPr>
              <w:jc w:val="right"/>
              <w:ind w:right="2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153,846</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154</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232,558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 (11)</w:t>
            </w:r>
          </w:p>
        </w:tc>
        <w:tc>
          <w:tcPr>
            <w:tcW w:w="140" w:type="dxa"/>
            <w:vAlign w:val="bottom"/>
          </w:tcPr>
          <w:p>
            <w:pPr>
              <w:spacing w:after="0"/>
              <w:rPr>
                <w:sz w:val="13"/>
                <w:szCs w:val="13"/>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w:t>
            </w:r>
          </w:p>
        </w:tc>
        <w:tc>
          <w:tcPr>
            <w:tcW w:w="1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TWD Parent Holdings, LLC (The Vertex Companies, LLC)</w:t>
            </w:r>
          </w:p>
        </w:tc>
        <w:tc>
          <w:tcPr>
            <w:tcW w:w="14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tcPr>
          <w:p>
            <w:pPr>
              <w:spacing w:after="0"/>
              <w:rPr>
                <w:sz w:val="10"/>
                <w:szCs w:val="10"/>
                <w:color w:val="auto"/>
              </w:rPr>
            </w:pPr>
          </w:p>
        </w:tc>
        <w:tc>
          <w:tcPr>
            <w:tcW w:w="90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14"/>
                <w:szCs w:val="14"/>
                <w:color w:val="auto"/>
                <w:vertAlign w:val="superscript"/>
              </w:rPr>
              <w:t>(5), (11)</w:t>
            </w:r>
          </w:p>
        </w:tc>
        <w:tc>
          <w:tcPr>
            <w:tcW w:w="14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1,261,201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UniVista Insurance</w:t>
            </w: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Wildcat Parent, LP (Wildcat Buyerco, Inc.)</w:t>
            </w:r>
          </w:p>
        </w:tc>
        <w:tc>
          <w:tcPr>
            <w:tcW w:w="14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2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40" w:type="dxa"/>
            <w:vAlign w:val="bottom"/>
          </w:tcPr>
          <w:p>
            <w:pPr>
              <w:spacing w:after="0"/>
              <w:rPr>
                <w:sz w:val="10"/>
                <w:szCs w:val="10"/>
                <w:color w:val="auto"/>
              </w:rPr>
            </w:pPr>
          </w:p>
        </w:tc>
        <w:tc>
          <w:tcPr>
            <w:tcW w:w="9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2,314</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8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ZS Juniper L.P.</w:t>
            </w:r>
          </w:p>
        </w:tc>
        <w:tc>
          <w:tcPr>
            <w:tcW w:w="14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40" w:type="dxa"/>
            <w:vAlign w:val="bottom"/>
          </w:tcPr>
          <w:p>
            <w:pPr>
              <w:spacing w:after="0"/>
              <w:rPr>
                <w:sz w:val="10"/>
                <w:szCs w:val="10"/>
                <w:color w:val="auto"/>
              </w:rPr>
            </w:pPr>
          </w:p>
        </w:tc>
        <w:tc>
          <w:tcPr>
            <w:tcW w:w="90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1,056</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1,056</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5,227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98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(Juniper Landscaping of Florida,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80" w:type="dxa"/>
            <w:vAlign w:val="bottom"/>
            <w:tcBorders>
              <w:bottom w:val="single" w:sz="8" w:color="CCECFF"/>
            </w:tcBorders>
            <w:vMerge w:val="continue"/>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35,536</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118,982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4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729,811</w:t>
            </w: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820,500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74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Investments in Non-Controlled, Affiliated Portfolio Companies—7.6% </w:t>
            </w:r>
            <w:r>
              <w:rPr>
                <w:rFonts w:ascii="Times New Roman" w:cs="Times New Roman" w:eastAsia="Times New Roman" w:hAnsi="Times New Roman"/>
                <w:sz w:val="11"/>
                <w:szCs w:val="11"/>
                <w:b w:val="1"/>
                <w:bCs w:val="1"/>
                <w:color w:val="auto"/>
                <w:vertAlign w:val="superscript"/>
              </w:rPr>
              <w:t>(1), (2)</w:t>
            </w:r>
          </w:p>
        </w:tc>
        <w:tc>
          <w:tcPr>
            <w:tcW w:w="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Interests—6.2% </w:t>
            </w:r>
            <w:r>
              <w:rPr>
                <w:rFonts w:ascii="Times New Roman" w:cs="Times New Roman" w:eastAsia="Times New Roman" w:hAnsi="Times New Roman"/>
                <w:sz w:val="14"/>
                <w:szCs w:val="14"/>
                <w:b w:val="1"/>
                <w:bCs w:val="1"/>
                <w:color w:val="auto"/>
                <w:vertAlign w:val="superscript"/>
              </w:rPr>
              <w:t>(6)</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40" w:type="dxa"/>
            <w:vAlign w:val="bottom"/>
          </w:tcPr>
          <w:p>
            <w:pPr>
              <w:spacing w:after="0"/>
              <w:rPr>
                <w:sz w:val="11"/>
                <w:szCs w:val="1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ETX Energy, LLC - Series X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3"/>
                <w:szCs w:val="13"/>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4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153,922</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15,392</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9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22,660</w:t>
            </w: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41,023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98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Equity/Partnership Interests/Warrants—1.4% </w:t>
            </w:r>
            <w:r>
              <w:rPr>
                <w:rFonts w:ascii="Times New Roman" w:cs="Times New Roman" w:eastAsia="Times New Roman" w:hAnsi="Times New Roman"/>
                <w:sz w:val="11"/>
                <w:szCs w:val="11"/>
                <w:b w:val="1"/>
                <w:bCs w:val="1"/>
                <w:color w:val="auto"/>
                <w:vertAlign w:val="superscript"/>
              </w:rPr>
              <w:t>(6)</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9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3"/>
                <w:szCs w:val="13"/>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1,658,389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29,712</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ETX Energy Management Company, LLC</w:t>
            </w:r>
          </w:p>
        </w:tc>
        <w:tc>
          <w:tcPr>
            <w:tcW w:w="14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4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1,754,104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4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CECFF"/>
            </w:tcBorders>
            <w:shd w:val="clear" w:color="auto" w:fill="CCECFF"/>
          </w:tcPr>
          <w:p>
            <w:pPr>
              <w:spacing w:after="0"/>
              <w:rPr>
                <w:sz w:val="12"/>
                <w:szCs w:val="12"/>
                <w:color w:val="auto"/>
              </w:rPr>
            </w:pPr>
          </w:p>
        </w:tc>
        <w:tc>
          <w:tcPr>
            <w:tcW w:w="26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40" w:type="dxa"/>
            <w:vAlign w:val="bottom"/>
            <w:tcBorders>
              <w:bottom w:val="single" w:sz="8" w:color="CCECFF"/>
            </w:tcBorders>
            <w:shd w:val="clear" w:color="auto" w:fill="CCECFF"/>
          </w:tcPr>
          <w:p>
            <w:pPr>
              <w:spacing w:after="0"/>
              <w:rPr>
                <w:sz w:val="12"/>
                <w:szCs w:val="12"/>
                <w:color w:val="auto"/>
              </w:rPr>
            </w:pPr>
          </w:p>
        </w:tc>
        <w:tc>
          <w:tcPr>
            <w:tcW w:w="90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65,933</w:t>
            </w:r>
          </w:p>
        </w:tc>
        <w:tc>
          <w:tcPr>
            <w:tcW w:w="1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24,790</w:t>
            </w:r>
          </w:p>
        </w:tc>
        <w:tc>
          <w:tcPr>
            <w:tcW w:w="18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9,139</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56,064</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4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78,723</w:t>
            </w: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50,161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74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Controlled, Affiliated Portfolio Companies—58.3% </w:t>
            </w:r>
            <w:r>
              <w:rPr>
                <w:rFonts w:ascii="Times New Roman" w:cs="Times New Roman" w:eastAsia="Times New Roman" w:hAnsi="Times New Roman"/>
                <w:sz w:val="13"/>
                <w:szCs w:val="13"/>
                <w:b w:val="1"/>
                <w:bCs w:val="1"/>
                <w:color w:val="auto"/>
                <w:vertAlign w:val="superscript"/>
              </w:rPr>
              <w:t>(1), (2)</w:t>
            </w:r>
          </w:p>
        </w:tc>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980" w:type="dxa"/>
            <w:vAlign w:val="bottom"/>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First Lien Secured Debt—6.2%</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03/13/2024</w:t>
            </w:r>
          </w:p>
        </w:tc>
        <w:tc>
          <w:tcPr>
            <w:tcW w:w="20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7.50 %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30,500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42,389</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41,125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42,389</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41,125</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Debt—10.6%</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8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Mailsouth Inc.</w:t>
            </w:r>
          </w:p>
        </w:tc>
        <w:tc>
          <w:tcPr>
            <w:tcW w:w="760" w:type="dxa"/>
            <w:vAlign w:val="bottom"/>
            <w:gridSpan w:val="2"/>
            <w:shd w:val="clear" w:color="auto" w:fill="CCECFF"/>
          </w:tcPr>
          <w:p>
            <w:pPr>
              <w:ind w:left="200"/>
              <w:spacing w:after="0" w:line="122" w:lineRule="exact"/>
              <w:rPr>
                <w:sz w:val="20"/>
                <w:szCs w:val="20"/>
                <w:color w:val="auto"/>
              </w:rPr>
            </w:pPr>
            <w:r>
              <w:rPr>
                <w:rFonts w:ascii="Times New Roman" w:cs="Times New Roman" w:eastAsia="Times New Roman" w:hAnsi="Times New Roman"/>
                <w:sz w:val="11"/>
                <w:szCs w:val="11"/>
                <w:color w:val="auto"/>
              </w:rPr>
              <w:t>04/23/2025</w:t>
            </w:r>
          </w:p>
        </w:tc>
        <w:tc>
          <w:tcPr>
            <w:tcW w:w="200" w:type="dxa"/>
            <w:vAlign w:val="bottom"/>
            <w:shd w:val="clear" w:color="auto" w:fill="CCECFF"/>
          </w:tcPr>
          <w:p>
            <w:pPr>
              <w:spacing w:after="0"/>
              <w:rPr>
                <w:sz w:val="10"/>
                <w:szCs w:val="10"/>
                <w:color w:val="auto"/>
              </w:rPr>
            </w:pPr>
          </w:p>
        </w:tc>
        <w:tc>
          <w:tcPr>
            <w:tcW w:w="26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10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15.00 %</w:t>
            </w:r>
          </w:p>
        </w:tc>
        <w:tc>
          <w:tcPr>
            <w:tcW w:w="9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18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15.00%)</w:t>
            </w:r>
          </w:p>
        </w:tc>
        <w:tc>
          <w:tcPr>
            <w:tcW w:w="9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PT Network Intermediate Holdings, LLC</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11/30/2024</w:t>
            </w:r>
          </w:p>
        </w:tc>
        <w:tc>
          <w:tcPr>
            <w:tcW w:w="20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58,582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58,276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11.00%)</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69,363</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69,668</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98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Subordinated Debt—9.7%</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07/31/2027</w:t>
            </w:r>
          </w:p>
        </w:tc>
        <w:tc>
          <w:tcPr>
            <w:tcW w:w="20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9.00 %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9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64,155</w:t>
            </w: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64,155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 xml:space="preserve">Preferred Equity—2.0% </w:t>
            </w:r>
            <w:r>
              <w:rPr>
                <w:rFonts w:ascii="Times New Roman" w:cs="Times New Roman" w:eastAsia="Times New Roman" w:hAnsi="Times New Roman"/>
                <w:sz w:val="14"/>
                <w:szCs w:val="14"/>
                <w:b w:val="1"/>
                <w:bCs w:val="1"/>
                <w:color w:val="auto"/>
                <w:vertAlign w:val="superscript"/>
              </w:rPr>
              <w:t>(6)</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4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36,450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7"/>
        </w:trPr>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10,725</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9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11,272</w:t>
            </w: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13,412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98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Equity—29.7% </w:t>
            </w:r>
            <w:r>
              <w:rPr>
                <w:rFonts w:ascii="Times New Roman" w:cs="Times New Roman" w:eastAsia="Times New Roman" w:hAnsi="Times New Roman"/>
                <w:sz w:val="11"/>
                <w:szCs w:val="11"/>
                <w:b w:val="1"/>
                <w:bCs w:val="1"/>
                <w:color w:val="auto"/>
                <w:vertAlign w:val="superscript"/>
              </w:rPr>
              <w:t>(6)</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14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56"/>
        </w:trPr>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9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MSpark, LLC</w:t>
            </w:r>
          </w:p>
        </w:tc>
        <w:tc>
          <w:tcPr>
            <w:tcW w:w="14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140" w:type="dxa"/>
            <w:vAlign w:val="bottom"/>
          </w:tcPr>
          <w:p>
            <w:pPr>
              <w:spacing w:after="0"/>
              <w:rPr>
                <w:sz w:val="10"/>
                <w:szCs w:val="10"/>
                <w:color w:val="auto"/>
              </w:rPr>
            </w:pPr>
          </w:p>
        </w:tc>
        <w:tc>
          <w:tcPr>
            <w:tcW w:w="90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51,151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16,516</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11,013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14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tcPr>
          <w:p>
            <w:pPr>
              <w:spacing w:after="0"/>
              <w:rPr>
                <w:sz w:val="11"/>
                <w:szCs w:val="1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33,830,005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33,893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RAM Energy Holdings LLC</w:t>
            </w:r>
          </w:p>
        </w:tc>
        <w:tc>
          <w:tcPr>
            <w:tcW w:w="14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Energy and Utilities</w:t>
            </w:r>
          </w:p>
        </w:tc>
        <w:tc>
          <w:tcPr>
            <w:tcW w:w="14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162,708</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81,710</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225,408</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196,269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Total Investments in Controlled, Affiliated Portfolio Companies</w:t>
            </w:r>
          </w:p>
        </w:tc>
        <w:tc>
          <w:tcPr>
            <w:tcW w:w="14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412,587</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384,628</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Investments—190.2%</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1,221,121</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1,255,289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Equivalents—3.1%</w:t>
            </w: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14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2,163</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20,383</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Equivalents—193.2%</w:t>
            </w:r>
          </w:p>
        </w:tc>
        <w:tc>
          <w:tcPr>
            <w:tcW w:w="140" w:type="dxa"/>
            <w:vAlign w:val="bottom"/>
            <w:tcBorders>
              <w:bottom w:val="single" w:sz="8" w:color="CCECFF"/>
            </w:tcBorders>
            <w:shd w:val="clear" w:color="auto" w:fill="CCECFF"/>
          </w:tcPr>
          <w:p>
            <w:pPr>
              <w:spacing w:after="0"/>
              <w:rPr>
                <w:sz w:val="14"/>
                <w:szCs w:val="14"/>
                <w:color w:val="auto"/>
              </w:rPr>
            </w:pPr>
          </w:p>
        </w:tc>
        <w:tc>
          <w:tcPr>
            <w:tcW w:w="62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260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6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92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58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1,241,504</w:t>
            </w:r>
          </w:p>
        </w:tc>
        <w:tc>
          <w:tcPr>
            <w:tcW w:w="18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1,275,646</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Assets—(93.2%)</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(615,502 )</w:t>
            </w:r>
          </w:p>
        </w:tc>
        <w:tc>
          <w:tcPr>
            <w:tcW w:w="0" w:type="dxa"/>
            <w:vAlign w:val="bottom"/>
          </w:tcPr>
          <w:p>
            <w:pPr>
              <w:spacing w:after="0"/>
              <w:rPr>
                <w:sz w:val="1"/>
                <w:szCs w:val="1"/>
                <w:color w:val="auto"/>
              </w:rPr>
            </w:pPr>
          </w:p>
        </w:tc>
      </w:tr>
      <w:tr>
        <w:trPr>
          <w:trHeight w:val="175"/>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140" w:type="dxa"/>
            <w:vAlign w:val="bottom"/>
            <w:tcBorders>
              <w:bottom w:val="single" w:sz="8" w:color="CCECFF"/>
            </w:tcBorders>
            <w:shd w:val="clear" w:color="auto" w:fill="CCECFF"/>
          </w:tcPr>
          <w:p>
            <w:pPr>
              <w:spacing w:after="0"/>
              <w:rPr>
                <w:sz w:val="15"/>
                <w:szCs w:val="15"/>
                <w:color w:val="auto"/>
              </w:rPr>
            </w:pPr>
          </w:p>
        </w:tc>
        <w:tc>
          <w:tcPr>
            <w:tcW w:w="6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260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6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9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5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5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660,144</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-5382895</wp:posOffset>
            </wp:positionV>
            <wp:extent cx="7132320" cy="85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-5211445</wp:posOffset>
            </wp:positionV>
            <wp:extent cx="7132320" cy="85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-4868545</wp:posOffset>
            </wp:positionV>
            <wp:extent cx="7132320" cy="85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-4697095</wp:posOffset>
            </wp:positionV>
            <wp:extent cx="260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-4697095</wp:posOffset>
            </wp:positionV>
            <wp:extent cx="260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-4594225</wp:posOffset>
            </wp:positionV>
            <wp:extent cx="7132320" cy="939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-4413885</wp:posOffset>
            </wp:positionV>
            <wp:extent cx="7132320"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-4062730</wp:posOffset>
            </wp:positionV>
            <wp:extent cx="7132320" cy="939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-3882390</wp:posOffset>
            </wp:positionV>
            <wp:extent cx="7132320" cy="85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-3625215</wp:posOffset>
            </wp:positionV>
            <wp:extent cx="260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-3625215</wp:posOffset>
            </wp:positionV>
            <wp:extent cx="260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946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-3076575</wp:posOffset>
            </wp:positionV>
            <wp:extent cx="260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-3076575</wp:posOffset>
            </wp:positionV>
            <wp:extent cx="260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-2545080</wp:posOffset>
            </wp:positionV>
            <wp:extent cx="260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-2545080</wp:posOffset>
            </wp:positionV>
            <wp:extent cx="260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939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7132320"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857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946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5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857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-959485</wp:posOffset>
            </wp:positionV>
            <wp:extent cx="260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-959485</wp:posOffset>
            </wp:positionV>
            <wp:extent cx="260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-770890</wp:posOffset>
            </wp:positionV>
            <wp:extent cx="260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-770890</wp:posOffset>
            </wp:positionV>
            <wp:extent cx="260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-410845</wp:posOffset>
            </wp:positionV>
            <wp:extent cx="260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-410845</wp:posOffset>
            </wp:positionV>
            <wp:extent cx="260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-222250</wp:posOffset>
            </wp:positionV>
            <wp:extent cx="260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-205105</wp:posOffset>
            </wp:positionV>
            <wp:extent cx="260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-222250</wp:posOffset>
            </wp:positionV>
            <wp:extent cx="260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-205105</wp:posOffset>
            </wp:positionV>
            <wp:extent cx="260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6" w:name="page17"/>
    <w:bookmarkEnd w:id="16"/>
    <w:p>
      <w:pPr>
        <w:ind w:left="340" w:hanging="339"/>
        <w:spacing w:after="0" w:line="182" w:lineRule="auto"/>
        <w:tabs>
          <w:tab w:leader="none" w:pos="3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6" w:lineRule="exact"/>
        <w:rPr>
          <w:rFonts w:ascii="Times New Roman" w:cs="Times New Roman" w:eastAsia="Times New Roman" w:hAnsi="Times New Roman"/>
          <w:sz w:val="20"/>
          <w:szCs w:val="20"/>
          <w:color w:val="auto"/>
          <w:vertAlign w:val="superscript"/>
        </w:rPr>
      </w:pPr>
    </w:p>
    <w:p>
      <w:pPr>
        <w:ind w:left="340" w:hanging="339"/>
        <w:spacing w:after="0" w:line="182" w:lineRule="auto"/>
        <w:tabs>
          <w:tab w:leader="none" w:pos="3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Times New Roman" w:cs="Times New Roman" w:eastAsia="Times New Roman" w:hAnsi="Times New Roman"/>
          <w:sz w:val="20"/>
          <w:szCs w:val="20"/>
          <w:color w:val="auto"/>
          <w:vertAlign w:val="superscript"/>
        </w:rPr>
      </w:pPr>
    </w:p>
    <w:p>
      <w:pPr>
        <w:ind w:left="340" w:hanging="339"/>
        <w:spacing w:after="0" w:line="183" w:lineRule="auto"/>
        <w:tabs>
          <w:tab w:leader="none" w:pos="3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Valued based on our accounting policy (See Note 2).</w:t>
      </w:r>
    </w:p>
    <w:p>
      <w:pPr>
        <w:spacing w:after="0" w:line="37" w:lineRule="exact"/>
        <w:rPr>
          <w:rFonts w:ascii="Times New Roman" w:cs="Times New Roman" w:eastAsia="Times New Roman" w:hAnsi="Times New Roman"/>
          <w:sz w:val="20"/>
          <w:szCs w:val="20"/>
          <w:color w:val="auto"/>
          <w:vertAlign w:val="superscript"/>
        </w:rPr>
      </w:pPr>
    </w:p>
    <w:p>
      <w:pPr>
        <w:ind w:left="340" w:right="120" w:hanging="339"/>
        <w:spacing w:after="0" w:line="190" w:lineRule="auto"/>
        <w:tabs>
          <w:tab w:leader="none" w:pos="3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22"/>
          <w:szCs w:val="22"/>
          <w:color w:val="auto"/>
          <w:vertAlign w:val="superscript"/>
        </w:rPr>
      </w:pPr>
    </w:p>
    <w:p>
      <w:pPr>
        <w:ind w:left="340" w:hanging="339"/>
        <w:spacing w:after="0" w:line="183" w:lineRule="auto"/>
        <w:tabs>
          <w:tab w:leader="none" w:pos="3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The security was not valued using significant unobservable inputs. The value of all other securities was determined using significant unobservable inputs (See Note 5).</w:t>
      </w:r>
    </w:p>
    <w:p>
      <w:pPr>
        <w:spacing w:after="0" w:line="37" w:lineRule="exact"/>
        <w:rPr>
          <w:rFonts w:ascii="Times New Roman" w:cs="Times New Roman" w:eastAsia="Times New Roman" w:hAnsi="Times New Roman"/>
          <w:sz w:val="20"/>
          <w:szCs w:val="20"/>
          <w:color w:val="auto"/>
          <w:vertAlign w:val="superscript"/>
        </w:rPr>
      </w:pPr>
    </w:p>
    <w:p>
      <w:pPr>
        <w:ind w:left="340" w:hanging="339"/>
        <w:spacing w:after="0" w:line="180" w:lineRule="auto"/>
        <w:tabs>
          <w:tab w:leader="none" w:pos="3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Non-income producing securities.</w:t>
      </w:r>
    </w:p>
    <w:p>
      <w:pPr>
        <w:spacing w:after="0" w:line="37" w:lineRule="exact"/>
        <w:rPr>
          <w:rFonts w:ascii="Times New Roman" w:cs="Times New Roman" w:eastAsia="Times New Roman" w:hAnsi="Times New Roman"/>
          <w:sz w:val="16"/>
          <w:szCs w:val="16"/>
          <w:color w:val="auto"/>
          <w:vertAlign w:val="superscript"/>
        </w:rPr>
      </w:pPr>
    </w:p>
    <w:p>
      <w:pPr>
        <w:ind w:left="340" w:hanging="339"/>
        <w:spacing w:after="0" w:line="180" w:lineRule="auto"/>
        <w:tabs>
          <w:tab w:leader="none" w:pos="3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6"/>
          <w:szCs w:val="16"/>
          <w:color w:val="auto"/>
          <w:vertAlign w:val="superscript"/>
        </w:rPr>
      </w:pPr>
    </w:p>
    <w:p>
      <w:pPr>
        <w:ind w:left="340" w:hanging="339"/>
        <w:spacing w:after="0" w:line="180" w:lineRule="auto"/>
        <w:tabs>
          <w:tab w:leader="none" w:pos="3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Non-U.S. company or principal place of business outside the United States.</w:t>
      </w:r>
    </w:p>
    <w:p>
      <w:pPr>
        <w:spacing w:after="0" w:line="37" w:lineRule="exact"/>
        <w:rPr>
          <w:rFonts w:ascii="Times New Roman" w:cs="Times New Roman" w:eastAsia="Times New Roman" w:hAnsi="Times New Roman"/>
          <w:sz w:val="16"/>
          <w:szCs w:val="16"/>
          <w:color w:val="auto"/>
          <w:vertAlign w:val="superscript"/>
        </w:rPr>
      </w:pPr>
    </w:p>
    <w:p>
      <w:pPr>
        <w:ind w:left="340" w:hanging="339"/>
        <w:spacing w:after="0" w:line="180" w:lineRule="auto"/>
        <w:tabs>
          <w:tab w:leader="none" w:pos="3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Investment is held through our Taxable Subsidiary (See Note 1).</w:t>
      </w:r>
    </w:p>
    <w:p>
      <w:pPr>
        <w:spacing w:after="0" w:line="37" w:lineRule="exact"/>
        <w:rPr>
          <w:rFonts w:ascii="Times New Roman" w:cs="Times New Roman" w:eastAsia="Times New Roman" w:hAnsi="Times New Roman"/>
          <w:sz w:val="16"/>
          <w:szCs w:val="16"/>
          <w:color w:val="auto"/>
          <w:vertAlign w:val="superscript"/>
        </w:rPr>
      </w:pPr>
    </w:p>
    <w:p>
      <w:pPr>
        <w:ind w:left="340" w:hanging="339"/>
        <w:spacing w:after="0" w:line="180" w:lineRule="auto"/>
        <w:tabs>
          <w:tab w:leader="none" w:pos="3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Par / Shares amount is denominated in British Pounds (£) as denoted.</w:t>
      </w:r>
    </w:p>
    <w:p>
      <w:pPr>
        <w:spacing w:after="0" w:line="37" w:lineRule="exact"/>
        <w:rPr>
          <w:rFonts w:ascii="Times New Roman" w:cs="Times New Roman" w:eastAsia="Times New Roman" w:hAnsi="Times New Roman"/>
          <w:sz w:val="16"/>
          <w:szCs w:val="16"/>
          <w:color w:val="auto"/>
          <w:vertAlign w:val="superscript"/>
        </w:rPr>
      </w:pPr>
    </w:p>
    <w:p>
      <w:pPr>
        <w:ind w:left="340" w:right="20" w:hanging="339"/>
        <w:spacing w:after="0" w:line="186" w:lineRule="auto"/>
        <w:tabs>
          <w:tab w:leader="none" w:pos="34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88% of the Company’s total assets and non-qualifying assets represent 12% of the Company’s total assets.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17" w:name="page18"/>
    <w:bookmarkEnd w:id="17"/>
    <w:p>
      <w:pPr>
        <w:ind w:left="32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165"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4"/>
          <w:szCs w:val="14"/>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w:t>
      </w:r>
    </w:p>
    <w:p>
      <w:pPr>
        <w:spacing w:after="0" w:line="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4"/>
          <w:szCs w:val="14"/>
          <w:color w:val="auto"/>
        </w:rPr>
        <w:t>investments. We invest primarily in U.S. middle-market companies in the form of first lien secured debt, second lien secured debt, subordinated debt and, to a lesser extent, equity investments. On April 24, 2007, we closed our initial public offering. Our common stock trades on the New York Stock Exchange under the symbol “PNNT.”</w:t>
      </w:r>
    </w:p>
    <w:p>
      <w:pPr>
        <w:spacing w:after="0" w:line="136" w:lineRule="exact"/>
        <w:rPr>
          <w:sz w:val="20"/>
          <w:szCs w:val="20"/>
          <w:color w:val="auto"/>
        </w:rPr>
      </w:pPr>
    </w:p>
    <w:p>
      <w:pPr>
        <w:ind w:right="220" w:firstLine="449"/>
        <w:spacing w:after="0" w:line="243" w:lineRule="auto"/>
        <w:rPr>
          <w:sz w:val="20"/>
          <w:szCs w:val="20"/>
          <w:color w:val="auto"/>
        </w:rPr>
      </w:pPr>
      <w:r>
        <w:rPr>
          <w:rFonts w:ascii="Times New Roman" w:cs="Times New Roman" w:eastAsia="Times New Roman" w:hAnsi="Times New Roman"/>
          <w:sz w:val="14"/>
          <w:szCs w:val="14"/>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w:t>
      </w:r>
    </w:p>
    <w:p>
      <w:pPr>
        <w:spacing w:after="0" w:line="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SBIC II, our wholly-owned subsidiary, was organized as a Delaware limited partnership in 2012. SBIC II received a license from the SBA to operate as a SBIC under Section 301(c) of</w:t>
      </w:r>
    </w:p>
    <w:p>
      <w:pPr>
        <w:spacing w:after="0" w:line="1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36" w:lineRule="exact"/>
        <w:rPr>
          <w:sz w:val="20"/>
          <w:szCs w:val="20"/>
          <w:color w:val="auto"/>
        </w:rPr>
      </w:pPr>
    </w:p>
    <w:p>
      <w:pPr>
        <w:ind w:right="300" w:firstLine="449"/>
        <w:spacing w:after="0" w:line="243" w:lineRule="auto"/>
        <w:rPr>
          <w:sz w:val="20"/>
          <w:szCs w:val="20"/>
          <w:color w:val="auto"/>
        </w:rPr>
      </w:pPr>
      <w:r>
        <w:rPr>
          <w:rFonts w:ascii="Times New Roman" w:cs="Times New Roman" w:eastAsia="Times New Roman" w:hAnsi="Times New Roman"/>
          <w:sz w:val="14"/>
          <w:szCs w:val="14"/>
          <w:color w:val="auto"/>
        </w:rPr>
        <w:t>On July 31, 2020, we and certain entities and managed accounts of the private credit investment manager of Pantheon Ventures (UK) LLP, or Pantheon, entered into a limited liability company agreement to co-manage PSLF, a newly-formed unconsolidated joint venture. In connection with this transaction, we contributed in-kind our formerly wholly-owned subsidiary,</w:t>
      </w:r>
    </w:p>
    <w:p>
      <w:pPr>
        <w:spacing w:after="0" w:line="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4"/>
          <w:szCs w:val="14"/>
          <w:color w:val="auto"/>
        </w:rPr>
        <w:t>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24" w:lineRule="exact"/>
        <w:rPr>
          <w:sz w:val="20"/>
          <w:szCs w:val="20"/>
          <w:color w:val="auto"/>
        </w:rPr>
      </w:pPr>
    </w:p>
    <w:p>
      <w:pPr>
        <w:jc w:val="both"/>
        <w:ind w:right="80" w:firstLine="449"/>
        <w:spacing w:after="0" w:line="243" w:lineRule="auto"/>
        <w:rPr>
          <w:sz w:val="20"/>
          <w:szCs w:val="20"/>
          <w:color w:val="auto"/>
        </w:rPr>
      </w:pPr>
      <w:r>
        <w:rPr>
          <w:rFonts w:ascii="Times New Roman" w:cs="Times New Roman" w:eastAsia="Times New Roman" w:hAnsi="Times New Roman"/>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w:t>
      </w:r>
    </w:p>
    <w:p>
      <w:pPr>
        <w:spacing w:after="0" w:line="1"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4"/>
          <w:szCs w:val="14"/>
          <w:color w:val="auto"/>
        </w:rPr>
        <w:t>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w:t>
      </w:r>
    </w:p>
    <w:p>
      <w:pPr>
        <w:spacing w:after="0" w:line="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October 2021, we issued $165.0 million in aggregate principal amount of our 2026 Notes-2 at a public offering price per note of 99.436%. Interest on the 2026 Notes is paid semi-</w:t>
      </w:r>
    </w:p>
    <w:p>
      <w:pPr>
        <w:spacing w:after="0" w:line="1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w:t>
      </w:r>
    </w:p>
    <w:p>
      <w:pPr>
        <w:spacing w:after="0" w:line="1"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4"/>
          <w:szCs w:val="14"/>
          <w:color w:val="auto"/>
        </w:rPr>
        <w:t>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17"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4"/>
          <w:szCs w:val="14"/>
          <w:color w:val="auto"/>
        </w:rPr>
        <w:t>We have formed the Taxable Subsidiary, which is subject to tax as a corporation. The Taxable Subsidiary allows us to hold equity securities of certain portfolio companies treated as pass-through entities for federal income tax purposes while facilitating our ability to qualify as a RIC under the Code.</w:t>
      </w:r>
    </w:p>
    <w:p>
      <w:pPr>
        <w:spacing w:after="0" w:line="10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In January 2022, we formed PennantPark-TSO Senior Loan Fund II LP, ("PTSF II"), an unconsolidated limited partnership, organized as a Delaware limited liability partnership. We sold $82.3 million in investments to a wholly-owned subsidiary of PTSF II in exchange for cash in the amount of $75.7 million and an $6.6 million equity interest in PTSF II representing 23.1% of the total outstanding Class A Units of PTSF II. We recognized $0.2 million of realized gain upon the formation of PTSF II. As of March 31, 2022, our capital commitment of $15.0 million is 93.1% funded and we hold 23.1% of the total outstanding Class A Units of PTSF II and a 4.99% voting interest in the general partner which manages PTSF II.</w:t>
      </w:r>
    </w:p>
    <w:p>
      <w:pPr>
        <w:spacing w:after="0" w:line="139"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generally accepted accounting principles, or GAAP requires management to make estimates and</w:t>
      </w:r>
    </w:p>
    <w:p>
      <w:pPr>
        <w:spacing w:after="0" w:line="17"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4"/>
          <w:szCs w:val="14"/>
          <w:color w:val="auto"/>
        </w:rPr>
        <w:t>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economic and regulatory environment, financial markets, the credit worthiness of our portfolio companies, the global outbreak of the novel coronavirus (“COVID-19”) and any other</w:t>
      </w:r>
    </w:p>
    <w:p>
      <w:pPr>
        <w:spacing w:after="0" w:line="1"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14"/>
          <w:szCs w:val="14"/>
          <w:color w:val="auto"/>
        </w:rPr>
        <w:t>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w:t>
      </w:r>
    </w:p>
    <w:p>
      <w:pPr>
        <w:spacing w:after="0" w:line="1"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4"/>
          <w:szCs w:val="14"/>
          <w:color w:val="auto"/>
        </w:rPr>
        <w:t>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0"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significant accounting policies consistently applied are as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8" w:name="page19"/>
    <w:bookmarkEnd w:id="18"/>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308" w:lineRule="exact"/>
        <w:rPr>
          <w:sz w:val="20"/>
          <w:szCs w:val="20"/>
          <w:color w:val="auto"/>
        </w:rPr>
      </w:pPr>
    </w:p>
    <w:p>
      <w:pPr>
        <w:ind w:left="640" w:hanging="377"/>
        <w:spacing w:after="0"/>
        <w:tabs>
          <w:tab w:leader="none" w:pos="64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 Valuations</w:t>
      </w:r>
    </w:p>
    <w:p>
      <w:pPr>
        <w:spacing w:after="0" w:line="167" w:lineRule="exact"/>
        <w:rPr>
          <w:sz w:val="20"/>
          <w:szCs w:val="20"/>
          <w:color w:val="auto"/>
        </w:rPr>
      </w:pPr>
    </w:p>
    <w:p>
      <w:pPr>
        <w:ind w:right="220" w:firstLine="449"/>
        <w:spacing w:after="0" w:line="243"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w:t>
      </w:r>
    </w:p>
    <w:p>
      <w:pPr>
        <w:spacing w:after="0" w:line="1"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4"/>
          <w:szCs w:val="14"/>
          <w:color w:val="auto"/>
        </w:rPr>
        <w:t>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market value, the price used in an actual transaction may be different than our valuation and the difference may be material. See Note 5.</w:t>
      </w:r>
    </w:p>
    <w:p>
      <w:pPr>
        <w:spacing w:after="0" w:line="147"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2" w:lineRule="exact"/>
        <w:rPr>
          <w:sz w:val="20"/>
          <w:szCs w:val="20"/>
          <w:color w:val="auto"/>
        </w:rPr>
      </w:pPr>
    </w:p>
    <w:p>
      <w:pPr>
        <w:ind w:left="840" w:right="100" w:hanging="383"/>
        <w:spacing w:after="0" w:line="282"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94"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49" w:lineRule="exact"/>
        <w:rPr>
          <w:rFonts w:ascii="Times New Roman" w:cs="Times New Roman" w:eastAsia="Times New Roman" w:hAnsi="Times New Roman"/>
          <w:sz w:val="14"/>
          <w:szCs w:val="14"/>
          <w:color w:val="auto"/>
        </w:rPr>
      </w:pPr>
    </w:p>
    <w:p>
      <w:pPr>
        <w:jc w:val="both"/>
        <w:ind w:left="840" w:right="140" w:hanging="383"/>
        <w:spacing w:after="0" w:line="261"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ind w:left="840" w:right="20" w:hanging="383"/>
        <w:spacing w:after="0" w:line="271"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2" w:lineRule="exact"/>
        <w:rPr>
          <w:rFonts w:ascii="Times New Roman" w:cs="Times New Roman" w:eastAsia="Times New Roman" w:hAnsi="Times New Roman"/>
          <w:sz w:val="14"/>
          <w:szCs w:val="14"/>
          <w:color w:val="auto"/>
        </w:rPr>
      </w:pPr>
    </w:p>
    <w:p>
      <w:pPr>
        <w:ind w:left="840" w:right="140" w:hanging="383"/>
        <w:spacing w:after="0" w:line="282"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8"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3" w:lineRule="exact"/>
        <w:rPr>
          <w:sz w:val="20"/>
          <w:szCs w:val="20"/>
          <w:color w:val="auto"/>
        </w:rPr>
      </w:pPr>
    </w:p>
    <w:p>
      <w:pPr>
        <w:ind w:left="640" w:hanging="377"/>
        <w:spacing w:after="0"/>
        <w:tabs>
          <w:tab w:leader="none" w:pos="640"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Security Transactions, Revenue Recognition, and Realized/Unrealized Gains or Losses</w:t>
      </w:r>
    </w:p>
    <w:p>
      <w:pPr>
        <w:spacing w:after="0" w:line="16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Facilities during the reporting period, including the reversal of previously recorded unrealized appreciation or depreciation, when gains or losses are realized.</w:t>
      </w:r>
    </w:p>
    <w:p>
      <w:pPr>
        <w:spacing w:after="0" w:line="123"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0"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March 31, 2022, we had one portfolio company on non-accrual, representing 3.5% and 2.8% of our overall portfolio on a cost and fair value basis, respectively. As of September 30, 2021, we had no portfolio companies on non-accrual.</w:t>
      </w:r>
    </w:p>
    <w:p>
      <w:pPr>
        <w:spacing w:after="0" w:line="136" w:lineRule="exact"/>
        <w:rPr>
          <w:sz w:val="20"/>
          <w:szCs w:val="20"/>
          <w:color w:val="auto"/>
        </w:rPr>
      </w:pPr>
    </w:p>
    <w:p>
      <w:pPr>
        <w:ind w:left="640" w:hanging="377"/>
        <w:spacing w:after="0"/>
        <w:tabs>
          <w:tab w:leader="none" w:pos="640"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Income Taxes</w:t>
      </w:r>
    </w:p>
    <w:p>
      <w:pPr>
        <w:spacing w:after="0" w:line="1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and six months ended March 31, 2022, we recorded a provision for taxes on net investment income of $0.2 million and $0.4 million respectively, all of which pertains to U.S. federal excise tax. For the three and six months ended March 31, 2021, we recorded a provision for taxes on net investment income of $0.2 million and $0.3 million respectively, all of which pertains to U.S. federal excise tax.</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50" w:lineRule="exact"/>
        <w:rPr>
          <w:sz w:val="20"/>
          <w:szCs w:val="20"/>
          <w:color w:val="auto"/>
        </w:rPr>
      </w:pPr>
    </w:p>
    <w:p>
      <w:pPr>
        <w:jc w:val="both"/>
        <w:ind w:right="180" w:firstLine="449"/>
        <w:spacing w:after="0" w:line="253"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4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4"/>
          <w:szCs w:val="14"/>
          <w:color w:val="auto"/>
        </w:rPr>
        <w:t>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For the three and six months ended March 31, 2022, the Company recognized a provision for taxes of $5.1 million and $5.1 million, respectively, on net realized gain on investments by the Taxable Subsidiary. The provision for taxes on net realized gain on investments is the result of netting (i) the expected tax liability on the gains from the sales of investments which were realized during fiscal year ending September 30, 2022 and (ii) the expected tax benefit resulting from the use of loss carryforwards to offset such gains. For the three and six months ended March 31, 2021, the Company recognized a provision for taxes of zero on net realized gain on investments by the Taxable Subsidiary.</w:t>
      </w:r>
    </w:p>
    <w:p>
      <w:pPr>
        <w:spacing w:after="0" w:line="13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For the three and six months ended March 31, 2022, the Company recognized a provision for taxes of $(5.1) million and zero, respectively, on unrealized appreciation on investments by the Taxable Subsidiary. For the three and six months ended March 31, 2021, the Company recognized a provision for taxes of zero on unrealized appreciation on investments by the Taxable Subsidiary. During the three and six months ended March 31, 2022, the Company paid $4.0 million in taxes on realized gains on the sale of investments held by the Taxable Subsidiary, resulting in remaining tax liability of $1.1 million as of March 31, 2022 included under accrued other expenses in the consolidated statement of assets and liabilities.</w:t>
      </w:r>
    </w:p>
    <w:p>
      <w:pPr>
        <w:spacing w:after="0" w:line="96" w:lineRule="exact"/>
        <w:rPr>
          <w:sz w:val="20"/>
          <w:szCs w:val="20"/>
          <w:color w:val="auto"/>
        </w:rPr>
      </w:pPr>
    </w:p>
    <w:p>
      <w:pPr>
        <w:ind w:right="20" w:firstLine="449"/>
        <w:spacing w:after="0" w:line="27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2" w:lineRule="exact"/>
        <w:rPr>
          <w:sz w:val="20"/>
          <w:szCs w:val="20"/>
          <w:color w:val="auto"/>
        </w:rPr>
      </w:pPr>
    </w:p>
    <w:p>
      <w:pPr>
        <w:ind w:left="640" w:hanging="377"/>
        <w:spacing w:after="0"/>
        <w:tabs>
          <w:tab w:leader="none" w:pos="640"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Distributions and Capital Transactions</w:t>
      </w:r>
    </w:p>
    <w:p>
      <w:pPr>
        <w:spacing w:after="0" w:line="18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3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7" w:lineRule="exact"/>
        <w:rPr>
          <w:sz w:val="20"/>
          <w:szCs w:val="20"/>
          <w:color w:val="auto"/>
        </w:rPr>
      </w:pPr>
    </w:p>
    <w:p>
      <w:pPr>
        <w:ind w:left="640" w:hanging="377"/>
        <w:spacing w:after="0"/>
        <w:tabs>
          <w:tab w:leader="none" w:pos="640"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77" w:lineRule="exact"/>
        <w:rPr>
          <w:sz w:val="20"/>
          <w:szCs w:val="20"/>
          <w:color w:val="auto"/>
        </w:rPr>
      </w:pPr>
    </w:p>
    <w:p>
      <w:pPr>
        <w:ind w:left="840" w:hanging="383"/>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49"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6" w:lineRule="exact"/>
        <w:rPr>
          <w:sz w:val="20"/>
          <w:szCs w:val="20"/>
          <w:color w:val="auto"/>
        </w:rPr>
      </w:pPr>
    </w:p>
    <w:p>
      <w:pPr>
        <w:jc w:val="both"/>
        <w:ind w:right="120" w:firstLine="449"/>
        <w:spacing w:after="0" w:line="27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2" w:lineRule="exact"/>
        <w:rPr>
          <w:sz w:val="20"/>
          <w:szCs w:val="20"/>
          <w:color w:val="auto"/>
        </w:rPr>
      </w:pPr>
    </w:p>
    <w:p>
      <w:pPr>
        <w:ind w:left="640" w:hanging="377"/>
        <w:spacing w:after="0"/>
        <w:tabs>
          <w:tab w:leader="none" w:pos="640"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Consolidation</w:t>
      </w:r>
    </w:p>
    <w:p>
      <w:pPr>
        <w:spacing w:after="0" w:line="1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 in PSLF or PTSF II. See further description of our investment in PSLF in Note 4.</w:t>
      </w:r>
    </w:p>
    <w:p>
      <w:pPr>
        <w:spacing w:after="0" w:line="132" w:lineRule="exact"/>
        <w:rPr>
          <w:sz w:val="20"/>
          <w:szCs w:val="20"/>
          <w:color w:val="auto"/>
        </w:rPr>
      </w:pPr>
    </w:p>
    <w:p>
      <w:pPr>
        <w:ind w:left="640" w:hanging="377"/>
        <w:spacing w:after="0"/>
        <w:tabs>
          <w:tab w:leader="none" w:pos="640"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Asset Transfers and Servicing</w:t>
      </w:r>
    </w:p>
    <w:p>
      <w:pPr>
        <w:spacing w:after="0" w:line="167" w:lineRule="exact"/>
        <w:rPr>
          <w:sz w:val="20"/>
          <w:szCs w:val="20"/>
          <w:color w:val="auto"/>
        </w:rPr>
      </w:pPr>
    </w:p>
    <w:p>
      <w:pPr>
        <w:ind w:right="20" w:firstLine="449"/>
        <w:spacing w:after="0" w:line="302"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90" w:lineRule="exact"/>
        <w:rPr>
          <w:sz w:val="20"/>
          <w:szCs w:val="20"/>
          <w:color w:val="auto"/>
        </w:rPr>
      </w:pPr>
    </w:p>
    <w:p>
      <w:pPr>
        <w:ind w:left="620" w:hanging="388"/>
        <w:spacing w:after="0"/>
        <w:tabs>
          <w:tab w:leader="none" w:pos="620"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81"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0" w:name="page21"/>
    <w:bookmarkEnd w:id="20"/>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AGREEMENTS AND RELATED PARTY TRANSACTIONS</w:t>
      </w:r>
    </w:p>
    <w:p>
      <w:pPr>
        <w:spacing w:after="0" w:line="175" w:lineRule="exact"/>
        <w:rPr>
          <w:sz w:val="20"/>
          <w:szCs w:val="20"/>
          <w:color w:val="auto"/>
        </w:rPr>
      </w:pPr>
    </w:p>
    <w:p>
      <w:pPr>
        <w:ind w:left="1020" w:right="8580" w:hanging="787"/>
        <w:spacing w:after="0" w:line="496" w:lineRule="auto"/>
        <w:tabs>
          <w:tab w:leader="none" w:pos="502"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 Management Agreement Base Management Fee</w:t>
      </w: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The Investment Management Agreement with the Investment Adviser was reapproved by our board of directors, including a majority of our directors who are not interested persons of us or the Investment Adviser, in February 2022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43"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2022, the Investment Adviser earned a base management fee of $5.0 million and $10.1 million, respectively, from us. For the three and six months ended March 31, 2021, the Investment Adviser earned a base management fee of $4.3 million and $8.4 million, respectively, from us.</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Incentive Fee</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50"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Beginning April 1, 2020 and through June 30, 2021, the Investment Adviser has voluntarily agreed, in consultation with our board of directors, to irrevocably waive the performance-based incentive fees. For the three and six months ended March 31, 2022, the Investment Adviser earned an incentive fee of zero and $2.7 million, respectively, on net investment income from us. For the three and six months ended March 31, 2021, the Investment Adviser did not earn an incentive fee on net investment income from us.</w:t>
      </w:r>
    </w:p>
    <w:p>
      <w:pPr>
        <w:spacing w:after="0" w:line="10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Times New Roman" w:cs="Times New Roman" w:eastAsia="Times New Roman" w:hAnsi="Times New Roman"/>
          <w:sz w:val="14"/>
          <w:szCs w:val="14"/>
          <w:color w:val="auto"/>
          <w:strike w:val="1"/>
        </w:rPr>
        <w:t>,</w:t>
      </w:r>
      <w:r>
        <w:rPr>
          <w:rFonts w:ascii="Times New Roman" w:cs="Times New Roman" w:eastAsia="Times New Roman" w:hAnsi="Times New Roman"/>
          <w:sz w:val="14"/>
          <w:szCs w:val="14"/>
          <w:color w:val="auto"/>
        </w:rPr>
        <w:t xml:space="preserve">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three and six months ended March 31, 2022 and 2021, the Investment Adviser did not accrue an incentive fee on capital gains as calculated under the Investment Management Agreement (as described above).</w:t>
      </w:r>
    </w:p>
    <w:p>
      <w:pPr>
        <w:spacing w:after="0" w:line="113"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and six months ended March 31, 2022 and 2021, the Investment Adviser did not accrue an incentive fee on capital gains as calculated under GAAP.</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(b) Administration Agreement</w:t>
      </w:r>
    </w:p>
    <w:p>
      <w:pPr>
        <w:spacing w:after="0" w:line="167" w:lineRule="exact"/>
        <w:rPr>
          <w:sz w:val="20"/>
          <w:szCs w:val="20"/>
          <w:color w:val="auto"/>
        </w:rPr>
      </w:pPr>
    </w:p>
    <w:p>
      <w:pPr>
        <w:ind w:right="220" w:firstLine="449"/>
        <w:spacing w:after="0" w:line="271" w:lineRule="auto"/>
        <w:rPr>
          <w:sz w:val="20"/>
          <w:szCs w:val="20"/>
          <w:color w:val="auto"/>
        </w:rPr>
      </w:pPr>
      <w:r>
        <w:rPr>
          <w:rFonts w:ascii="Times New Roman" w:cs="Times New Roman" w:eastAsia="Times New Roman" w:hAnsi="Times New Roman"/>
          <w:sz w:val="14"/>
          <w:szCs w:val="14"/>
          <w:color w:val="auto"/>
        </w:rPr>
        <w:t>The Administration Agreement with the Administrator was reapproved by our board of directors, including a majority of our directors who are not interested persons of us, in February 2022.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5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2022,we reimbursed the Investment Adviser approximately $0.6 million and $0.9 million, respectively, including expenses the Investment Adviser incurred on behalf of the Administrator, for the services described above. For the three and six months ended March 31, 2021, we reimbursed the Investment Adviser approximately $0.5 million and $0.7 million, respectively, including expenses the Investment Adviser incurred on behalf of the Administrator, for the services described above.</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 Other Related Party Transactions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There were no transactions subject to Rule 17a-7 under the 1940 Act during each of the three and six months ended March 31, 2022 and 2021.</w:t>
      </w:r>
    </w:p>
    <w:p>
      <w:pPr>
        <w:spacing w:after="0" w:line="163" w:lineRule="exact"/>
        <w:rPr>
          <w:sz w:val="20"/>
          <w:szCs w:val="20"/>
          <w:color w:val="auto"/>
        </w:rPr>
      </w:pPr>
    </w:p>
    <w:p>
      <w:pPr>
        <w:ind w:right="20" w:firstLine="449"/>
        <w:spacing w:after="0" w:line="271" w:lineRule="auto"/>
        <w:rPr>
          <w:sz w:val="20"/>
          <w:szCs w:val="20"/>
          <w:color w:val="auto"/>
        </w:rPr>
      </w:pPr>
      <w:r>
        <w:rPr>
          <w:rFonts w:ascii="Times New Roman" w:cs="Times New Roman" w:eastAsia="Times New Roman" w:hAnsi="Times New Roman"/>
          <w:sz w:val="14"/>
          <w:szCs w:val="14"/>
          <w:color w:val="auto"/>
        </w:rPr>
        <w:t>For the three and six months ended March 31, 2022 we sold $11.5 million and $59.6 million in investments to PSLF at fair value, respectively, and recognized zero and $0.1 million of net realized gains, respectively. For the three and six months ended March 31, 2021, we sold $15.5 million $37.8 million in investments to PSLF at fair value, respectively, and recognized $0.1 million and $0.5 million of net realized gains, respectively.</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months ended March 31, 2022, we sold $82.3 million in investments to PTSF II at fair value and recognized $0.2 million of net realized gains.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165" w:lineRule="exact"/>
        <w:rPr>
          <w:sz w:val="20"/>
          <w:szCs w:val="20"/>
          <w:color w:val="auto"/>
        </w:rPr>
      </w:pPr>
    </w:p>
    <w:p>
      <w:pPr>
        <w:ind w:right="20" w:firstLine="449"/>
        <w:spacing w:after="0" w:line="264" w:lineRule="auto"/>
        <w:rPr>
          <w:sz w:val="20"/>
          <w:szCs w:val="20"/>
          <w:color w:val="auto"/>
        </w:rPr>
      </w:pPr>
      <w:r>
        <w:rPr>
          <w:rFonts w:ascii="Times New Roman" w:cs="Times New Roman" w:eastAsia="Times New Roman" w:hAnsi="Times New Roman"/>
          <w:sz w:val="14"/>
          <w:szCs w:val="14"/>
          <w:color w:val="auto"/>
        </w:rPr>
        <w:t>Purchases of investments, including PIK interest, for the three and six months ended March 31, 2022 totaled $185.7 million and $480.8 million, respectively. For the same periods in the prior year, purchases of investments, including PIK interest, totaled $78.4 million and $150.1 million, respectively. Sales and repayments of investments for the three and six months ended March 31, 2022 totaled $405.5 million and $537.7 million, respectively. For the same periods in the prior year, sales and repayments of investments totaled $65.0 million and $167.6 million, respectively.</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Classification </w:t>
            </w:r>
            <w:r>
              <w:rPr>
                <w:rFonts w:ascii="Times New Roman" w:cs="Times New Roman" w:eastAsia="Times New Roman" w:hAnsi="Times New Roman"/>
                <w:sz w:val="14"/>
                <w:szCs w:val="14"/>
                <w:color w:val="auto"/>
              </w:rPr>
              <w:t>($ in thousands)</w:t>
            </w: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668,265</w:t>
            </w:r>
          </w:p>
        </w:tc>
        <w:tc>
          <w:tcPr>
            <w:tcW w:w="30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667,224</w:t>
            </w:r>
          </w:p>
        </w:tc>
        <w:tc>
          <w:tcPr>
            <w:tcW w:w="26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551,435</w:t>
            </w:r>
          </w:p>
        </w:tc>
        <w:tc>
          <w:tcPr>
            <w:tcW w:w="2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552,530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136,552</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134,808</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176,983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34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43,561</w:t>
            </w:r>
          </w:p>
        </w:tc>
        <w:tc>
          <w:tcPr>
            <w:tcW w:w="30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33,782</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56,315</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57,015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Subordinated notes in PSLF</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76,083</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76,083</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4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318,402</w:t>
            </w:r>
          </w:p>
        </w:tc>
        <w:tc>
          <w:tcPr>
            <w:tcW w:w="30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253,931</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338,341</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363,537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 PSLF</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41,627</w:t>
            </w: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48,129</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33,893</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40" w:type="dxa"/>
            <w:vAlign w:val="bottom"/>
            <w:tcBorders>
              <w:bottom w:val="single" w:sz="8" w:color="auto"/>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1,284,490</w:t>
            </w:r>
          </w:p>
        </w:tc>
        <w:tc>
          <w:tcPr>
            <w:tcW w:w="300" w:type="dxa"/>
            <w:vAlign w:val="bottom"/>
            <w:tcBorders>
              <w:bottom w:val="single" w:sz="8" w:color="CCECFF"/>
            </w:tcBorders>
            <w:shd w:val="clear" w:color="auto" w:fill="CCECFF"/>
          </w:tcPr>
          <w:p>
            <w:pPr>
              <w:spacing w:after="0"/>
              <w:rPr>
                <w:sz w:val="14"/>
                <w:szCs w:val="14"/>
                <w:color w:val="auto"/>
              </w:rPr>
            </w:pPr>
          </w:p>
        </w:tc>
        <w:tc>
          <w:tcPr>
            <w:tcW w:w="38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1,213,957</w:t>
            </w:r>
          </w:p>
        </w:tc>
        <w:tc>
          <w:tcPr>
            <w:tcW w:w="26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1,221,121</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1,255,290</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26,259</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26,251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340" w:type="dxa"/>
            <w:vAlign w:val="bottom"/>
            <w:tcBorders>
              <w:bottom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1,310,749</w:t>
            </w:r>
          </w:p>
        </w:tc>
        <w:tc>
          <w:tcPr>
            <w:tcW w:w="30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1,240,207</w:t>
            </w:r>
          </w:p>
        </w:tc>
        <w:tc>
          <w:tcPr>
            <w:tcW w:w="26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1,241,504</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1,275,647</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-265430</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-265430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-265430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20" w:type="dxa"/>
            <w:vAlign w:val="bottom"/>
          </w:tcPr>
          <w:p>
            <w:pPr>
              <w:spacing w:after="0"/>
              <w:rPr>
                <w:sz w:val="18"/>
                <w:szCs w:val="18"/>
                <w:color w:val="auto"/>
              </w:rPr>
            </w:pPr>
          </w:p>
        </w:tc>
        <w:tc>
          <w:tcPr>
            <w:tcW w:w="22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March 31, 2022</w:t>
            </w:r>
            <w:r>
              <w:rPr>
                <w:rFonts w:ascii="Times New Roman" w:cs="Times New Roman" w:eastAsia="Times New Roman" w:hAnsi="Times New Roman"/>
                <w:sz w:val="19"/>
                <w:szCs w:val="19"/>
                <w:b w:val="1"/>
                <w:bCs w:val="1"/>
                <w:color w:val="auto"/>
                <w:vertAlign w:val="superscript"/>
              </w:rPr>
              <w:t>(1)</w:t>
            </w:r>
          </w:p>
        </w:tc>
        <w:tc>
          <w:tcPr>
            <w:tcW w:w="480" w:type="dxa"/>
            <w:vAlign w:val="bottom"/>
          </w:tcPr>
          <w:p>
            <w:pPr>
              <w:spacing w:after="0"/>
              <w:rPr>
                <w:sz w:val="18"/>
                <w:szCs w:val="18"/>
                <w:color w:val="auto"/>
              </w:rPr>
            </w:pPr>
          </w:p>
        </w:tc>
        <w:tc>
          <w:tcPr>
            <w:tcW w:w="28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 xml:space="preserve">September 30, 2021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8"/>
                <w:szCs w:val="18"/>
                <w:color w:val="auto"/>
              </w:rPr>
            </w:pPr>
          </w:p>
        </w:tc>
      </w:tr>
      <w:tr>
        <w:trPr>
          <w:trHeight w:val="169"/>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220" w:type="dxa"/>
            <w:vAlign w:val="bottom"/>
            <w:shd w:val="clear" w:color="auto" w:fill="CCECFF"/>
          </w:tcPr>
          <w:p>
            <w:pPr>
              <w:spacing w:after="0"/>
              <w:rPr>
                <w:sz w:val="14"/>
                <w:szCs w:val="14"/>
                <w:color w:val="auto"/>
              </w:rPr>
            </w:pP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Healthcare, Education and Childcare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Consumer Products</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Energy and Utilities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Aerospace and Defense</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r>
      <w:tr>
        <w:trPr>
          <w:trHeight w:val="17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Auto Sector</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Telecommunications</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Education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Environmental Services</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CFF"/>
          </w:tcPr>
          <w:p>
            <w:pPr>
              <w:spacing w:after="0"/>
              <w:rPr>
                <w:sz w:val="15"/>
                <w:szCs w:val="15"/>
                <w:color w:val="auto"/>
              </w:rPr>
            </w:pPr>
          </w:p>
        </w:tc>
      </w:tr>
      <w:tr>
        <w:trPr>
          <w:trHeight w:val="17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 and Office Furnishings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Building Materials</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Electronics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Financial Services</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Other Media</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r>
      <w:tr>
        <w:trPr>
          <w:trHeight w:val="17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Personal, Food and Miscellaneous Services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Transportation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r>
      <w:tr>
        <w:trPr>
          <w:trHeight w:val="17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Manufacturing / Basic Industries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r>
      <w:tr>
        <w:trPr>
          <w:trHeight w:val="175"/>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Printing and Publishing</w:t>
            </w:r>
          </w:p>
        </w:tc>
        <w:tc>
          <w:tcPr>
            <w:tcW w:w="2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Cargo Transport</w:t>
            </w:r>
          </w:p>
        </w:tc>
        <w:tc>
          <w:tcPr>
            <w:tcW w:w="22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r>
      <w:tr>
        <w:trPr>
          <w:trHeight w:val="176"/>
        </w:trPr>
        <w:tc>
          <w:tcPr>
            <w:tcW w:w="5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Hotels, Motels, Inns and Gaming</w:t>
            </w:r>
          </w:p>
        </w:tc>
        <w:tc>
          <w:tcPr>
            <w:tcW w:w="220" w:type="dxa"/>
            <w:vAlign w:val="bottom"/>
            <w:shd w:val="clear" w:color="auto" w:fill="CCECFF"/>
          </w:tcPr>
          <w:p>
            <w:pPr>
              <w:spacing w:after="0"/>
              <w:rPr>
                <w:sz w:val="15"/>
                <w:szCs w:val="15"/>
                <w:color w:val="auto"/>
              </w:rPr>
            </w:pP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Personal and Non-Durable Consumer Products</w:t>
            </w:r>
          </w:p>
        </w:tc>
        <w:tc>
          <w:tcPr>
            <w:tcW w:w="22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r>
      <w:tr>
        <w:trPr>
          <w:trHeight w:val="175"/>
        </w:trPr>
        <w:tc>
          <w:tcPr>
            <w:tcW w:w="52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CFF"/>
            </w:tcBorders>
            <w:shd w:val="clear" w:color="auto" w:fill="CCECFF"/>
          </w:tcPr>
          <w:p>
            <w:pPr>
              <w:spacing w:after="0"/>
              <w:rPr>
                <w:sz w:val="15"/>
                <w:szCs w:val="15"/>
                <w:color w:val="auto"/>
              </w:rPr>
            </w:pPr>
          </w:p>
        </w:tc>
        <w:tc>
          <w:tcPr>
            <w:tcW w:w="2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80" w:type="dxa"/>
            <w:vAlign w:val="bottom"/>
            <w:tcBorders>
              <w:bottom w:val="single" w:sz="8" w:color="CCECFF"/>
            </w:tcBorders>
            <w:shd w:val="clear" w:color="auto" w:fill="CCECFF"/>
          </w:tcPr>
          <w:p>
            <w:pPr>
              <w:spacing w:after="0"/>
              <w:rPr>
                <w:sz w:val="15"/>
                <w:szCs w:val="15"/>
                <w:color w:val="auto"/>
              </w:rPr>
            </w:pPr>
          </w:p>
        </w:tc>
        <w:tc>
          <w:tcPr>
            <w:tcW w:w="2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r>
      <w:tr>
        <w:trPr>
          <w:trHeight w:val="169"/>
        </w:trPr>
        <w:tc>
          <w:tcPr>
            <w:tcW w:w="52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48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-145415</wp:posOffset>
            </wp:positionV>
            <wp:extent cx="342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-145415</wp:posOffset>
            </wp:positionV>
            <wp:extent cx="260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2" w:name="page23"/>
    <w:bookmarkEnd w:id="22"/>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11912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89"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investments in PSLF.</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65" w:lineRule="exact"/>
        <w:rPr>
          <w:sz w:val="20"/>
          <w:szCs w:val="20"/>
          <w:color w:val="auto"/>
        </w:rPr>
      </w:pPr>
    </w:p>
    <w:p>
      <w:pPr>
        <w:ind w:right="160" w:firstLine="449"/>
        <w:spacing w:after="0" w:line="248" w:lineRule="auto"/>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March 31, 2022 and September 30, 2021, PSLF had total assets of $468.6 million and $417.4 million, respectively. PSLF’s portfolio consisted of debt investments in 60 and 47 portfolio companies as of March 31, 2022 and September 30, 2021, respectively. As of the same dates, we and Pantheon had remaining commitments to fund first lien secured debt and equity interests in PSLF in an aggregate amount of $19.7 and $12.8 million, respectively. As of March 31, 2022, at fair value, the largest investment in a single portfolio company in PSLF was $16.7 million and the five largest investments totaled $73.9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298"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March 31, 2022 and September 30, 2021, we and Pantheon owned 60.5% and 39.5%, respectively, of each of the outstanding subordinated notes and equity interests of PSLF. As of March 31, 2022 and September 30, 2021 our investment in PSLF consisted of subordinated notes of $76.1 million (additional $11.9 million unfunded) and $64.2 million, respectively, and equity interests of $48.1 million (additional $7.7 million unfunded) and $41.2 million, respectively.</w:t>
      </w:r>
    </w:p>
    <w:p>
      <w:pPr>
        <w:spacing w:after="0" w:line="123" w:lineRule="exact"/>
        <w:rPr>
          <w:sz w:val="20"/>
          <w:szCs w:val="20"/>
          <w:color w:val="auto"/>
        </w:rPr>
      </w:pPr>
    </w:p>
    <w:p>
      <w:pPr>
        <w:ind w:right="40" w:firstLine="449"/>
        <w:spacing w:after="0" w:line="257"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27" w:lineRule="exact"/>
        <w:rPr>
          <w:sz w:val="20"/>
          <w:szCs w:val="20"/>
          <w:color w:val="auto"/>
        </w:rPr>
      </w:pPr>
    </w:p>
    <w:p>
      <w:pPr>
        <w:ind w:right="40" w:firstLine="449"/>
        <w:spacing w:after="0" w:line="271" w:lineRule="auto"/>
        <w:rPr>
          <w:sz w:val="20"/>
          <w:szCs w:val="20"/>
          <w:color w:val="auto"/>
        </w:rPr>
      </w:pPr>
      <w:r>
        <w:rPr>
          <w:rFonts w:ascii="Times New Roman" w:cs="Times New Roman" w:eastAsia="Times New Roman" w:hAnsi="Times New Roman"/>
          <w:sz w:val="14"/>
          <w:szCs w:val="14"/>
          <w:color w:val="auto"/>
        </w:rPr>
        <w:t>Additionally, PSLF, through its wholly-owned subsidiary, or PSLF Subsidiary, has entered into a $225.0 million (reduced from $275.0 million on March 2, 2022) senior secured revolving credit facility which bears interest at SOFR (or an alternative risk-free interest rate index) plus 255 basis points during the investment period, or the PSLF Credit Facility, with BNP Paribas, subject to leverage and borrowing base restrictions.</w:t>
      </w:r>
    </w:p>
    <w:p>
      <w:pPr>
        <w:spacing w:after="0" w:line="116" w:lineRule="exact"/>
        <w:rPr>
          <w:sz w:val="20"/>
          <w:szCs w:val="20"/>
          <w:color w:val="auto"/>
        </w:rPr>
      </w:pPr>
    </w:p>
    <w:p>
      <w:pPr>
        <w:jc w:val="both"/>
        <w:ind w:right="100" w:firstLine="449"/>
        <w:spacing w:after="0" w:line="256" w:lineRule="auto"/>
        <w:rPr>
          <w:sz w:val="20"/>
          <w:szCs w:val="20"/>
          <w:color w:val="auto"/>
        </w:rPr>
      </w:pPr>
      <w:r>
        <w:rPr>
          <w:rFonts w:ascii="Times New Roman" w:cs="Times New Roman" w:eastAsia="Times New Roman" w:hAnsi="Times New Roman"/>
          <w:sz w:val="14"/>
          <w:szCs w:val="14"/>
          <w:color w:val="auto"/>
        </w:rPr>
        <w:t>In March 2022, PSLF completed a $304.0 million debt securitization in the form of a collateralized loan obligation, or the “2034 Asset-Backed Debt”. The 2034 Asset-Backed Debt is secured by a diversified portfolio of PennantPark CLO IV, Ltd.,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Ltd. of the initial closing date loan portfolio, which included loans distributed to PSLF by certain of its wholly owned subsidiaries and us, PennantPark CLO IV, Ltd. transferred to PSLF 100% of the Preferred Shares of PennantPark CLO IV, Ltd. and 100% of the Subordinated Notes issued by PennantPark CLO IV, Ltd.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200" w:type="dxa"/>
            <w:vAlign w:val="bottom"/>
            <w:tcBorders>
              <w:top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446,088</w:t>
            </w:r>
          </w:p>
        </w:tc>
        <w:tc>
          <w:tcPr>
            <w:tcW w:w="3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405,232</w:t>
            </w:r>
          </w:p>
        </w:tc>
        <w:tc>
          <w:tcPr>
            <w:tcW w:w="180" w:type="dxa"/>
            <w:vAlign w:val="bottom"/>
            <w:shd w:val="clear" w:color="auto" w:fill="CCECFF"/>
          </w:tcPr>
          <w:p>
            <w:pPr>
              <w:spacing w:after="0"/>
              <w:rPr>
                <w:sz w:val="14"/>
                <w:szCs w:val="14"/>
                <w:color w:val="auto"/>
              </w:rPr>
            </w:pPr>
          </w:p>
        </w:tc>
      </w:tr>
      <w:tr>
        <w:trPr>
          <w:trHeight w:val="17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20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7.2 %</w:t>
            </w:r>
          </w:p>
        </w:tc>
        <w:tc>
          <w:tcPr>
            <w:tcW w:w="12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7.1 %</w:t>
            </w:r>
          </w:p>
        </w:tc>
      </w:tr>
      <w:tr>
        <w:trPr>
          <w:trHeight w:val="175"/>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20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3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shd w:val="clear" w:color="auto" w:fill="CCECFF"/>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16,727</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16,817</w:t>
            </w:r>
          </w:p>
        </w:tc>
        <w:tc>
          <w:tcPr>
            <w:tcW w:w="180" w:type="dxa"/>
            <w:vAlign w:val="bottom"/>
          </w:tcPr>
          <w:p>
            <w:pPr>
              <w:spacing w:after="0"/>
              <w:rPr>
                <w:sz w:val="15"/>
                <w:szCs w:val="15"/>
                <w:color w:val="auto"/>
              </w:rPr>
            </w:pPr>
          </w:p>
        </w:tc>
      </w:tr>
      <w:tr>
        <w:trPr>
          <w:trHeight w:val="175"/>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20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73,858</w:t>
            </w:r>
          </w:p>
        </w:tc>
        <w:tc>
          <w:tcPr>
            <w:tcW w:w="34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74,445</w:t>
            </w:r>
          </w:p>
        </w:tc>
        <w:tc>
          <w:tcPr>
            <w:tcW w:w="180" w:type="dxa"/>
            <w:vAlign w:val="bottom"/>
            <w:shd w:val="clear" w:color="auto" w:fill="CCECFF"/>
          </w:tcPr>
          <w:p>
            <w:pPr>
              <w:spacing w:after="0"/>
              <w:rPr>
                <w:sz w:val="15"/>
                <w:szCs w:val="15"/>
                <w:color w:val="auto"/>
              </w:rPr>
            </w:pPr>
          </w:p>
        </w:tc>
      </w:tr>
    </w:tbl>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March 31,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60" w:type="dxa"/>
            <w:vAlign w:val="bottom"/>
          </w:tcPr>
          <w:p>
            <w:pPr>
              <w:spacing w:after="0"/>
              <w:rPr>
                <w:sz w:val="14"/>
                <w:szCs w:val="14"/>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Par</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- 560.7%</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80" w:type="dxa"/>
            <w:vAlign w:val="bottom"/>
            <w:gridSpan w:val="2"/>
            <w:shd w:val="clear" w:color="auto" w:fill="CCECFF"/>
          </w:tcPr>
          <w:p>
            <w:pPr>
              <w:jc w:val="center"/>
              <w:ind w:left="126"/>
              <w:spacing w:after="0"/>
              <w:rPr>
                <w:sz w:val="20"/>
                <w:szCs w:val="20"/>
                <w:color w:val="auto"/>
              </w:rPr>
            </w:pPr>
            <w:r>
              <w:rPr>
                <w:rFonts w:ascii="Times New Roman" w:cs="Times New Roman" w:eastAsia="Times New Roman" w:hAnsi="Times New Roman"/>
                <w:sz w:val="11"/>
                <w:szCs w:val="11"/>
                <w:color w:val="auto"/>
                <w:w w:val="97"/>
              </w:rPr>
              <w:t>5/6/2026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3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7/24/2025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9.00 %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12/21/2023</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12,560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7/21/2027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6,484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7/31/2025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6.27 %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6,492</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7/31/2025</w:t>
            </w:r>
          </w:p>
        </w:tc>
        <w:tc>
          <w:tcPr>
            <w:tcW w:w="16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6.55 %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12/29/2026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7,406</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2/13/2023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6.25 %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13,710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8/20/2026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2,992</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8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97"/>
              </w:rPr>
              <w:t>8/5/2025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5,955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8/27/2026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6,484</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6,357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6,484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11/3/2025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13,360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13,280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6/30/2024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Containers and Packaging</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3/31/2028</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8.25 %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4,581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12/23/2025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5.75 %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2,827</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3/16/2026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8/10/2027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1,984</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12/31/2026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6.26 %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5,925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11/23/2028</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6.44 %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14,513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14,350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9/22/2028</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7.01 %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4,496</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Inc.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3,678</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8/27/2025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7,828</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7,785</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12/20/2023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9.00 %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14,513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2/18/2027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8.01 %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9,840</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10/31/2024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8.50 %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880" w:type="dxa"/>
            <w:vAlign w:val="bottom"/>
            <w:gridSpan w:val="2"/>
            <w:shd w:val="clear" w:color="auto" w:fill="CCECFF"/>
          </w:tcPr>
          <w:p>
            <w:pPr>
              <w:jc w:val="center"/>
              <w:ind w:left="126"/>
              <w:spacing w:after="0"/>
              <w:rPr>
                <w:sz w:val="20"/>
                <w:szCs w:val="20"/>
                <w:color w:val="auto"/>
              </w:rPr>
            </w:pPr>
            <w:r>
              <w:rPr>
                <w:rFonts w:ascii="Times New Roman" w:cs="Times New Roman" w:eastAsia="Times New Roman" w:hAnsi="Times New Roman"/>
                <w:sz w:val="11"/>
                <w:szCs w:val="11"/>
                <w:color w:val="auto"/>
                <w:w w:val="97"/>
              </w:rPr>
              <w:t>2/3/2026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12,408</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12,153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12,284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4/13/2023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7.25 %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16,727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16,689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880" w:type="dxa"/>
            <w:vAlign w:val="bottom"/>
            <w:gridSpan w:val="2"/>
            <w:shd w:val="clear" w:color="auto" w:fill="CCECFF"/>
          </w:tcPr>
          <w:p>
            <w:pPr>
              <w:jc w:val="center"/>
              <w:ind w:left="126"/>
              <w:spacing w:after="0"/>
              <w:rPr>
                <w:sz w:val="20"/>
                <w:szCs w:val="20"/>
                <w:color w:val="auto"/>
              </w:rPr>
            </w:pPr>
            <w:r>
              <w:rPr>
                <w:rFonts w:ascii="Times New Roman" w:cs="Times New Roman" w:eastAsia="Times New Roman" w:hAnsi="Times New Roman"/>
                <w:sz w:val="11"/>
                <w:szCs w:val="11"/>
                <w:color w:val="auto"/>
                <w:w w:val="97"/>
              </w:rPr>
              <w:t>4/1/2027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5,040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5/14/2026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7,960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4/16/2027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7,444</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7,359</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5/23/2024</w:t>
            </w:r>
          </w:p>
        </w:tc>
        <w:tc>
          <w:tcPr>
            <w:tcW w:w="160" w:type="dxa"/>
            <w:vAlign w:val="bottom"/>
          </w:tcPr>
          <w:p>
            <w:pPr>
              <w:spacing w:after="0"/>
              <w:rPr>
                <w:sz w:val="12"/>
                <w:szCs w:val="12"/>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13,130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0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8"/>
              </w:rPr>
              <w:t>9/28/2027</w:t>
            </w:r>
          </w:p>
        </w:tc>
        <w:tc>
          <w:tcPr>
            <w:tcW w:w="2700" w:type="dxa"/>
            <w:vAlign w:val="bottom"/>
            <w:shd w:val="clear" w:color="auto" w:fill="CCECFF"/>
          </w:tcPr>
          <w:p>
            <w:pPr>
              <w:jc w:val="center"/>
              <w:ind w:right="166"/>
              <w:spacing w:after="0"/>
              <w:rPr>
                <w:sz w:val="20"/>
                <w:szCs w:val="20"/>
                <w:color w:val="auto"/>
              </w:rPr>
            </w:pPr>
            <w:r>
              <w:rPr>
                <w:rFonts w:ascii="Times New Roman" w:cs="Times New Roman" w:eastAsia="Times New Roman" w:hAnsi="Times New Roman"/>
                <w:sz w:val="11"/>
                <w:szCs w:val="11"/>
                <w:color w:val="auto"/>
                <w:w w:val="97"/>
              </w:rPr>
              <w:t>Distribution</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6.00 %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3M L+500</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4,175</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4,108</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8"/>
              </w:rPr>
              <w:t>8/19/2026</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6.50 %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1M L+650</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7,542</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7,456</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1020" w:type="dxa"/>
            <w:vAlign w:val="bottom"/>
            <w:shd w:val="clear" w:color="auto" w:fill="CCECFF"/>
          </w:tcPr>
          <w:p>
            <w:pPr>
              <w:jc w:val="center"/>
              <w:ind w:right="266"/>
              <w:spacing w:after="0"/>
              <w:rPr>
                <w:sz w:val="20"/>
                <w:szCs w:val="20"/>
                <w:color w:val="auto"/>
              </w:rPr>
            </w:pPr>
            <w:r>
              <w:rPr>
                <w:rFonts w:ascii="Times New Roman" w:cs="Times New Roman" w:eastAsia="Times New Roman" w:hAnsi="Times New Roman"/>
                <w:sz w:val="11"/>
                <w:szCs w:val="11"/>
                <w:color w:val="auto"/>
                <w:w w:val="97"/>
              </w:rPr>
              <w:t>7/9/2026</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5.75 %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3M L+475</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3,883</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3,845</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1020" w:type="dxa"/>
            <w:vAlign w:val="bottom"/>
          </w:tcPr>
          <w:p>
            <w:pPr>
              <w:jc w:val="center"/>
              <w:ind w:right="266"/>
              <w:spacing w:after="0"/>
              <w:rPr>
                <w:sz w:val="20"/>
                <w:szCs w:val="20"/>
                <w:color w:val="auto"/>
              </w:rPr>
            </w:pPr>
            <w:r>
              <w:rPr>
                <w:rFonts w:ascii="Times New Roman" w:cs="Times New Roman" w:eastAsia="Times New Roman" w:hAnsi="Times New Roman"/>
                <w:sz w:val="11"/>
                <w:szCs w:val="11"/>
                <w:color w:val="auto"/>
                <w:w w:val="97"/>
              </w:rPr>
              <w:t>5/8/2026</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6.50 %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3M L+550</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2,594</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10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5"/>
              </w:rPr>
              <w:t>11/19/2026</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7.25 %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1M L+625</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3,429</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3,362</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8"/>
              </w:rPr>
              <w:t>3/31/2025</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6.75 %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12,784</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12,665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10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5"/>
              </w:rPr>
              <w:t>12/18/2025</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6.75 %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5,207</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5,207</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5,207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8"/>
              </w:rPr>
              <w:t>1/29/2026</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7.00 %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9,900</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9,750</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10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5"/>
              </w:rPr>
              <w:t>12/20/2024</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6.50 %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3M L+550</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14,618</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14,495</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14,329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8"/>
              </w:rPr>
              <w:t>6/20/2025</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6.75 %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3,229</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020" w:type="dxa"/>
            <w:vAlign w:val="bottom"/>
            <w:shd w:val="clear" w:color="auto" w:fill="CCECFF"/>
          </w:tcPr>
          <w:p>
            <w:pPr>
              <w:jc w:val="center"/>
              <w:ind w:right="266"/>
              <w:spacing w:after="0"/>
              <w:rPr>
                <w:sz w:val="20"/>
                <w:szCs w:val="20"/>
                <w:color w:val="auto"/>
              </w:rPr>
            </w:pPr>
            <w:r>
              <w:rPr>
                <w:rFonts w:ascii="Times New Roman" w:cs="Times New Roman" w:eastAsia="Times New Roman" w:hAnsi="Times New Roman"/>
                <w:sz w:val="11"/>
                <w:szCs w:val="11"/>
                <w:color w:val="auto"/>
                <w:w w:val="97"/>
              </w:rPr>
              <w:t>1/3/2025</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7.75 %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7,267</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7,164</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5"/>
              </w:rPr>
              <w:t>12/20/2024</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rPr>
              <w:t>Electronics</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7.00 %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3M L+550</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5,137</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1020" w:type="dxa"/>
            <w:vAlign w:val="bottom"/>
            <w:shd w:val="clear" w:color="auto" w:fill="CCECFF"/>
          </w:tcPr>
          <w:p>
            <w:pPr>
              <w:jc w:val="center"/>
              <w:ind w:right="266"/>
              <w:spacing w:after="0"/>
              <w:rPr>
                <w:sz w:val="20"/>
                <w:szCs w:val="20"/>
                <w:color w:val="auto"/>
              </w:rPr>
            </w:pPr>
            <w:r>
              <w:rPr>
                <w:rFonts w:ascii="Times New Roman" w:cs="Times New Roman" w:eastAsia="Times New Roman" w:hAnsi="Times New Roman"/>
                <w:sz w:val="11"/>
                <w:szCs w:val="11"/>
                <w:color w:val="auto"/>
                <w:w w:val="97"/>
              </w:rPr>
              <w:t>5/3/2024</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7.50 %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1M L+650</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13,125</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13,024</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8"/>
              </w:rPr>
              <w:t>1/17/2024</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6.75 %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1M L+575</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11,815</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10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5"/>
              </w:rPr>
              <w:t>12/11/2026</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5"/>
              </w:rPr>
              <w:t>Transportation</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5.71 %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1M L+525</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12,099</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12,024</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11,736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6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System Planning and Analysis, Inc. (f/k/a</w:t>
            </w:r>
          </w:p>
        </w:tc>
        <w:tc>
          <w:tcPr>
            <w:tcW w:w="10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Management Consulting &amp; Research, LLC)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8"/>
              </w:rPr>
              <w:t>8/16/2027</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7.01 %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1M L+600</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4,988</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1020" w:type="dxa"/>
            <w:vAlign w:val="bottom"/>
            <w:shd w:val="clear" w:color="auto" w:fill="CCECFF"/>
          </w:tcPr>
          <w:p>
            <w:pPr>
              <w:jc w:val="center"/>
              <w:ind w:right="266"/>
              <w:spacing w:after="0"/>
              <w:rPr>
                <w:sz w:val="20"/>
                <w:szCs w:val="20"/>
                <w:color w:val="auto"/>
              </w:rPr>
            </w:pPr>
            <w:r>
              <w:rPr>
                <w:rFonts w:ascii="Times New Roman" w:cs="Times New Roman" w:eastAsia="Times New Roman" w:hAnsi="Times New Roman"/>
                <w:sz w:val="11"/>
                <w:szCs w:val="11"/>
                <w:color w:val="auto"/>
                <w:w w:val="97"/>
              </w:rPr>
              <w:t>3/1/2026</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7.00 %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4,646</w:t>
            </w:r>
          </w:p>
        </w:tc>
        <w:tc>
          <w:tcPr>
            <w:tcW w:w="2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4,646</w:t>
            </w: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4,646</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5"/>
              </w:rPr>
              <w:t>11/20/2025</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5.50 %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1M L+450</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4,566</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4,544</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10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8"/>
              </w:rPr>
              <w:t>7/18/2025</w:t>
            </w:r>
          </w:p>
        </w:tc>
        <w:tc>
          <w:tcPr>
            <w:tcW w:w="2700" w:type="dxa"/>
            <w:vAlign w:val="bottom"/>
            <w:shd w:val="clear" w:color="auto" w:fill="CCECFF"/>
          </w:tcPr>
          <w:p>
            <w:pPr>
              <w:jc w:val="center"/>
              <w:ind w:right="166"/>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6.25 %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1M L+525</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2,981</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2,967</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8"/>
              </w:rPr>
              <w:t>7/27/2026</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8.00 %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3M L+700</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3,000</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0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8"/>
              </w:rPr>
              <w:t>8/30/2027</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6.50 %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1M L+550</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4,554</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4,505</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5"/>
              </w:rPr>
              <w:t>11/24/2025</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7"/>
              </w:rPr>
              <w:t>Food</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6.25 %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3M L+525</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5,565</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10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8"/>
              </w:rPr>
              <w:t>3/26/2026</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5"/>
              </w:rPr>
              <w:t>Transportation</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7.00 %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1M L+575</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12,709</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12,654</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12,455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8"/>
              </w:rPr>
              <w:t>6/16/2025</w:t>
            </w:r>
          </w:p>
        </w:tc>
        <w:tc>
          <w:tcPr>
            <w:tcW w:w="2700" w:type="dxa"/>
            <w:vAlign w:val="bottom"/>
          </w:tcPr>
          <w:p>
            <w:pPr>
              <w:jc w:val="center"/>
              <w:ind w:right="166"/>
              <w:spacing w:after="0"/>
              <w:rPr>
                <w:sz w:val="20"/>
                <w:szCs w:val="20"/>
                <w:color w:val="auto"/>
              </w:rPr>
            </w:pPr>
            <w:r>
              <w:rPr>
                <w:rFonts w:ascii="Times New Roman" w:cs="Times New Roman" w:eastAsia="Times New Roman" w:hAnsi="Times New Roman"/>
                <w:sz w:val="11"/>
                <w:szCs w:val="11"/>
                <w:color w:val="auto"/>
                <w:w w:val="98"/>
              </w:rPr>
              <w:t>Education</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7.25 %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3M L+625</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9,145</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9,101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1020" w:type="dxa"/>
            <w:vAlign w:val="bottom"/>
            <w:shd w:val="clear" w:color="auto" w:fill="CCECFF"/>
          </w:tcPr>
          <w:p>
            <w:pPr>
              <w:jc w:val="center"/>
              <w:ind w:right="266"/>
              <w:spacing w:after="0"/>
              <w:rPr>
                <w:sz w:val="20"/>
                <w:szCs w:val="20"/>
                <w:color w:val="auto"/>
              </w:rPr>
            </w:pPr>
            <w:r>
              <w:rPr>
                <w:rFonts w:ascii="Times New Roman" w:cs="Times New Roman" w:eastAsia="Times New Roman" w:hAnsi="Times New Roman"/>
                <w:sz w:val="11"/>
                <w:szCs w:val="11"/>
                <w:color w:val="auto"/>
                <w:w w:val="97"/>
              </w:rPr>
              <w:t>4/3/2028</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6.25 %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3M L+550</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9,925</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9,846</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9,677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1020" w:type="dxa"/>
            <w:vAlign w:val="bottom"/>
          </w:tcPr>
          <w:p>
            <w:pPr>
              <w:jc w:val="center"/>
              <w:ind w:right="266"/>
              <w:spacing w:after="0"/>
              <w:rPr>
                <w:sz w:val="20"/>
                <w:szCs w:val="20"/>
                <w:color w:val="auto"/>
              </w:rPr>
            </w:pPr>
            <w:r>
              <w:rPr>
                <w:rFonts w:ascii="Times New Roman" w:cs="Times New Roman" w:eastAsia="Times New Roman" w:hAnsi="Times New Roman"/>
                <w:sz w:val="11"/>
                <w:szCs w:val="11"/>
                <w:color w:val="auto"/>
                <w:w w:val="97"/>
              </w:rPr>
              <w:t>4/3/2024</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5.51 %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1M L+450</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4,686</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4,664</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10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8"/>
              </w:rPr>
              <w:t>6/10/2025</w:t>
            </w:r>
          </w:p>
        </w:tc>
        <w:tc>
          <w:tcPr>
            <w:tcW w:w="2700" w:type="dxa"/>
            <w:vAlign w:val="bottom"/>
            <w:shd w:val="clear" w:color="auto" w:fill="CCECFF"/>
          </w:tcPr>
          <w:p>
            <w:pPr>
              <w:jc w:val="center"/>
              <w:ind w:right="166"/>
              <w:spacing w:after="0"/>
              <w:rPr>
                <w:sz w:val="20"/>
                <w:szCs w:val="20"/>
                <w:color w:val="auto"/>
              </w:rPr>
            </w:pPr>
            <w:r>
              <w:rPr>
                <w:rFonts w:ascii="Times New Roman" w:cs="Times New Roman" w:eastAsia="Times New Roman" w:hAnsi="Times New Roman"/>
                <w:sz w:val="11"/>
                <w:szCs w:val="11"/>
                <w:color w:val="auto"/>
                <w:w w:val="99"/>
              </w:rPr>
              <w:t>Media</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7.75 %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6M L+675</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14,212</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14,054</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14,212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10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8"/>
              </w:rPr>
              <w:t>2/27/2026</w:t>
            </w:r>
          </w:p>
        </w:tc>
        <w:tc>
          <w:tcPr>
            <w:tcW w:w="270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rPr>
              <w:t>Electronics</w:t>
            </w: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6.76 %</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10,120</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10,023</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1020" w:type="dxa"/>
            <w:vAlign w:val="bottom"/>
            <w:shd w:val="clear" w:color="auto" w:fill="CCECFF"/>
          </w:tcPr>
          <w:p>
            <w:pPr>
              <w:jc w:val="center"/>
              <w:ind w:right="266"/>
              <w:spacing w:after="0"/>
              <w:rPr>
                <w:sz w:val="20"/>
                <w:szCs w:val="20"/>
                <w:color w:val="auto"/>
              </w:rPr>
            </w:pPr>
            <w:r>
              <w:rPr>
                <w:rFonts w:ascii="Times New Roman" w:cs="Times New Roman" w:eastAsia="Times New Roman" w:hAnsi="Times New Roman"/>
                <w:sz w:val="11"/>
                <w:szCs w:val="11"/>
                <w:color w:val="auto"/>
                <w:w w:val="97"/>
              </w:rPr>
              <w:t>3/1/2024</w:t>
            </w:r>
          </w:p>
        </w:tc>
        <w:tc>
          <w:tcPr>
            <w:tcW w:w="2700" w:type="dxa"/>
            <w:vAlign w:val="bottom"/>
            <w:shd w:val="clear" w:color="auto" w:fill="CCECFF"/>
          </w:tcPr>
          <w:p>
            <w:pPr>
              <w:jc w:val="center"/>
              <w:ind w:right="186"/>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7.75 %</w:t>
            </w:r>
          </w:p>
        </w:tc>
        <w:tc>
          <w:tcPr>
            <w:tcW w:w="1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3M L+675</w:t>
            </w:r>
          </w:p>
        </w:tc>
        <w:tc>
          <w:tcPr>
            <w:tcW w:w="88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7,498</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7,356</w:t>
            </w: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020" w:type="dxa"/>
            <w:vAlign w:val="bottom"/>
            <w:tcBorders>
              <w:bottom w:val="single" w:sz="8" w:color="CCECFF"/>
            </w:tcBorders>
            <w:shd w:val="clear" w:color="auto" w:fill="CCECFF"/>
          </w:tcPr>
          <w:p>
            <w:pPr>
              <w:spacing w:after="0"/>
              <w:rPr>
                <w:sz w:val="11"/>
                <w:szCs w:val="11"/>
                <w:color w:val="auto"/>
              </w:rPr>
            </w:pPr>
          </w:p>
        </w:tc>
        <w:tc>
          <w:tcPr>
            <w:tcW w:w="2700" w:type="dxa"/>
            <w:vAlign w:val="bottom"/>
            <w:tcBorders>
              <w:bottom w:val="single" w:sz="8" w:color="CCECFF"/>
            </w:tcBorders>
            <w:shd w:val="clear" w:color="auto" w:fill="CCECFF"/>
          </w:tcPr>
          <w:p>
            <w:pPr>
              <w:spacing w:after="0"/>
              <w:rPr>
                <w:sz w:val="11"/>
                <w:szCs w:val="11"/>
                <w:color w:val="auto"/>
              </w:rPr>
            </w:pPr>
          </w:p>
        </w:tc>
        <w:tc>
          <w:tcPr>
            <w:tcW w:w="1260" w:type="dxa"/>
            <w:vAlign w:val="bottom"/>
            <w:tcBorders>
              <w:bottom w:val="single" w:sz="8" w:color="CCECFF"/>
            </w:tcBorders>
            <w:shd w:val="clear" w:color="auto" w:fill="CCECFF"/>
          </w:tcPr>
          <w:p>
            <w:pPr>
              <w:spacing w:after="0"/>
              <w:rPr>
                <w:sz w:val="11"/>
                <w:szCs w:val="11"/>
                <w:color w:val="auto"/>
              </w:rPr>
            </w:pPr>
          </w:p>
        </w:tc>
        <w:tc>
          <w:tcPr>
            <w:tcW w:w="1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446,592</w:t>
            </w:r>
          </w:p>
        </w:tc>
        <w:tc>
          <w:tcPr>
            <w:tcW w:w="1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446,088</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- 560.7%</w:t>
            </w:r>
          </w:p>
        </w:tc>
        <w:tc>
          <w:tcPr>
            <w:tcW w:w="10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- 22.5%</w:t>
            </w:r>
          </w:p>
        </w:tc>
        <w:tc>
          <w:tcPr>
            <w:tcW w:w="1020" w:type="dxa"/>
            <w:vAlign w:val="bottom"/>
            <w:shd w:val="clear" w:color="auto" w:fill="CCECFF"/>
          </w:tcPr>
          <w:p>
            <w:pPr>
              <w:spacing w:after="0"/>
              <w:rPr>
                <w:sz w:val="11"/>
                <w:szCs w:val="11"/>
                <w:color w:val="auto"/>
              </w:rPr>
            </w:pPr>
          </w:p>
        </w:tc>
        <w:tc>
          <w:tcPr>
            <w:tcW w:w="2700" w:type="dxa"/>
            <w:vAlign w:val="bottom"/>
            <w:shd w:val="clear" w:color="auto" w:fill="CCECFF"/>
          </w:tcPr>
          <w:p>
            <w:pPr>
              <w:spacing w:after="0"/>
              <w:rPr>
                <w:sz w:val="11"/>
                <w:szCs w:val="11"/>
                <w:color w:val="auto"/>
              </w:rPr>
            </w:pPr>
          </w:p>
        </w:tc>
        <w:tc>
          <w:tcPr>
            <w:tcW w:w="126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0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17,862</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020" w:type="dxa"/>
            <w:vAlign w:val="bottom"/>
            <w:tcBorders>
              <w:bottom w:val="single" w:sz="8" w:color="CCECFF"/>
            </w:tcBorders>
            <w:shd w:val="clear" w:color="auto" w:fill="CCECFF"/>
          </w:tcPr>
          <w:p>
            <w:pPr>
              <w:spacing w:after="0"/>
              <w:rPr>
                <w:sz w:val="11"/>
                <w:szCs w:val="11"/>
                <w:color w:val="auto"/>
              </w:rPr>
            </w:pPr>
          </w:p>
        </w:tc>
        <w:tc>
          <w:tcPr>
            <w:tcW w:w="2700" w:type="dxa"/>
            <w:vAlign w:val="bottom"/>
            <w:tcBorders>
              <w:bottom w:val="single" w:sz="8" w:color="CCECFF"/>
            </w:tcBorders>
            <w:shd w:val="clear" w:color="auto" w:fill="CCECFF"/>
          </w:tcPr>
          <w:p>
            <w:pPr>
              <w:spacing w:after="0"/>
              <w:rPr>
                <w:sz w:val="11"/>
                <w:szCs w:val="11"/>
                <w:color w:val="auto"/>
              </w:rPr>
            </w:pPr>
          </w:p>
        </w:tc>
        <w:tc>
          <w:tcPr>
            <w:tcW w:w="1260" w:type="dxa"/>
            <w:vAlign w:val="bottom"/>
            <w:tcBorders>
              <w:bottom w:val="single" w:sz="8" w:color="CCECFF"/>
            </w:tcBorders>
            <w:shd w:val="clear" w:color="auto" w:fill="CCECFF"/>
          </w:tcPr>
          <w:p>
            <w:pPr>
              <w:spacing w:after="0"/>
              <w:rPr>
                <w:sz w:val="11"/>
                <w:szCs w:val="11"/>
                <w:color w:val="auto"/>
              </w:rPr>
            </w:pPr>
          </w:p>
        </w:tc>
        <w:tc>
          <w:tcPr>
            <w:tcW w:w="1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17,862</w:t>
            </w:r>
          </w:p>
        </w:tc>
        <w:tc>
          <w:tcPr>
            <w:tcW w:w="1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17,862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- 583.2%</w:t>
            </w:r>
          </w:p>
        </w:tc>
        <w:tc>
          <w:tcPr>
            <w:tcW w:w="10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464,454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(483.2)%</w:t>
            </w:r>
          </w:p>
        </w:tc>
        <w:tc>
          <w:tcPr>
            <w:tcW w:w="10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09"/>
        </w:trPr>
        <w:tc>
          <w:tcPr>
            <w:tcW w:w="24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(384,398</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0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-685165</wp:posOffset>
            </wp:positionV>
            <wp:extent cx="254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-685165</wp:posOffset>
            </wp:positionV>
            <wp:extent cx="260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-325120</wp:posOffset>
            </wp:positionV>
            <wp:extent cx="254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-325120</wp:posOffset>
            </wp:positionV>
            <wp:extent cx="260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39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11912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2" w:lineRule="exact"/>
        <w:rPr>
          <w:sz w:val="20"/>
          <w:szCs w:val="20"/>
          <w:color w:val="auto"/>
        </w:rPr>
      </w:pPr>
    </w:p>
    <w:p>
      <w:pPr>
        <w:ind w:left="380" w:right="20" w:hanging="372"/>
        <w:spacing w:after="0" w:line="222" w:lineRule="auto"/>
        <w:tabs>
          <w:tab w:leader="none" w:pos="3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4"/>
          <w:szCs w:val="14"/>
          <w:color w:val="auto"/>
          <w:vertAlign w:val="superscript"/>
        </w:rPr>
      </w:pPr>
    </w:p>
    <w:p>
      <w:pPr>
        <w:ind w:left="380" w:hanging="372"/>
        <w:spacing w:after="0"/>
        <w:tabs>
          <w:tab w:leader="none" w:pos="3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2021:</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Par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4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- 570.7%</w:t>
            </w:r>
          </w:p>
        </w:tc>
        <w:tc>
          <w:tcPr>
            <w:tcW w:w="12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05/06/26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3M L + 600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07/24/25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8.00%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12/21/23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07/21/27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6.55%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12/29/26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02/13/23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13,674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08/05/25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11/03/25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13,428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03/31/28</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12/23/25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2,805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03/16/26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Banking, Finance, Insurance &amp; Real Estate</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12/31/26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5,955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5,819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12/19/25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12/10/24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14,499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14,442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04/09/27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08/27/25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7,803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7,829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12/22/21</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12/20/23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8.00%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L+700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10/31/24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02/03/26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12,273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04/13/23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L+825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04/01/27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05/14/26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04/16/27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7,481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05/23/24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05/08/26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5.65%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03/31/25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12/18/25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5,140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01/29/26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14,602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14,508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06/20/25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01/03/25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7,632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7,526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05/03/24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8.50%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13,397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01/17/24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Communications</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12/11/26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5.33%</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L+450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03/01/26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11/20/25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4,547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07/18/25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11/24/25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Food</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03/26/26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06/16/25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9,515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04/03/28</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04/03/24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06/10/25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7.75%</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02/27/26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409,602</w:t>
            </w:r>
          </w:p>
        </w:tc>
        <w:tc>
          <w:tcPr>
            <w:tcW w:w="16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405,009</w:t>
            </w: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405,232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Equivalents—18.9%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US Bank Cash</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top w:val="single" w:sz="8" w:color="auto"/>
              <w:bottom w:val="single" w:sz="8" w:color="auto"/>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Equivalents—592.7%</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416,023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Assets—(492.7)%</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09"/>
        </w:trPr>
        <w:tc>
          <w:tcPr>
            <w:tcW w:w="3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(348,213</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-359410</wp:posOffset>
            </wp:positionV>
            <wp:extent cx="260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-359410</wp:posOffset>
            </wp:positionV>
            <wp:extent cx="260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946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7" w:lineRule="exact"/>
        <w:rPr>
          <w:sz w:val="20"/>
          <w:szCs w:val="20"/>
          <w:color w:val="auto"/>
        </w:rPr>
      </w:pPr>
    </w:p>
    <w:p>
      <w:pPr>
        <w:ind w:left="380" w:right="20" w:hanging="372"/>
        <w:spacing w:after="0" w:line="222" w:lineRule="auto"/>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4"/>
          <w:szCs w:val="14"/>
          <w:color w:val="auto"/>
          <w:vertAlign w:val="superscript"/>
        </w:rPr>
      </w:pPr>
    </w:p>
    <w:p>
      <w:pPr>
        <w:ind w:left="380" w:hanging="372"/>
        <w:spacing w:after="0"/>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780" w:type="dxa"/>
            <w:vAlign w:val="bottom"/>
            <w:gridSpan w:val="2"/>
          </w:tcPr>
          <w:p>
            <w:pPr>
              <w:jc w:val="right"/>
              <w:ind w:right="220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6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the financial information for PSLF:</w:t>
            </w:r>
          </w:p>
        </w:tc>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380" w:type="dxa"/>
            <w:vAlign w:val="bottom"/>
            <w:gridSpan w:val="3"/>
          </w:tcPr>
          <w:p>
            <w:pPr>
              <w:ind w:left="4100"/>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3780" w:type="dxa"/>
            <w:vAlign w:val="bottom"/>
            <w:gridSpan w:val="2"/>
          </w:tcPr>
          <w:p>
            <w:pPr>
              <w:jc w:val="right"/>
              <w:ind w:right="2208"/>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4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300" w:type="dxa"/>
            <w:vAlign w:val="bottom"/>
          </w:tcPr>
          <w:p>
            <w:pPr>
              <w:spacing w:after="0"/>
              <w:rPr>
                <w:sz w:val="16"/>
                <w:szCs w:val="16"/>
                <w:color w:val="auto"/>
              </w:rPr>
            </w:pP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(cost—$446,592 and $405,009, respectively)</w:t>
            </w:r>
          </w:p>
        </w:tc>
        <w:tc>
          <w:tcPr>
            <w:tcW w:w="3780" w:type="dxa"/>
            <w:vAlign w:val="bottom"/>
            <w:gridSpan w:val="2"/>
            <w:shd w:val="clear" w:color="auto" w:fill="CCECFF"/>
          </w:tcPr>
          <w:p>
            <w:pPr>
              <w:jc w:val="right"/>
              <w:ind w:right="13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446,088</w:t>
            </w:r>
          </w:p>
        </w:tc>
        <w:tc>
          <w:tcPr>
            <w:tcW w:w="5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405,232</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(cost—$17,862 and $11,013, respectively)</w:t>
            </w:r>
          </w:p>
        </w:tc>
        <w:tc>
          <w:tcPr>
            <w:tcW w:w="2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300" w:type="dxa"/>
            <w:vAlign w:val="bottom"/>
            <w:shd w:val="clear" w:color="auto" w:fill="CCECFF"/>
          </w:tcPr>
          <w:p>
            <w:pPr>
              <w:spacing w:after="0"/>
              <w:rPr>
                <w:sz w:val="15"/>
                <w:szCs w:val="15"/>
                <w:color w:val="auto"/>
              </w:rPr>
            </w:pPr>
          </w:p>
        </w:tc>
        <w:tc>
          <w:tcPr>
            <w:tcW w:w="148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3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300" w:type="dxa"/>
            <w:vAlign w:val="bottom"/>
            <w:tcBorders>
              <w:bottom w:val="single" w:sz="8" w:color="CCECFF"/>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spacing w:after="0"/>
              <w:rPr>
                <w:sz w:val="14"/>
                <w:szCs w:val="14"/>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466,286</w:t>
            </w:r>
          </w:p>
        </w:tc>
        <w:tc>
          <w:tcPr>
            <w:tcW w:w="28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 payable to Members</w:t>
            </w:r>
          </w:p>
        </w:tc>
        <w:tc>
          <w:tcPr>
            <w:tcW w:w="2300" w:type="dxa"/>
            <w:vAlign w:val="bottom"/>
            <w:shd w:val="clear" w:color="auto" w:fill="CCECFF"/>
          </w:tcPr>
          <w:p>
            <w:pPr>
              <w:spacing w:after="0"/>
              <w:rPr>
                <w:sz w:val="15"/>
                <w:szCs w:val="15"/>
                <w:color w:val="auto"/>
              </w:rPr>
            </w:pPr>
          </w:p>
        </w:tc>
        <w:tc>
          <w:tcPr>
            <w:tcW w:w="148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2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2300" w:type="dxa"/>
            <w:vAlign w:val="bottom"/>
            <w:shd w:val="clear" w:color="auto" w:fill="CCECFF"/>
          </w:tcPr>
          <w:p>
            <w:pPr>
              <w:spacing w:after="0"/>
              <w:rPr>
                <w:sz w:val="15"/>
                <w:szCs w:val="15"/>
                <w:color w:val="auto"/>
              </w:rPr>
            </w:pPr>
          </w:p>
        </w:tc>
        <w:tc>
          <w:tcPr>
            <w:tcW w:w="148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224,000</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2034 Asset-backed debt, net (par—$246,000)</w:t>
            </w:r>
          </w:p>
        </w:tc>
        <w:tc>
          <w:tcPr>
            <w:tcW w:w="2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243,702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2300" w:type="dxa"/>
            <w:vAlign w:val="bottom"/>
            <w:shd w:val="clear" w:color="auto" w:fill="CCECFF"/>
          </w:tcPr>
          <w:p>
            <w:pPr>
              <w:spacing w:after="0"/>
              <w:rPr>
                <w:sz w:val="15"/>
                <w:szCs w:val="15"/>
                <w:color w:val="auto"/>
              </w:rPr>
            </w:pPr>
          </w:p>
        </w:tc>
        <w:tc>
          <w:tcPr>
            <w:tcW w:w="148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125,756</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106,041</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2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2300" w:type="dxa"/>
            <w:vAlign w:val="bottom"/>
            <w:shd w:val="clear" w:color="auto" w:fill="CCECFF"/>
          </w:tcPr>
          <w:p>
            <w:pPr>
              <w:spacing w:after="0"/>
              <w:rPr>
                <w:sz w:val="15"/>
                <w:szCs w:val="15"/>
                <w:color w:val="auto"/>
              </w:rPr>
            </w:pPr>
          </w:p>
        </w:tc>
        <w:tc>
          <w:tcPr>
            <w:tcW w:w="148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23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300" w:type="dxa"/>
            <w:vAlign w:val="bottom"/>
            <w:tcBorders>
              <w:bottom w:val="single" w:sz="8" w:color="CCECFF"/>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spacing w:after="0"/>
              <w:rPr>
                <w:sz w:val="14"/>
                <w:szCs w:val="14"/>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386,733</w:t>
            </w:r>
          </w:p>
        </w:tc>
        <w:tc>
          <w:tcPr>
            <w:tcW w:w="28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349,389</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3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79,552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2300" w:type="dxa"/>
            <w:vAlign w:val="bottom"/>
            <w:tcBorders>
              <w:bottom w:val="single" w:sz="8" w:color="CCECFF"/>
            </w:tcBorders>
            <w:shd w:val="clear" w:color="auto" w:fill="CCECFF"/>
          </w:tcPr>
          <w:p>
            <w:pPr>
              <w:spacing w:after="0"/>
              <w:rPr>
                <w:sz w:val="18"/>
                <w:szCs w:val="18"/>
                <w:color w:val="auto"/>
              </w:rPr>
            </w:pPr>
          </w:p>
        </w:tc>
        <w:tc>
          <w:tcPr>
            <w:tcW w:w="1480" w:type="dxa"/>
            <w:vAlign w:val="bottom"/>
            <w:tcBorders>
              <w:bottom w:val="single" w:sz="8" w:color="auto"/>
            </w:tcBorders>
            <w:shd w:val="clear" w:color="auto" w:fill="CCECFF"/>
          </w:tcPr>
          <w:p>
            <w:pPr>
              <w:jc w:val="right"/>
              <w:ind w:right="13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466,286</w:t>
            </w: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-1397000</wp:posOffset>
            </wp:positionV>
            <wp:extent cx="342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-1397000</wp:posOffset>
            </wp:positionV>
            <wp:extent cx="260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-264795</wp:posOffset>
            </wp:positionV>
            <wp:extent cx="342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-264795</wp:posOffset>
            </wp:positionV>
            <wp:extent cx="260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342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342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15"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As of March 31, 2022 and September 30, 2021, PSLF did not have any unfunded commitments to fund investments.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2480" w:type="dxa"/>
            <w:vAlign w:val="bottom"/>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shd w:val="clear" w:color="auto" w:fill="CCEC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260" w:type="dxa"/>
            <w:vAlign w:val="bottom"/>
            <w:shd w:val="clear" w:color="auto" w:fill="CCECFF"/>
          </w:tcPr>
          <w:p>
            <w:pPr>
              <w:spacing w:after="0"/>
              <w:rPr>
                <w:sz w:val="15"/>
                <w:szCs w:val="15"/>
                <w:color w:val="auto"/>
              </w:rPr>
            </w:pPr>
          </w:p>
        </w:tc>
        <w:tc>
          <w:tcPr>
            <w:tcW w:w="20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6,696</w:t>
            </w:r>
          </w:p>
        </w:tc>
        <w:tc>
          <w:tcPr>
            <w:tcW w:w="50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15,269</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13,258</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860" w:type="dxa"/>
            <w:vAlign w:val="bottom"/>
            <w:tcBorders>
              <w:bottom w:val="single" w:sz="8" w:color="auto"/>
            </w:tcBorders>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7,737</w:t>
            </w:r>
          </w:p>
        </w:tc>
        <w:tc>
          <w:tcPr>
            <w:tcW w:w="26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6,986</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15,410</w:t>
            </w:r>
          </w:p>
        </w:tc>
        <w:tc>
          <w:tcPr>
            <w:tcW w:w="24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credit facility and asset-backed debt</w:t>
            </w:r>
          </w:p>
        </w:tc>
        <w:tc>
          <w:tcPr>
            <w:tcW w:w="860" w:type="dxa"/>
            <w:vAlign w:val="bottom"/>
            <w:shd w:val="clear" w:color="auto" w:fill="CCECFF"/>
          </w:tcPr>
          <w:p>
            <w:pPr>
              <w:spacing w:after="0"/>
              <w:rPr>
                <w:sz w:val="15"/>
                <w:szCs w:val="15"/>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2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860" w:type="dxa"/>
            <w:vAlign w:val="bottom"/>
            <w:shd w:val="clear" w:color="auto" w:fill="CCECFF"/>
          </w:tcPr>
          <w:p>
            <w:pPr>
              <w:spacing w:after="0"/>
              <w:rPr>
                <w:sz w:val="15"/>
                <w:szCs w:val="15"/>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860" w:type="dxa"/>
            <w:vAlign w:val="bottom"/>
            <w:tcBorders>
              <w:bottom w:val="single" w:sz="8" w:color="auto"/>
            </w:tcBorders>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26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9,333</w:t>
            </w:r>
          </w:p>
        </w:tc>
        <w:tc>
          <w:tcPr>
            <w:tcW w:w="24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8,742</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6,077</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740" w:type="dxa"/>
            <w:vAlign w:val="bottom"/>
            <w:shd w:val="clear" w:color="auto" w:fill="CCECFF"/>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Realized and unrealized (loss) gain on investments and credit facility foreign</w:t>
            </w:r>
          </w:p>
        </w:tc>
        <w:tc>
          <w:tcPr>
            <w:tcW w:w="86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7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b w:val="1"/>
                <w:bCs w:val="1"/>
                <w:color w:val="auto"/>
              </w:rPr>
              <w:t>currency translations:</w:t>
            </w:r>
          </w:p>
        </w:tc>
        <w:tc>
          <w:tcPr>
            <w:tcW w:w="86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appreciation on:</w:t>
            </w:r>
          </w:p>
        </w:tc>
        <w:tc>
          <w:tcPr>
            <w:tcW w:w="86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86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(1,233 )</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(727 )</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(depreciation) appreciation on investments</w:t>
            </w:r>
          </w:p>
        </w:tc>
        <w:tc>
          <w:tcPr>
            <w:tcW w:w="860" w:type="dxa"/>
            <w:vAlign w:val="bottom"/>
            <w:tcBorders>
              <w:top w:val="single" w:sz="8" w:color="auto"/>
              <w:bottom w:val="single" w:sz="8" w:color="auto"/>
            </w:tcBorders>
            <w:shd w:val="clear" w:color="auto" w:fill="CCECFF"/>
          </w:tcPr>
          <w:p>
            <w:pPr>
              <w:spacing w:after="0"/>
              <w:rPr>
                <w:sz w:val="14"/>
                <w:szCs w:val="14"/>
                <w:color w:val="auto"/>
              </w:rPr>
            </w:pPr>
          </w:p>
        </w:tc>
        <w:tc>
          <w:tcPr>
            <w:tcW w:w="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CECFF"/>
          </w:tcPr>
          <w:p>
            <w:pPr>
              <w:spacing w:after="0"/>
              <w:rPr>
                <w:sz w:val="14"/>
                <w:szCs w:val="14"/>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(loss) gain from investments</w:t>
            </w:r>
          </w:p>
        </w:tc>
        <w:tc>
          <w:tcPr>
            <w:tcW w:w="860" w:type="dxa"/>
            <w:vAlign w:val="bottom"/>
          </w:tcPr>
          <w:p>
            <w:pPr>
              <w:spacing w:after="0"/>
              <w:rPr>
                <w:sz w:val="14"/>
                <w:szCs w:val="14"/>
                <w:color w:val="auto"/>
              </w:rPr>
            </w:pPr>
          </w:p>
        </w:tc>
        <w:tc>
          <w:tcPr>
            <w:tcW w:w="7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(846 )</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(341 )</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860" w:type="dxa"/>
            <w:vAlign w:val="bottom"/>
            <w:tcBorders>
              <w:top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26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220" w:type="dxa"/>
            <w:vAlign w:val="bottom"/>
          </w:tcPr>
          <w:p>
            <w:pPr>
              <w:spacing w:after="0"/>
              <w:rPr>
                <w:sz w:val="15"/>
                <w:szCs w:val="15"/>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5,736</w:t>
            </w:r>
          </w:p>
        </w:tc>
        <w:tc>
          <w:tcPr>
            <w:tcW w:w="24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-1722120</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-1722120</wp:posOffset>
            </wp:positionV>
            <wp:extent cx="342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-1722120</wp:posOffset>
            </wp:positionV>
            <wp:extent cx="431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-1722120</wp:posOffset>
            </wp:positionV>
            <wp:extent cx="260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-1036320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-1036320</wp:posOffset>
            </wp:positionV>
            <wp:extent cx="342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-1036320</wp:posOffset>
            </wp:positionV>
            <wp:extent cx="431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-1036320</wp:posOffset>
            </wp:positionV>
            <wp:extent cx="260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-247650</wp:posOffset>
            </wp:positionV>
            <wp:extent cx="514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-247650</wp:posOffset>
            </wp:positionV>
            <wp:extent cx="342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-247650</wp:posOffset>
            </wp:positionV>
            <wp:extent cx="431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-247650</wp:posOffset>
            </wp:positionV>
            <wp:extent cx="260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w:t>
      </w:r>
    </w:p>
    <w:p>
      <w:pPr>
        <w:ind w:left="380" w:hanging="372"/>
        <w:spacing w:after="0" w:line="201" w:lineRule="auto"/>
        <w:tabs>
          <w:tab w:leader="none" w:pos="380" w:val="left"/>
        </w:tabs>
        <w:numPr>
          <w:ilvl w:val="0"/>
          <w:numId w:val="2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 management or incentive fees are payable by PSLF.</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17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5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ind w:left="1720" w:right="700" w:hanging="1133"/>
        <w:spacing w:after="0" w:line="241" w:lineRule="auto"/>
        <w:tabs>
          <w:tab w:leader="none" w:pos="170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6" w:lineRule="exact"/>
        <w:rPr>
          <w:sz w:val="20"/>
          <w:szCs w:val="20"/>
          <w:color w:val="auto"/>
        </w:rPr>
      </w:pPr>
    </w:p>
    <w:p>
      <w:pPr>
        <w:ind w:left="1720" w:right="740" w:hanging="1133"/>
        <w:spacing w:after="0" w:line="261" w:lineRule="auto"/>
        <w:tabs>
          <w:tab w:leader="none" w:pos="170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27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2024 Notes are classified as Level 1 and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0"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2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40"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94"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SBA debentures, our 2024 Notes, our 2026 Notes, our 2026 Notes -2 and our Credit Facilities,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6" w:lineRule="exact"/>
        <w:rPr>
          <w:sz w:val="20"/>
          <w:szCs w:val="20"/>
          <w:color w:val="auto"/>
        </w:rPr>
      </w:pPr>
    </w:p>
    <w:p>
      <w:pPr>
        <w:jc w:val="both"/>
        <w:ind w:right="140" w:firstLine="449"/>
        <w:spacing w:after="0" w:line="256"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40" w:lineRule="exact"/>
        <w:rPr>
          <w:sz w:val="20"/>
          <w:szCs w:val="20"/>
          <w:color w:val="auto"/>
        </w:rPr>
      </w:pPr>
    </w:p>
    <w:p>
      <w:pPr>
        <w:ind w:right="60" w:firstLine="449"/>
        <w:spacing w:after="0" w:line="249" w:lineRule="auto"/>
        <w:rPr>
          <w:sz w:val="20"/>
          <w:szCs w:val="20"/>
          <w:color w:val="auto"/>
        </w:rPr>
      </w:pPr>
      <w:r>
        <w:rPr>
          <w:rFonts w:ascii="Times New Roman" w:cs="Times New Roman" w:eastAsia="Times New Roman" w:hAnsi="Times New Roman"/>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 for ASC 820 purposes: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 ($ in thousands)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4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164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540" w:type="dxa"/>
            <w:vAlign w:val="bottom"/>
            <w:vMerge w:val="restart"/>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45,522</w:t>
            </w:r>
          </w:p>
        </w:tc>
        <w:tc>
          <w:tcPr>
            <w:tcW w:w="24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468"/>
              <w:spacing w:after="0"/>
              <w:rPr>
                <w:sz w:val="20"/>
                <w:szCs w:val="20"/>
                <w:color w:val="auto"/>
              </w:rPr>
            </w:pPr>
            <w:r>
              <w:rPr>
                <w:rFonts w:ascii="Times New Roman" w:cs="Times New Roman" w:eastAsia="Times New Roman" w:hAnsi="Times New Roman"/>
                <w:sz w:val="14"/>
                <w:szCs w:val="14"/>
                <w:color w:val="auto"/>
              </w:rPr>
              <w:t>N/A</w:t>
            </w:r>
          </w:p>
        </w:tc>
        <w:tc>
          <w:tcPr>
            <w:tcW w:w="5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621,702</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7.0% - 18.1% (9.1%)</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22,050</w:t>
            </w: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5"/>
                <w:szCs w:val="15"/>
                <w:color w:val="auto"/>
              </w:rPr>
            </w:pPr>
          </w:p>
        </w:tc>
        <w:tc>
          <w:tcPr>
            <w:tcW w:w="1640" w:type="dxa"/>
            <w:vAlign w:val="bottom"/>
            <w:shd w:val="clear" w:color="auto" w:fill="CCECFF"/>
          </w:tcPr>
          <w:p>
            <w:pPr>
              <w:jc w:val="center"/>
              <w:ind w:left="468"/>
              <w:spacing w:after="0"/>
              <w:rPr>
                <w:sz w:val="20"/>
                <w:szCs w:val="20"/>
                <w:color w:val="auto"/>
              </w:rPr>
            </w:pPr>
            <w:r>
              <w:rPr>
                <w:rFonts w:ascii="Times New Roman" w:cs="Times New Roman" w:eastAsia="Times New Roman" w:hAnsi="Times New Roman"/>
                <w:sz w:val="14"/>
                <w:szCs w:val="14"/>
                <w:color w:val="auto"/>
              </w:rPr>
              <w:t>N/A</w:t>
            </w:r>
          </w:p>
        </w:tc>
        <w:tc>
          <w:tcPr>
            <w:tcW w:w="5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101,405</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color w:val="auto"/>
              </w:rPr>
              <w:t>11.4% - 12.5% (12.0%)</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11,353</w:t>
            </w: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640" w:type="dxa"/>
            <w:vAlign w:val="bottom"/>
            <w:shd w:val="clear" w:color="auto" w:fill="CCECFF"/>
          </w:tcPr>
          <w:p>
            <w:pPr>
              <w:jc w:val="center"/>
              <w:ind w:left="468"/>
              <w:spacing w:after="0"/>
              <w:rPr>
                <w:sz w:val="20"/>
                <w:szCs w:val="20"/>
                <w:color w:val="auto"/>
              </w:rPr>
            </w:pPr>
            <w:r>
              <w:rPr>
                <w:rFonts w:ascii="Times New Roman" w:cs="Times New Roman" w:eastAsia="Times New Roman" w:hAnsi="Times New Roman"/>
                <w:sz w:val="14"/>
                <w:szCs w:val="14"/>
                <w:color w:val="auto"/>
              </w:rPr>
              <w:t>5.8x</w:t>
            </w:r>
          </w:p>
        </w:tc>
        <w:tc>
          <w:tcPr>
            <w:tcW w:w="5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109,865</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9.0% - 34.7% (16.9%)</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210,890</w:t>
            </w: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640" w:type="dxa"/>
            <w:vAlign w:val="bottom"/>
            <w:shd w:val="clear" w:color="auto" w:fill="CCECFF"/>
          </w:tcPr>
          <w:p>
            <w:pPr>
              <w:jc w:val="center"/>
              <w:ind w:left="488"/>
              <w:spacing w:after="0"/>
              <w:rPr>
                <w:sz w:val="20"/>
                <w:szCs w:val="20"/>
                <w:color w:val="auto"/>
              </w:rPr>
            </w:pPr>
            <w:r>
              <w:rPr>
                <w:rFonts w:ascii="Times New Roman" w:cs="Times New Roman" w:eastAsia="Times New Roman" w:hAnsi="Times New Roman"/>
                <w:sz w:val="14"/>
                <w:szCs w:val="14"/>
                <w:color w:val="auto"/>
              </w:rPr>
              <w:t>2.8x - 23.3x (7.2x)</w:t>
            </w:r>
          </w:p>
        </w:tc>
        <w:tc>
          <w:tcPr>
            <w:tcW w:w="5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30,965</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color w:val="auto"/>
                <w:w w:val="96"/>
              </w:rPr>
              <w:t>DLOM</w:t>
            </w:r>
            <w:r>
              <w:rPr>
                <w:rFonts w:ascii="Times New Roman" w:cs="Times New Roman" w:eastAsia="Times New Roman" w:hAnsi="Times New Roman"/>
                <w:sz w:val="19"/>
                <w:szCs w:val="19"/>
                <w:color w:val="auto"/>
                <w:w w:val="96"/>
                <w:vertAlign w:val="superscript"/>
              </w:rPr>
              <w:t>(2)</w:t>
            </w:r>
          </w:p>
        </w:tc>
        <w:tc>
          <w:tcPr>
            <w:tcW w:w="1800" w:type="dxa"/>
            <w:vAlign w:val="bottom"/>
            <w:gridSpan w:val="2"/>
          </w:tcPr>
          <w:p>
            <w:pPr>
              <w:jc w:val="center"/>
              <w:ind w:left="628"/>
              <w:spacing w:after="0"/>
              <w:rPr>
                <w:sz w:val="20"/>
                <w:szCs w:val="20"/>
                <w:color w:val="auto"/>
              </w:rPr>
            </w:pPr>
            <w:r>
              <w:rPr>
                <w:rFonts w:ascii="Times New Roman" w:cs="Times New Roman" w:eastAsia="Times New Roman" w:hAnsi="Times New Roman"/>
                <w:sz w:val="14"/>
                <w:szCs w:val="14"/>
                <w:color w:val="auto"/>
              </w:rPr>
              <w:t>16.6%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1,153,753</w:t>
            </w:r>
          </w:p>
        </w:tc>
        <w:tc>
          <w:tcPr>
            <w:tcW w:w="24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Debt Category ($ in thousands)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8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color w:val="auto"/>
              </w:rPr>
              <w:t>Truist Credit Facility</w:t>
            </w:r>
          </w:p>
        </w:tc>
        <w:tc>
          <w:tcPr>
            <w:tcW w:w="1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215,899</w:t>
            </w:r>
          </w:p>
        </w:tc>
        <w:tc>
          <w:tcPr>
            <w:tcW w:w="24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bottom w:val="single" w:sz="8" w:color="CCECFF"/>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bottom w:val="single" w:sz="8" w:color="CCECFF"/>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800" w:type="dxa"/>
            <w:vAlign w:val="bottom"/>
            <w:tcBorders>
              <w:bottom w:val="single" w:sz="8" w:color="CCECFF"/>
            </w:tcBorders>
            <w:gridSpan w:val="2"/>
            <w:shd w:val="clear" w:color="auto" w:fill="CCECFF"/>
          </w:tcPr>
          <w:p>
            <w:pPr>
              <w:jc w:val="center"/>
              <w:ind w:left="628"/>
              <w:spacing w:after="0" w:line="155" w:lineRule="exact"/>
              <w:rPr>
                <w:sz w:val="20"/>
                <w:szCs w:val="20"/>
                <w:color w:val="auto"/>
              </w:rPr>
            </w:pPr>
            <w:r>
              <w:rPr>
                <w:rFonts w:ascii="Times New Roman" w:cs="Times New Roman" w:eastAsia="Times New Roman" w:hAnsi="Times New Roman"/>
                <w:sz w:val="14"/>
                <w:szCs w:val="14"/>
                <w:color w:val="auto"/>
              </w:rPr>
              <w:t>2.3%</w:t>
            </w:r>
          </w:p>
        </w:tc>
        <w:tc>
          <w:tcPr>
            <w:tcW w:w="5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-25400</wp:posOffset>
            </wp:positionV>
            <wp:extent cx="342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342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17145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28"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35" w:lineRule="exact"/>
        <w:rPr>
          <w:rFonts w:ascii="Times New Roman" w:cs="Times New Roman" w:eastAsia="Times New Roman" w:hAnsi="Times New Roman"/>
          <w:sz w:val="11"/>
          <w:szCs w:val="11"/>
          <w:color w:val="auto"/>
        </w:rPr>
      </w:pPr>
    </w:p>
    <w:p>
      <w:pPr>
        <w:ind w:left="760" w:hanging="378"/>
        <w:spacing w:after="0"/>
        <w:tabs>
          <w:tab w:leader="none" w:pos="7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DLOM is defined as discount for lack of marketability.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r>
      <w:tr>
        <w:trPr>
          <w:trHeight w:val="189"/>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 Category </w:t>
            </w:r>
            <w:r>
              <w:rPr>
                <w:rFonts w:ascii="Times New Roman" w:cs="Times New Roman" w:eastAsia="Times New Roman" w:hAnsi="Times New Roman"/>
                <w:sz w:val="14"/>
                <w:szCs w:val="14"/>
                <w:color w:val="auto"/>
              </w:rPr>
              <w:t>($ in thousands)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6"/>
                <w:szCs w:val="16"/>
                <w:color w:val="auto"/>
              </w:rPr>
            </w:pPr>
          </w:p>
        </w:tc>
        <w:tc>
          <w:tcPr>
            <w:tcW w:w="20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 xml:space="preserve">(Weighted Average) </w:t>
            </w:r>
            <w:r>
              <w:rPr>
                <w:rFonts w:ascii="Times New Roman" w:cs="Times New Roman" w:eastAsia="Times New Roman" w:hAnsi="Times New Roman"/>
                <w:sz w:val="19"/>
                <w:szCs w:val="19"/>
                <w:b w:val="1"/>
                <w:bCs w:val="1"/>
                <w:color w:val="auto"/>
                <w:w w:val="98"/>
                <w:vertAlign w:val="superscript"/>
              </w:rPr>
              <w:t>(1)</w:t>
            </w:r>
          </w:p>
        </w:tc>
      </w:tr>
      <w:tr>
        <w:trPr>
          <w:trHeight w:val="16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90,266</w:t>
            </w:r>
          </w:p>
        </w:tc>
        <w:tc>
          <w:tcPr>
            <w:tcW w:w="220" w:type="dxa"/>
            <w:vAlign w:val="bottom"/>
            <w:shd w:val="clear" w:color="auto" w:fill="CCECFF"/>
          </w:tcPr>
          <w:p>
            <w:pPr>
              <w:spacing w:after="0"/>
              <w:rPr>
                <w:sz w:val="14"/>
                <w:szCs w:val="14"/>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4"/>
                <w:szCs w:val="14"/>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4"/>
                <w:szCs w:val="14"/>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N/A</w:t>
            </w: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462,264</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 – 13.1% (8.1%)</w:t>
            </w:r>
          </w:p>
        </w:tc>
      </w:tr>
      <w:tr>
        <w:trPr>
          <w:trHeight w:val="17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39,298</w:t>
            </w:r>
          </w:p>
        </w:tc>
        <w:tc>
          <w:tcPr>
            <w:tcW w:w="22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N/A</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126,509</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 – 11.5% (10.7%)</w:t>
            </w: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11,087</w:t>
            </w:r>
          </w:p>
        </w:tc>
        <w:tc>
          <w:tcPr>
            <w:tcW w:w="22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5.4x</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121,170</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 – 17.1% (12.5%)</w:t>
            </w: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278,486</w:t>
            </w:r>
          </w:p>
        </w:tc>
        <w:tc>
          <w:tcPr>
            <w:tcW w:w="22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2.6x – 18.5x (8.5x)</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60,808</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208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color w:val="auto"/>
                <w:w w:val="92"/>
              </w:rPr>
              <w:t>DLOM</w:t>
            </w:r>
            <w:r>
              <w:rPr>
                <w:rFonts w:ascii="Times New Roman" w:cs="Times New Roman" w:eastAsia="Times New Roman" w:hAnsi="Times New Roman"/>
                <w:sz w:val="19"/>
                <w:szCs w:val="19"/>
                <w:color w:val="auto"/>
                <w:w w:val="92"/>
                <w:vertAlign w:val="superscript"/>
              </w:rPr>
              <w:t>(2)</w:t>
            </w:r>
          </w:p>
        </w:tc>
        <w:tc>
          <w:tcPr>
            <w:tcW w:w="22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9.3%</w:t>
            </w:r>
          </w:p>
        </w:tc>
      </w:tr>
      <w:tr>
        <w:trPr>
          <w:trHeight w:val="175"/>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Borders>
              <w:bottom w:val="single" w:sz="8" w:color="CCECFF"/>
            </w:tcBorders>
            <w:shd w:val="clear" w:color="auto" w:fill="CCECFF"/>
          </w:tcPr>
          <w:p>
            <w:pPr>
              <w:spacing w:after="0"/>
              <w:rPr>
                <w:sz w:val="15"/>
                <w:szCs w:val="15"/>
                <w:color w:val="auto"/>
              </w:rPr>
            </w:pPr>
          </w:p>
        </w:tc>
        <w:tc>
          <w:tcPr>
            <w:tcW w:w="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spacing w:after="0"/>
              <w:rPr>
                <w:sz w:val="15"/>
                <w:szCs w:val="15"/>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21,133</w:t>
            </w:r>
          </w:p>
        </w:tc>
        <w:tc>
          <w:tcPr>
            <w:tcW w:w="220" w:type="dxa"/>
            <w:vAlign w:val="bottom"/>
            <w:tcBorders>
              <w:bottom w:val="single" w:sz="8" w:color="CCECFF"/>
            </w:tcBorders>
            <w:shd w:val="clear" w:color="auto" w:fill="CCECFF"/>
          </w:tcPr>
          <w:p>
            <w:pPr>
              <w:spacing w:after="0"/>
              <w:rPr>
                <w:sz w:val="15"/>
                <w:szCs w:val="15"/>
                <w:color w:val="auto"/>
              </w:rPr>
            </w:pPr>
          </w:p>
        </w:tc>
        <w:tc>
          <w:tcPr>
            <w:tcW w:w="20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bottom w:val="single" w:sz="8" w:color="CCECFF"/>
            </w:tcBorders>
            <w:shd w:val="clear" w:color="auto" w:fill="CCECFF"/>
          </w:tcPr>
          <w:p>
            <w:pPr>
              <w:spacing w:after="0"/>
              <w:rPr>
                <w:sz w:val="15"/>
                <w:szCs w:val="15"/>
                <w:color w:val="auto"/>
              </w:rPr>
            </w:pPr>
          </w:p>
        </w:tc>
        <w:tc>
          <w:tcPr>
            <w:tcW w:w="20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tcBorders>
              <w:bottom w:val="single" w:sz="8" w:color="CCECFF"/>
            </w:tcBorders>
            <w:gridSpan w:val="2"/>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20.4%</w:t>
            </w:r>
          </w:p>
        </w:tc>
      </w:tr>
      <w:tr>
        <w:trPr>
          <w:trHeight w:val="169"/>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56"/>
        </w:trPr>
        <w:tc>
          <w:tcPr>
            <w:tcW w:w="2580" w:type="dxa"/>
            <w:vAlign w:val="bottom"/>
            <w:tcBorders>
              <w:bottom w:val="single" w:sz="8" w:color="auto"/>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Debt Category ($ in thousands)</w:t>
            </w:r>
          </w:p>
        </w:tc>
        <w:tc>
          <w:tcPr>
            <w:tcW w:w="12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5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20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60" w:type="dxa"/>
            <w:vAlign w:val="bottom"/>
            <w:tcBorders>
              <w:bottom w:val="single" w:sz="8" w:color="CCECFF"/>
            </w:tcBorders>
            <w:shd w:val="clear" w:color="auto" w:fill="CCECFF"/>
          </w:tcPr>
          <w:p>
            <w:pPr>
              <w:spacing w:after="0"/>
              <w:rPr>
                <w:sz w:val="13"/>
                <w:szCs w:val="13"/>
                <w:color w:val="auto"/>
              </w:rPr>
            </w:pPr>
          </w:p>
        </w:tc>
      </w:tr>
      <w:tr>
        <w:trPr>
          <w:trHeight w:val="169"/>
        </w:trPr>
        <w:tc>
          <w:tcPr>
            <w:tcW w:w="25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Truist Credit Facility</w:t>
            </w:r>
          </w:p>
        </w:tc>
        <w:tc>
          <w:tcPr>
            <w:tcW w:w="360" w:type="dxa"/>
            <w:vAlign w:val="bottom"/>
            <w:gridSpan w:val="3"/>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314,813</w:t>
            </w:r>
          </w:p>
        </w:tc>
        <w:tc>
          <w:tcPr>
            <w:tcW w:w="220" w:type="dxa"/>
            <w:vAlign w:val="bottom"/>
          </w:tcPr>
          <w:p>
            <w:pPr>
              <w:spacing w:after="0"/>
              <w:rPr>
                <w:sz w:val="14"/>
                <w:szCs w:val="14"/>
                <w:color w:val="auto"/>
              </w:rPr>
            </w:pPr>
          </w:p>
        </w:tc>
        <w:tc>
          <w:tcPr>
            <w:tcW w:w="20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4"/>
                <w:szCs w:val="14"/>
                <w:color w:val="auto"/>
              </w:rPr>
            </w:pPr>
          </w:p>
        </w:tc>
        <w:tc>
          <w:tcPr>
            <w:tcW w:w="20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gridSpan w:val="2"/>
          </w:tcPr>
          <w:p>
            <w:pPr>
              <w:jc w:val="center"/>
              <w:ind w:left="88"/>
              <w:spacing w:after="0" w:line="155"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29"/>
        </w:trPr>
        <w:tc>
          <w:tcPr>
            <w:tcW w:w="2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-505460</wp:posOffset>
            </wp:positionV>
            <wp:extent cx="342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-248285</wp:posOffset>
            </wp:positionV>
            <wp:extent cx="1111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1.The weighted averages disclosed in the table above were weighted by their relative fair value.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2.DLOM is defined as discount for lack of marketability.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investments, cash and cash equivalents, Truist Credit Facility, SBA debentures, 2024 Notes, 2026 Notes and 2026 Notes-2 were categorized as follows in the fair value hierarchy: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Fair Value at March 31, 2022</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Measured at Net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1"/>
                <w:szCs w:val="11"/>
                <w:color w:val="auto"/>
              </w:rPr>
            </w:pPr>
          </w:p>
        </w:tc>
        <w:tc>
          <w:tcPr>
            <w:tcW w:w="10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4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16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911,897</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911,897</w:t>
            </w:r>
          </w:p>
        </w:tc>
        <w:tc>
          <w:tcPr>
            <w:tcW w:w="18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302,060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241,856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1,213,957</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1,153,753</w:t>
            </w:r>
          </w:p>
        </w:tc>
        <w:tc>
          <w:tcPr>
            <w:tcW w:w="18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59,808</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CFF"/>
            </w:tcBorders>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1,240,208</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26,647</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1,153,753</w:t>
            </w:r>
          </w:p>
        </w:tc>
        <w:tc>
          <w:tcPr>
            <w:tcW w:w="1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59,808</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Truist Credit Facility</w:t>
            </w:r>
          </w:p>
        </w:tc>
        <w:tc>
          <w:tcPr>
            <w:tcW w:w="380" w:type="dxa"/>
            <w:vAlign w:val="bottom"/>
            <w:gridSpan w:val="2"/>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215,899</w:t>
            </w:r>
          </w:p>
        </w:tc>
        <w:tc>
          <w:tcPr>
            <w:tcW w:w="46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215,899</w:t>
            </w:r>
          </w:p>
        </w:tc>
        <w:tc>
          <w:tcPr>
            <w:tcW w:w="2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SBA Debentures</w:t>
            </w:r>
            <w:r>
              <w:rPr>
                <w:rFonts w:ascii="Times New Roman" w:cs="Times New Roman" w:eastAsia="Times New Roman" w:hAnsi="Times New Roman"/>
                <w:sz w:val="19"/>
                <w:szCs w:val="19"/>
                <w:color w:val="auto"/>
                <w:vertAlign w:val="superscript"/>
              </w:rPr>
              <w:t>(2)</w:t>
            </w:r>
          </w:p>
        </w:tc>
        <w:tc>
          <w:tcPr>
            <w:tcW w:w="1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27,026</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27,026</w:t>
            </w: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2026 Notes</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146,316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146,316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CFF"/>
            </w:tcBorders>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2026 Notes-2</w:t>
            </w:r>
            <w:r>
              <w:rPr>
                <w:rFonts w:ascii="Times New Roman" w:cs="Times New Roman" w:eastAsia="Times New Roman" w:hAnsi="Times New Roman"/>
                <w:sz w:val="19"/>
                <w:szCs w:val="19"/>
                <w:color w:val="auto"/>
                <w:vertAlign w:val="superscript"/>
              </w:rPr>
              <w:t>(2)</w:t>
            </w:r>
          </w:p>
        </w:tc>
        <w:tc>
          <w:tcPr>
            <w:tcW w:w="1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160,946</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160,946</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550,187</w:t>
            </w:r>
          </w:p>
        </w:tc>
        <w:tc>
          <w:tcPr>
            <w:tcW w:w="4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307,262</w:t>
            </w:r>
          </w:p>
        </w:tc>
        <w:tc>
          <w:tcPr>
            <w:tcW w:w="20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-616585</wp:posOffset>
            </wp:positionV>
            <wp:extent cx="342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-599440</wp:posOffset>
            </wp:positionV>
            <wp:extent cx="342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-616585</wp:posOffset>
            </wp:positionV>
            <wp:extent cx="342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-599440</wp:posOffset>
            </wp:positionV>
            <wp:extent cx="342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-616585</wp:posOffset>
            </wp:positionV>
            <wp:extent cx="342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-599440</wp:posOffset>
            </wp:positionV>
            <wp:extent cx="342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-616585</wp:posOffset>
            </wp:positionV>
            <wp:extent cx="260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-599440</wp:posOffset>
            </wp:positionV>
            <wp:extent cx="260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-616585</wp:posOffset>
            </wp:positionV>
            <wp:extent cx="260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-599440</wp:posOffset>
            </wp:positionV>
            <wp:extent cx="260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-144780</wp:posOffset>
            </wp:positionV>
            <wp:extent cx="342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-144780</wp:posOffset>
            </wp:positionV>
            <wp:extent cx="342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-144780</wp:posOffset>
            </wp:positionV>
            <wp:extent cx="342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-144780</wp:posOffset>
            </wp:positionV>
            <wp:extent cx="260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-144780</wp:posOffset>
            </wp:positionV>
            <wp:extent cx="260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0" w:lineRule="exact"/>
        <w:rPr>
          <w:sz w:val="20"/>
          <w:szCs w:val="20"/>
          <w:color w:val="auto"/>
        </w:rPr>
      </w:pPr>
    </w:p>
    <w:p>
      <w:pPr>
        <w:ind w:left="480" w:right="160" w:hanging="459"/>
        <w:spacing w:after="0" w:line="233" w:lineRule="auto"/>
        <w:tabs>
          <w:tab w:leader="none" w:pos="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ind w:left="480" w:right="120" w:hanging="459"/>
        <w:spacing w:after="0" w:line="225" w:lineRule="auto"/>
        <w:tabs>
          <w:tab w:leader="none" w:pos="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elected not to apply ASC 825-10 to the SBA debentures, the 2026 Notes and the 2026 Notes-2, and thus the balance reported in the Consolidated Statement of Assets and Liabilities represents the carrying value. As of March 31, 2022, the carrying value of the SBA debentures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1912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 at September 30, 2021</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Measured at Net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16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404,697</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360,428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1,255,290</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CFF"/>
            </w:tcBorders>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1,275,647</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23,467</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1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Truist Credit Facility</w:t>
            </w:r>
          </w:p>
        </w:tc>
        <w:tc>
          <w:tcPr>
            <w:tcW w:w="380" w:type="dxa"/>
            <w:vAlign w:val="bottom"/>
            <w:gridSpan w:val="2"/>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314,813</w:t>
            </w:r>
          </w:p>
        </w:tc>
        <w:tc>
          <w:tcPr>
            <w:tcW w:w="46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314,813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SBA Debentures </w:t>
            </w:r>
            <w:r>
              <w:rPr>
                <w:rFonts w:ascii="Times New Roman" w:cs="Times New Roman" w:eastAsia="Times New Roman" w:hAnsi="Times New Roman"/>
                <w:sz w:val="19"/>
                <w:szCs w:val="19"/>
                <w:color w:val="auto"/>
                <w:vertAlign w:val="superscript"/>
              </w:rPr>
              <w:t>(2)</w:t>
            </w:r>
          </w:p>
        </w:tc>
        <w:tc>
          <w:tcPr>
            <w:tcW w:w="1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62,159</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62,159</w:t>
            </w: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2024 Notes </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Borders>
              <w:bottom w:val="single" w:sz="8" w:color="CCECFF"/>
            </w:tcBorders>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w:t>
            </w:r>
            <w:r>
              <w:rPr>
                <w:rFonts w:ascii="Times New Roman" w:cs="Times New Roman" w:eastAsia="Times New Roman" w:hAnsi="Times New Roman"/>
                <w:sz w:val="19"/>
                <w:szCs w:val="19"/>
                <w:color w:val="auto"/>
                <w:vertAlign w:val="superscript"/>
              </w:rPr>
              <w:t>(2)</w:t>
            </w:r>
          </w:p>
        </w:tc>
        <w:tc>
          <w:tcPr>
            <w:tcW w:w="1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607,340</w:t>
            </w:r>
          </w:p>
        </w:tc>
        <w:tc>
          <w:tcPr>
            <w:tcW w:w="4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4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4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-616585</wp:posOffset>
            </wp:positionV>
            <wp:extent cx="342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-599440</wp:posOffset>
            </wp:positionV>
            <wp:extent cx="342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-616585</wp:posOffset>
            </wp:positionV>
            <wp:extent cx="342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-599440</wp:posOffset>
            </wp:positionV>
            <wp:extent cx="342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-616585</wp:posOffset>
            </wp:positionV>
            <wp:extent cx="342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-599440</wp:posOffset>
            </wp:positionV>
            <wp:extent cx="342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-616585</wp:posOffset>
            </wp:positionV>
            <wp:extent cx="260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-599440</wp:posOffset>
            </wp:positionV>
            <wp:extent cx="260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-616585</wp:posOffset>
            </wp:positionV>
            <wp:extent cx="260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-599440</wp:posOffset>
            </wp:positionV>
            <wp:extent cx="260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-145415</wp:posOffset>
            </wp:positionV>
            <wp:extent cx="342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-145415</wp:posOffset>
            </wp:positionV>
            <wp:extent cx="342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-145415</wp:posOffset>
            </wp:positionV>
            <wp:extent cx="342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-145415</wp:posOffset>
            </wp:positionV>
            <wp:extent cx="260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-145415</wp:posOffset>
            </wp:positionV>
            <wp:extent cx="260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07" w:lineRule="exact"/>
        <w:rPr>
          <w:sz w:val="20"/>
          <w:szCs w:val="20"/>
          <w:color w:val="auto"/>
        </w:rPr>
      </w:pPr>
    </w:p>
    <w:p>
      <w:pPr>
        <w:ind w:left="480" w:right="160" w:hanging="459"/>
        <w:spacing w:after="0" w:line="233" w:lineRule="auto"/>
        <w:tabs>
          <w:tab w:leader="none" w:pos="4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ind w:left="480" w:right="480" w:hanging="459"/>
        <w:spacing w:after="0" w:line="225" w:lineRule="auto"/>
        <w:tabs>
          <w:tab w:leader="none" w:pos="4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elected not to apply ASC 825-10 to the SBA debentures or the 2024 Notes and the 2026 Notes and thus the balance reported in the Consolidated Statement of Assets and Liabilities represents the carrying value. As of September 30, 2021, the carrying value of the SBA debentures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1912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50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0100" w:type="dxa"/>
            <w:vAlign w:val="bottom"/>
            <w:gridSpan w:val="10"/>
          </w:tcPr>
          <w:p>
            <w:pPr>
              <w:ind w:left="460"/>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investments measured at fair value using significant unobservable inputs (Level 3):</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 March 31, 2022</w:t>
            </w: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jc w:val="right"/>
              <w:ind w:right="820"/>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240" w:type="dxa"/>
            <w:vAlign w:val="bottom"/>
          </w:tcPr>
          <w:p>
            <w:pPr>
              <w:spacing w:after="0"/>
              <w:rPr>
                <w:sz w:val="11"/>
                <w:szCs w:val="11"/>
                <w:color w:val="auto"/>
              </w:rPr>
            </w:pPr>
          </w:p>
        </w:tc>
        <w:tc>
          <w:tcPr>
            <w:tcW w:w="1440" w:type="dxa"/>
            <w:vAlign w:val="bottom"/>
            <w:gridSpan w:val="2"/>
          </w:tcPr>
          <w:p>
            <w:pPr>
              <w:jc w:val="right"/>
              <w:ind w:right="7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360" w:type="dxa"/>
            <w:vAlign w:val="bottom"/>
          </w:tcPr>
          <w:p>
            <w:pPr>
              <w:spacing w:after="0"/>
              <w:rPr>
                <w:sz w:val="11"/>
                <w:szCs w:val="11"/>
                <w:color w:val="auto"/>
              </w:rPr>
            </w:pP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9"/>
                <w:szCs w:val="9"/>
                <w:color w:val="auto"/>
              </w:rPr>
            </w:pPr>
          </w:p>
        </w:tc>
        <w:tc>
          <w:tcPr>
            <w:tcW w:w="14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1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8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360,428</w:t>
            </w:r>
          </w:p>
        </w:tc>
        <w:tc>
          <w:tcPr>
            <w:tcW w:w="22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realized (loss) gain</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116,163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appreciation</w:t>
            </w:r>
          </w:p>
        </w:tc>
        <w:tc>
          <w:tcPr>
            <w:tcW w:w="10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(14,269 )</w:t>
            </w:r>
          </w:p>
        </w:tc>
        <w:tc>
          <w:tcPr>
            <w:tcW w:w="24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(89,480 )</w:t>
            </w:r>
          </w:p>
        </w:tc>
        <w:tc>
          <w:tcPr>
            <w:tcW w:w="36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(103,749 )</w:t>
            </w:r>
          </w:p>
        </w:tc>
        <w:tc>
          <w:tcPr>
            <w:tcW w:w="0" w:type="dxa"/>
            <w:vAlign w:val="bottom"/>
          </w:tcPr>
          <w:p>
            <w:pPr>
              <w:spacing w:after="0"/>
              <w:rPr>
                <w:sz w:val="1"/>
                <w:szCs w:val="1"/>
                <w:color w:val="auto"/>
              </w:rPr>
            </w:pPr>
          </w:p>
        </w:tc>
      </w:tr>
      <w:tr>
        <w:trPr>
          <w:trHeight w:val="176"/>
        </w:trPr>
        <w:tc>
          <w:tcPr>
            <w:tcW w:w="5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441,570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10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(366,418 )</w:t>
            </w:r>
          </w:p>
        </w:tc>
        <w:tc>
          <w:tcPr>
            <w:tcW w:w="24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(175,067 )</w:t>
            </w:r>
          </w:p>
        </w:tc>
        <w:tc>
          <w:tcPr>
            <w:tcW w:w="36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(541,485 )</w:t>
            </w:r>
          </w:p>
        </w:tc>
        <w:tc>
          <w:tcPr>
            <w:tcW w:w="0" w:type="dxa"/>
            <w:vAlign w:val="bottom"/>
          </w:tcPr>
          <w:p>
            <w:pPr>
              <w:spacing w:after="0"/>
              <w:rPr>
                <w:sz w:val="1"/>
                <w:szCs w:val="1"/>
                <w:color w:val="auto"/>
              </w:rPr>
            </w:pPr>
          </w:p>
        </w:tc>
      </w:tr>
      <w:tr>
        <w:trPr>
          <w:trHeight w:val="176"/>
        </w:trPr>
        <w:tc>
          <w:tcPr>
            <w:tcW w:w="5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Transfers in/out of Level 3</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60" w:type="dxa"/>
            <w:vAlign w:val="bottom"/>
            <w:tcBorders>
              <w:bottom w:val="single" w:sz="8" w:color="CCECFF"/>
            </w:tcBorders>
            <w:gridSpan w:val="2"/>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911,897</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241,856</w:t>
            </w:r>
          </w:p>
        </w:tc>
        <w:tc>
          <w:tcPr>
            <w:tcW w:w="2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1,153,753</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510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appreciation on investments in our Consolidated Statements of Operations</w:t>
            </w:r>
          </w:p>
        </w:tc>
        <w:tc>
          <w:tcPr>
            <w:tcW w:w="1260" w:type="dxa"/>
            <w:vAlign w:val="bottom"/>
            <w:gridSpan w:val="2"/>
            <w:vMerge w:val="restart"/>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(12,650 )</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(90,848 )</w:t>
            </w:r>
          </w:p>
        </w:tc>
        <w:tc>
          <w:tcPr>
            <w:tcW w:w="3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(103,498 )</w:t>
            </w:r>
          </w:p>
        </w:tc>
        <w:tc>
          <w:tcPr>
            <w:tcW w:w="0" w:type="dxa"/>
            <w:vAlign w:val="bottom"/>
          </w:tcPr>
          <w:p>
            <w:pPr>
              <w:spacing w:after="0"/>
              <w:rPr>
                <w:sz w:val="1"/>
                <w:szCs w:val="1"/>
                <w:color w:val="auto"/>
              </w:rPr>
            </w:pPr>
          </w:p>
        </w:tc>
      </w:tr>
      <w:tr>
        <w:trPr>
          <w:trHeight w:val="158"/>
        </w:trPr>
        <w:tc>
          <w:tcPr>
            <w:tcW w:w="510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1260" w:type="dxa"/>
            <w:vAlign w:val="bottom"/>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 March 31, 2021</w:t>
            </w: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jc w:val="right"/>
              <w:ind w:right="820"/>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240" w:type="dxa"/>
            <w:vAlign w:val="bottom"/>
          </w:tcPr>
          <w:p>
            <w:pPr>
              <w:spacing w:after="0"/>
              <w:rPr>
                <w:sz w:val="11"/>
                <w:szCs w:val="11"/>
                <w:color w:val="auto"/>
              </w:rPr>
            </w:pPr>
          </w:p>
        </w:tc>
        <w:tc>
          <w:tcPr>
            <w:tcW w:w="1440" w:type="dxa"/>
            <w:vAlign w:val="bottom"/>
            <w:gridSpan w:val="2"/>
          </w:tcPr>
          <w:p>
            <w:pPr>
              <w:jc w:val="right"/>
              <w:ind w:right="7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360" w:type="dxa"/>
            <w:vAlign w:val="bottom"/>
          </w:tcPr>
          <w:p>
            <w:pPr>
              <w:spacing w:after="0"/>
              <w:rPr>
                <w:sz w:val="11"/>
                <w:szCs w:val="11"/>
                <w:color w:val="auto"/>
              </w:rPr>
            </w:pP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9"/>
                <w:szCs w:val="9"/>
                <w:color w:val="auto"/>
              </w:rPr>
            </w:pPr>
          </w:p>
        </w:tc>
        <w:tc>
          <w:tcPr>
            <w:tcW w:w="14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5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1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8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773,426</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270,754</w:t>
            </w:r>
          </w:p>
        </w:tc>
        <w:tc>
          <w:tcPr>
            <w:tcW w:w="22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1,044,180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realized gain (loss)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(19,629 )</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(17,323 )</w:t>
            </w:r>
          </w:p>
        </w:tc>
        <w:tc>
          <w:tcPr>
            <w:tcW w:w="0" w:type="dxa"/>
            <w:vAlign w:val="bottom"/>
          </w:tcPr>
          <w:p>
            <w:pPr>
              <w:spacing w:after="0"/>
              <w:rPr>
                <w:sz w:val="1"/>
                <w:szCs w:val="1"/>
                <w:color w:val="auto"/>
              </w:rPr>
            </w:pPr>
          </w:p>
        </w:tc>
      </w:tr>
      <w:tr>
        <w:trPr>
          <w:trHeight w:val="175"/>
        </w:trPr>
        <w:tc>
          <w:tcPr>
            <w:tcW w:w="51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w:t>
            </w:r>
          </w:p>
        </w:tc>
        <w:tc>
          <w:tcPr>
            <w:tcW w:w="10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91,986</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122,398</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129,950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21,087</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10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(157,984 )</w:t>
            </w:r>
          </w:p>
        </w:tc>
        <w:tc>
          <w:tcPr>
            <w:tcW w:w="24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(9,602 )</w:t>
            </w:r>
          </w:p>
        </w:tc>
        <w:tc>
          <w:tcPr>
            <w:tcW w:w="36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(167,585 )</w:t>
            </w:r>
          </w:p>
        </w:tc>
        <w:tc>
          <w:tcPr>
            <w:tcW w:w="0" w:type="dxa"/>
            <w:vAlign w:val="bottom"/>
          </w:tcPr>
          <w:p>
            <w:pPr>
              <w:spacing w:after="0"/>
              <w:rPr>
                <w:sz w:val="1"/>
                <w:szCs w:val="1"/>
                <w:color w:val="auto"/>
              </w:rPr>
            </w:pPr>
          </w:p>
        </w:tc>
      </w:tr>
      <w:tr>
        <w:trPr>
          <w:trHeight w:val="175"/>
        </w:trPr>
        <w:tc>
          <w:tcPr>
            <w:tcW w:w="5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Transfers in/out of Level 3</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60" w:type="dxa"/>
            <w:vAlign w:val="bottom"/>
            <w:tcBorders>
              <w:bottom w:val="single" w:sz="8" w:color="CCECFF"/>
            </w:tcBorders>
            <w:gridSpan w:val="2"/>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756,175</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376,531</w:t>
            </w:r>
          </w:p>
        </w:tc>
        <w:tc>
          <w:tcPr>
            <w:tcW w:w="2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1,132,706</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510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w:t>
            </w: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depreciation on investments in our Consolidated Statements of Operations</w:t>
            </w:r>
          </w:p>
        </w:tc>
        <w:tc>
          <w:tcPr>
            <w:tcW w:w="150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30,710</w:t>
            </w:r>
          </w:p>
        </w:tc>
        <w:tc>
          <w:tcPr>
            <w:tcW w:w="24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92,810</w:t>
            </w:r>
          </w:p>
        </w:tc>
        <w:tc>
          <w:tcPr>
            <w:tcW w:w="220" w:type="dxa"/>
            <w:vAlign w:val="bottom"/>
          </w:tcPr>
          <w:p>
            <w:pPr>
              <w:spacing w:after="0"/>
              <w:rPr>
                <w:sz w:val="12"/>
                <w:szCs w:val="12"/>
                <w:color w:val="auto"/>
              </w:rPr>
            </w:pPr>
          </w:p>
        </w:tc>
        <w:tc>
          <w:tcPr>
            <w:tcW w:w="3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123,520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0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1500" w:type="dxa"/>
            <w:vAlign w:val="bottom"/>
            <w:gridSpan w:val="3"/>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-1893570</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-1877060</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-1893570</wp:posOffset>
            </wp:positionV>
            <wp:extent cx="431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-1877060</wp:posOffset>
            </wp:positionV>
            <wp:extent cx="431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-1893570</wp:posOffset>
            </wp:positionV>
            <wp:extent cx="431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-1877060</wp:posOffset>
            </wp:positionV>
            <wp:extent cx="431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-334010</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-316865</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-334010</wp:posOffset>
            </wp:positionV>
            <wp:extent cx="431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-316865</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-334010</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-316865</wp:posOffset>
            </wp:positionV>
            <wp:extent cx="431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table below shows a reconciliation of the beginning and ending balances for liabilities measured at fair value using significant unobservable inputs (Level 3):</w:t>
      </w:r>
    </w:p>
    <w:p>
      <w:pPr>
        <w:sectPr>
          <w:pgSz w:w="11900" w:h="16838" w:orient="portrait"/>
          <w:cols w:equalWidth="0" w:num="1">
            <w:col w:w="11240"/>
          </w:cols>
          <w:pgMar w:left="320" w:top="114" w:right="339" w:bottom="1440" w:gutter="0" w:footer="0" w:header="0"/>
        </w:sect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Long-Term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48006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Balance (cost – $316,545 and $380,252,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111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 appreciation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7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380"/>
        <w:spacing w:after="0" w:line="212" w:lineRule="auto"/>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19"/>
          <w:szCs w:val="19"/>
          <w:color w:val="auto"/>
          <w:vertAlign w:val="superscript"/>
        </w:rPr>
        <w:t>(1)</w:t>
      </w:r>
    </w:p>
    <w:p>
      <w:pPr>
        <w:ind w:left="380"/>
        <w:spacing w:after="0" w:line="197" w:lineRule="auto"/>
        <w:rPr>
          <w:sz w:val="20"/>
          <w:szCs w:val="20"/>
          <w:color w:val="auto"/>
        </w:rPr>
      </w:pPr>
      <w:r>
        <w:rPr>
          <w:rFonts w:ascii="Times New Roman" w:cs="Times New Roman" w:eastAsia="Times New Roman" w:hAnsi="Times New Roman"/>
          <w:sz w:val="14"/>
          <w:szCs w:val="14"/>
          <w:color w:val="auto"/>
        </w:rPr>
        <w:t xml:space="preserve">Repayments </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200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Ending Balance (cost – $217,920 and $352,545,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200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Temporary draws outstanding, at cost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Ending Balance (cost – $217,920 and $375,545, respectively)</w:t>
      </w:r>
    </w:p>
    <w:p>
      <w:pPr>
        <w:spacing w:after="0" w:line="79"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temporary draws.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0"/>
        </w:trPr>
        <w:tc>
          <w:tcPr>
            <w:tcW w:w="380" w:type="dxa"/>
            <w:vAlign w:val="bottom"/>
          </w:tcPr>
          <w:p>
            <w:pPr>
              <w:jc w:val="right"/>
              <w:ind w:right="22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314,813</w:t>
            </w:r>
          </w:p>
        </w:tc>
        <w:tc>
          <w:tcPr>
            <w:tcW w:w="240" w:type="dxa"/>
            <w:vAlign w:val="bottom"/>
          </w:tcPr>
          <w:p>
            <w:pPr>
              <w:spacing w:after="0"/>
              <w:rPr>
                <w:sz w:val="13"/>
                <w:szCs w:val="13"/>
                <w:color w:val="auto"/>
              </w:rPr>
            </w:pPr>
          </w:p>
        </w:tc>
        <w:tc>
          <w:tcPr>
            <w:tcW w:w="36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360,702</w:t>
            </w:r>
          </w:p>
        </w:tc>
        <w:tc>
          <w:tcPr>
            <w:tcW w:w="60" w:type="dxa"/>
            <w:vAlign w:val="bottom"/>
          </w:tcPr>
          <w:p>
            <w:pPr>
              <w:spacing w:after="0"/>
              <w:rPr>
                <w:sz w:val="13"/>
                <w:szCs w:val="13"/>
                <w:color w:val="auto"/>
              </w:rPr>
            </w:pPr>
          </w:p>
        </w:tc>
      </w:tr>
      <w:tr>
        <w:trPr>
          <w:trHeight w:val="176"/>
        </w:trPr>
        <w:tc>
          <w:tcPr>
            <w:tcW w:w="38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(289 )</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16,873</w:t>
            </w:r>
          </w:p>
        </w:tc>
        <w:tc>
          <w:tcPr>
            <w:tcW w:w="60" w:type="dxa"/>
            <w:vAlign w:val="bottom"/>
          </w:tcPr>
          <w:p>
            <w:pPr>
              <w:spacing w:after="0"/>
              <w:rPr>
                <w:sz w:val="15"/>
                <w:szCs w:val="15"/>
                <w:color w:val="auto"/>
              </w:rPr>
            </w:pPr>
          </w:p>
        </w:tc>
      </w:tr>
      <w:tr>
        <w:trPr>
          <w:trHeight w:val="175"/>
        </w:trPr>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496,841</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49,564</w:t>
            </w:r>
          </w:p>
        </w:tc>
        <w:tc>
          <w:tcPr>
            <w:tcW w:w="60" w:type="dxa"/>
            <w:vAlign w:val="bottom"/>
          </w:tcPr>
          <w:p>
            <w:pPr>
              <w:spacing w:after="0"/>
              <w:rPr>
                <w:sz w:val="15"/>
                <w:szCs w:val="15"/>
                <w:color w:val="auto"/>
              </w:rPr>
            </w:pPr>
          </w:p>
        </w:tc>
      </w:tr>
      <w:tr>
        <w:trPr>
          <w:trHeight w:val="175"/>
        </w:trPr>
        <w:tc>
          <w:tcPr>
            <w:tcW w:w="38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(595,466 )</w:t>
            </w:r>
          </w:p>
        </w:tc>
        <w:tc>
          <w:tcPr>
            <w:tcW w:w="3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(77,271 )</w:t>
            </w:r>
          </w:p>
        </w:tc>
      </w:tr>
      <w:tr>
        <w:trPr>
          <w:trHeight w:val="185"/>
        </w:trPr>
        <w:tc>
          <w:tcPr>
            <w:tcW w:w="380" w:type="dxa"/>
            <w:vAlign w:val="bottom"/>
          </w:tcPr>
          <w:p>
            <w:pPr>
              <w:spacing w:after="0"/>
              <w:rPr>
                <w:sz w:val="16"/>
                <w:szCs w:val="16"/>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215,899</w:t>
            </w:r>
          </w:p>
        </w:tc>
        <w:tc>
          <w:tcPr>
            <w:tcW w:w="24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349,867</w:t>
            </w:r>
          </w:p>
        </w:tc>
        <w:tc>
          <w:tcPr>
            <w:tcW w:w="6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23,000</w:t>
            </w:r>
          </w:p>
        </w:tc>
        <w:tc>
          <w:tcPr>
            <w:tcW w:w="60" w:type="dxa"/>
            <w:vAlign w:val="bottom"/>
          </w:tcPr>
          <w:p>
            <w:pPr>
              <w:spacing w:after="0"/>
              <w:rPr>
                <w:sz w:val="13"/>
                <w:szCs w:val="13"/>
                <w:color w:val="auto"/>
              </w:rPr>
            </w:pPr>
          </w:p>
        </w:tc>
      </w:tr>
      <w:tr>
        <w:trPr>
          <w:trHeight w:val="169"/>
        </w:trPr>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215,899</w:t>
            </w:r>
          </w:p>
        </w:tc>
        <w:tc>
          <w:tcPr>
            <w:tcW w:w="24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372,867</w:t>
            </w:r>
          </w:p>
        </w:tc>
        <w:tc>
          <w:tcPr>
            <w:tcW w:w="60" w:type="dxa"/>
            <w:vAlign w:val="bottom"/>
          </w:tcPr>
          <w:p>
            <w:pPr>
              <w:spacing w:after="0"/>
              <w:rPr>
                <w:sz w:val="14"/>
                <w:szCs w:val="14"/>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49" w:lineRule="exact"/>
        <w:rPr>
          <w:sz w:val="20"/>
          <w:szCs w:val="20"/>
          <w:color w:val="auto"/>
        </w:rPr>
      </w:pPr>
    </w:p>
    <w:p>
      <w:pPr>
        <w:sectPr>
          <w:pgSz w:w="11900" w:h="16838" w:orient="portrait"/>
          <w:cols w:equalWidth="0" w:num="2">
            <w:col w:w="7040" w:space="720"/>
            <w:col w:w="3480"/>
          </w:cols>
          <w:pgMar w:left="320" w:top="114" w:right="339" w:bottom="1440" w:gutter="0" w:footer="0" w:header="0"/>
          <w:type w:val="continuous"/>
        </w:sectPr>
      </w:pPr>
    </w:p>
    <w:p>
      <w:pPr>
        <w:ind w:right="120" w:firstLine="449"/>
        <w:spacing w:after="0" w:line="282" w:lineRule="auto"/>
        <w:rPr>
          <w:sz w:val="20"/>
          <w:szCs w:val="20"/>
          <w:color w:val="auto"/>
        </w:rPr>
      </w:pPr>
      <w:r>
        <w:rPr>
          <w:rFonts w:ascii="Times New Roman" w:cs="Times New Roman" w:eastAsia="Times New Roman" w:hAnsi="Times New Roman"/>
          <w:sz w:val="14"/>
          <w:szCs w:val="14"/>
          <w:color w:val="auto"/>
        </w:rPr>
        <w:t>As of March 31, 2022, we had outstanding non-U.S. dollar borrowings on our Credit Facility. Net change in fair value on foreign currency translation on outstanding borrowings is listed below ($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Reset Date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69"/>
        </w:trPr>
        <w:tc>
          <w:tcPr>
            <w:tcW w:w="19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shd w:val="clear" w:color="auto" w:fill="CCECFF"/>
          </w:tcPr>
          <w:p>
            <w:pPr>
              <w:spacing w:after="0"/>
              <w:rPr>
                <w:sz w:val="14"/>
                <w:szCs w:val="14"/>
                <w:color w:val="auto"/>
              </w:rPr>
            </w:pPr>
          </w:p>
        </w:tc>
        <w:tc>
          <w:tcPr>
            <w:tcW w:w="18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4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6,696</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200" w:type="dxa"/>
            <w:vAlign w:val="bottom"/>
            <w:shd w:val="clear" w:color="auto" w:fill="CCECFF"/>
          </w:tcPr>
          <w:p>
            <w:pPr>
              <w:spacing w:after="0"/>
              <w:rPr>
                <w:sz w:val="14"/>
                <w:szCs w:val="14"/>
                <w:color w:val="auto"/>
              </w:rPr>
            </w:pPr>
          </w:p>
        </w:tc>
        <w:tc>
          <w:tcPr>
            <w:tcW w:w="16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April 29, 2022</w:t>
            </w:r>
          </w:p>
        </w:tc>
        <w:tc>
          <w:tcPr>
            <w:tcW w:w="1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CFF"/>
          </w:tcPr>
          <w:p>
            <w:pPr>
              <w:spacing w:after="0"/>
              <w:rPr>
                <w:sz w:val="14"/>
                <w:szCs w:val="14"/>
                <w:color w:val="auto"/>
              </w:rPr>
            </w:pPr>
          </w:p>
        </w:tc>
      </w:tr>
      <w:tr>
        <w:trPr>
          <w:trHeight w:val="188"/>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British Pound</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31,000</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42,724</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40,393</w:t>
            </w:r>
          </w:p>
        </w:tc>
        <w:tc>
          <w:tcPr>
            <w:tcW w:w="2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18, 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(2,331 )</w:t>
            </w:r>
          </w:p>
        </w:tc>
      </w:tr>
    </w:tbl>
    <w:p>
      <w:pPr>
        <w:spacing w:after="0" w:line="127" w:lineRule="exact"/>
        <w:rPr>
          <w:sz w:val="20"/>
          <w:szCs w:val="20"/>
          <w:color w:val="auto"/>
        </w:rPr>
      </w:pPr>
    </w:p>
    <w:p>
      <w:pPr>
        <w:ind w:right="660" w:firstLine="449"/>
        <w:spacing w:after="0" w:line="282" w:lineRule="auto"/>
        <w:rPr>
          <w:sz w:val="20"/>
          <w:szCs w:val="20"/>
          <w:color w:val="auto"/>
        </w:rPr>
      </w:pPr>
      <w:r>
        <w:rPr>
          <w:rFonts w:ascii="Times New Roman" w:cs="Times New Roman" w:eastAsia="Times New Roman" w:hAnsi="Times New Roman"/>
          <w:sz w:val="14"/>
          <w:szCs w:val="14"/>
          <w:color w:val="auto"/>
        </w:rPr>
        <w:t>As of September 30, 2021, we had outstanding non-U.S. dollar borrowings on our Truist Credit Facility. Net change in fair value on foreign currency translation on outstanding borrowings is listed below ($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Reset Date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69"/>
        </w:trPr>
        <w:tc>
          <w:tcPr>
            <w:tcW w:w="19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shd w:val="clear" w:color="auto" w:fill="CCECFF"/>
          </w:tcPr>
          <w:p>
            <w:pPr>
              <w:spacing w:after="0"/>
              <w:rPr>
                <w:sz w:val="14"/>
                <w:szCs w:val="14"/>
                <w:color w:val="auto"/>
              </w:rPr>
            </w:pPr>
          </w:p>
        </w:tc>
        <w:tc>
          <w:tcPr>
            <w:tcW w:w="18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29,000</w:t>
            </w:r>
          </w:p>
        </w:tc>
        <w:tc>
          <w:tcPr>
            <w:tcW w:w="24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40,045</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39,102</w:t>
            </w:r>
          </w:p>
        </w:tc>
        <w:tc>
          <w:tcPr>
            <w:tcW w:w="200" w:type="dxa"/>
            <w:vAlign w:val="bottom"/>
            <w:shd w:val="clear" w:color="auto" w:fill="CCECFF"/>
          </w:tcPr>
          <w:p>
            <w:pPr>
              <w:spacing w:after="0"/>
              <w:rPr>
                <w:sz w:val="14"/>
                <w:szCs w:val="14"/>
                <w:color w:val="auto"/>
              </w:rPr>
            </w:pPr>
          </w:p>
        </w:tc>
        <w:tc>
          <w:tcPr>
            <w:tcW w:w="16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December 17, 2021</w:t>
            </w:r>
          </w:p>
        </w:tc>
        <w:tc>
          <w:tcPr>
            <w:tcW w:w="1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139"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We elected to use the fair value option for the Credit Facilities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Facilities during the three and six months ended March 31,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Facilities are reported in our Consolidated Statements of Operations. We did not elect to apply ASC 825-10 to any other financial assets or liabilities, including the 2024 Notes, the 2026 Notes, 2026 Notes-2, and the SBA debentures.</w:t>
      </w:r>
    </w:p>
    <w:p>
      <w:pPr>
        <w:spacing w:after="0" w:line="127" w:lineRule="exact"/>
        <w:rPr>
          <w:sz w:val="20"/>
          <w:szCs w:val="20"/>
          <w:color w:val="auto"/>
        </w:rPr>
      </w:pPr>
    </w:p>
    <w:p>
      <w:pPr>
        <w:ind w:right="240" w:firstLine="449"/>
        <w:spacing w:after="0" w:line="302" w:lineRule="auto"/>
        <w:rPr>
          <w:sz w:val="20"/>
          <w:szCs w:val="20"/>
          <w:color w:val="auto"/>
        </w:rPr>
      </w:pPr>
      <w:r>
        <w:rPr>
          <w:rFonts w:ascii="Times New Roman" w:cs="Times New Roman" w:eastAsia="Times New Roman" w:hAnsi="Times New Roman"/>
          <w:sz w:val="14"/>
          <w:szCs w:val="14"/>
          <w:color w:val="auto"/>
        </w:rPr>
        <w:t>For the three and six months ended March 31, 2022, the Credit Facility had a net change in unrealized depreciation of $1.3 million and $0.3 million, respectively. For the three and six months ended March 31, 2021, the Credit Facility and the 2023 Notes had a net change in unrealized appreciation of $3.8 million and $16.9 million,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9" w:name="page30"/>
    <w:bookmarkEnd w:id="29"/>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50" w:lineRule="exact"/>
        <w:rPr>
          <w:sz w:val="20"/>
          <w:szCs w:val="20"/>
          <w:color w:val="auto"/>
        </w:rPr>
      </w:pPr>
    </w:p>
    <w:p>
      <w:pPr>
        <w:jc w:val="both"/>
        <w:ind w:right="560"/>
        <w:spacing w:after="0" w:line="271" w:lineRule="auto"/>
        <w:rPr>
          <w:sz w:val="20"/>
          <w:szCs w:val="20"/>
          <w:color w:val="auto"/>
        </w:rPr>
      </w:pPr>
      <w:r>
        <w:rPr>
          <w:rFonts w:ascii="Times New Roman" w:cs="Times New Roman" w:eastAsia="Times New Roman" w:hAnsi="Times New Roman"/>
          <w:sz w:val="14"/>
          <w:szCs w:val="14"/>
          <w:color w:val="auto"/>
        </w:rPr>
        <w:t>respectively. As of March 31, 2022 and September 30, 2021, the net unrealized depreciation on the Credit Facility totaled $2.0 million and $2.7 million, respectively. We use a nationally recognized independent valuation service to measure the fair value of our Credit Facilities in a manner consistent with the valuation process that our board of directors uses to value our investments.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179" w:lineRule="exact"/>
        <w:rPr>
          <w:sz w:val="20"/>
          <w:szCs w:val="20"/>
          <w:color w:val="auto"/>
        </w:rPr>
      </w:pPr>
    </w:p>
    <w:p>
      <w:pPr>
        <w:ind w:right="420" w:firstLine="449"/>
        <w:spacing w:after="0" w:line="241" w:lineRule="auto"/>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2022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Gross </w:t>
            </w:r>
            <w:r>
              <w:rPr>
                <w:rFonts w:ascii="Times New Roman" w:cs="Times New Roman" w:eastAsia="Times New Roman" w:hAnsi="Times New Roman"/>
                <w:sz w:val="16"/>
                <w:szCs w:val="16"/>
                <w:b w:val="1"/>
                <w:bCs w:val="1"/>
                <w:color w:val="auto"/>
                <w:vertAlign w:val="subscript"/>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5"/>
              </w:rPr>
              <w:t>Net Change in</w:t>
            </w:r>
          </w:p>
        </w:tc>
        <w:tc>
          <w:tcPr>
            <w:tcW w:w="80" w:type="dxa"/>
            <w:vAlign w:val="bottom"/>
          </w:tcPr>
          <w:p>
            <w:pPr>
              <w:spacing w:after="0"/>
              <w:rPr>
                <w:sz w:val="12"/>
                <w:szCs w:val="12"/>
                <w:color w:val="auto"/>
              </w:rPr>
            </w:pPr>
          </w:p>
        </w:tc>
        <w:tc>
          <w:tcPr>
            <w:tcW w:w="8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2"/>
              </w:rPr>
              <w:t>Fair Value at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PIK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Dividend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Net Realized</w:t>
            </w:r>
          </w:p>
        </w:tc>
        <w:tc>
          <w:tcPr>
            <w:tcW w:w="0" w:type="dxa"/>
            <w:vAlign w:val="bottom"/>
          </w:tcPr>
          <w:p>
            <w:pPr>
              <w:spacing w:after="0"/>
              <w:rPr>
                <w:sz w:val="1"/>
                <w:szCs w:val="1"/>
                <w:color w:val="auto"/>
              </w:rPr>
            </w:pPr>
          </w:p>
        </w:tc>
      </w:tr>
      <w:tr>
        <w:trPr>
          <w:trHeight w:val="131"/>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Appreciation /</w:t>
            </w: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Gains</w:t>
            </w:r>
          </w:p>
        </w:tc>
        <w:tc>
          <w:tcPr>
            <w:tcW w:w="0" w:type="dxa"/>
            <w:vAlign w:val="bottom"/>
          </w:tcPr>
          <w:p>
            <w:pPr>
              <w:spacing w:after="0"/>
              <w:rPr>
                <w:sz w:val="1"/>
                <w:szCs w:val="1"/>
                <w:color w:val="auto"/>
              </w:rPr>
            </w:pPr>
          </w:p>
        </w:tc>
      </w:tr>
      <w:tr>
        <w:trPr>
          <w:trHeight w:val="173"/>
        </w:trPr>
        <w:tc>
          <w:tcPr>
            <w:tcW w:w="1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September 30, 2021</w:t>
            </w:r>
          </w:p>
        </w:tc>
        <w:tc>
          <w:tcPr>
            <w:tcW w:w="220" w:type="dxa"/>
            <w:vAlign w:val="bottom"/>
          </w:tcPr>
          <w:p>
            <w:pPr>
              <w:spacing w:after="0"/>
              <w:rPr>
                <w:sz w:val="15"/>
                <w:szCs w:val="15"/>
                <w:color w:val="auto"/>
              </w:rPr>
            </w:pPr>
          </w:p>
        </w:tc>
        <w:tc>
          <w:tcPr>
            <w:tcW w:w="7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w w:val="96"/>
              </w:rPr>
              <w:t>Reductions</w:t>
            </w:r>
          </w:p>
        </w:tc>
        <w:tc>
          <w:tcPr>
            <w:tcW w:w="8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(Depreciation)</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March 31, 2022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(Losses)</w:t>
            </w:r>
          </w:p>
        </w:tc>
        <w:tc>
          <w:tcPr>
            <w:tcW w:w="0" w:type="dxa"/>
            <w:vAlign w:val="bottom"/>
          </w:tcPr>
          <w:p>
            <w:pPr>
              <w:spacing w:after="0"/>
              <w:rPr>
                <w:sz w:val="1"/>
                <w:szCs w:val="1"/>
                <w:color w:val="auto"/>
              </w:rPr>
            </w:pPr>
          </w:p>
        </w:tc>
      </w:tr>
      <w:tr>
        <w:trPr>
          <w:trHeight w:val="162"/>
        </w:trPr>
        <w:tc>
          <w:tcPr>
            <w:tcW w:w="19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12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114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spacing w:after="0"/>
              <w:rPr>
                <w:sz w:val="14"/>
                <w:szCs w:val="14"/>
                <w:color w:val="auto"/>
              </w:rPr>
            </w:pPr>
          </w:p>
        </w:tc>
        <w:tc>
          <w:tcPr>
            <w:tcW w:w="60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74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88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600" w:type="dxa"/>
            <w:vAlign w:val="bottom"/>
            <w:tcBorders>
              <w:top w:val="single" w:sz="8" w:color="auto"/>
            </w:tcBorders>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600" w:type="dxa"/>
            <w:vAlign w:val="bottom"/>
            <w:tcBorders>
              <w:top w:val="single" w:sz="8" w:color="auto"/>
            </w:tcBorders>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620" w:type="dxa"/>
            <w:vAlign w:val="bottom"/>
            <w:tcBorders>
              <w:top w:val="single" w:sz="8" w:color="auto"/>
            </w:tcBorders>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AKW Holdings Limited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41,379</w:t>
            </w:r>
          </w:p>
        </w:tc>
        <w:tc>
          <w:tcPr>
            <w:tcW w:w="3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(570 )</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Mailsouth Inc.</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22,100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(11,611 )</w:t>
            </w:r>
          </w:p>
        </w:tc>
        <w:tc>
          <w:tcPr>
            <w:tcW w:w="8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11,353</w:t>
            </w: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PennantPark Senior Loan Fund, LLC</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105,314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(765 )</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124,212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PT Networks, LLC</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134,125</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9,917</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77"/>
              <w:spacing w:after="0"/>
              <w:rPr>
                <w:sz w:val="20"/>
                <w:szCs w:val="20"/>
                <w:color w:val="auto"/>
              </w:rPr>
            </w:pPr>
            <w:r>
              <w:rPr>
                <w:rFonts w:ascii="Times New Roman" w:cs="Times New Roman" w:eastAsia="Times New Roman" w:hAnsi="Times New Roman"/>
                <w:sz w:val="13"/>
                <w:szCs w:val="13"/>
                <w:color w:val="auto"/>
              </w:rPr>
              <w:t>(234,974 )</w:t>
            </w:r>
          </w:p>
        </w:tc>
        <w:tc>
          <w:tcPr>
            <w:tcW w:w="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90,933</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2,674</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140,898</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RAM Energy LLC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9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1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384,628</w:t>
            </w:r>
          </w:p>
        </w:tc>
        <w:tc>
          <w:tcPr>
            <w:tcW w:w="22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40,846</w:t>
            </w:r>
          </w:p>
        </w:tc>
        <w:tc>
          <w:tcPr>
            <w:tcW w:w="2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(234,974</w:t>
            </w:r>
          </w:p>
        </w:tc>
        <w:tc>
          <w:tcPr>
            <w:tcW w:w="200" w:type="dxa"/>
            <w:vAlign w:val="bottom"/>
            <w:tcBorders>
              <w:bottom w:val="single" w:sz="8" w:color="CCECFF"/>
            </w:tcBorders>
            <w:shd w:val="clear" w:color="auto" w:fill="CCEC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85,139</w:t>
            </w: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275,640</w:t>
            </w:r>
          </w:p>
        </w:tc>
        <w:tc>
          <w:tcPr>
            <w:tcW w:w="1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4,609</w:t>
            </w:r>
          </w:p>
        </w:tc>
        <w:tc>
          <w:tcPr>
            <w:tcW w:w="1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16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4,235</w:t>
            </w:r>
          </w:p>
        </w:tc>
        <w:tc>
          <w:tcPr>
            <w:tcW w:w="16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140,898</w:t>
            </w:r>
          </w:p>
        </w:tc>
        <w:tc>
          <w:tcPr>
            <w:tcW w:w="6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ETX Energy, LLC</w:t>
            </w:r>
          </w:p>
        </w:tc>
        <w:tc>
          <w:tcPr>
            <w:tcW w:w="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C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CFF"/>
          </w:tcPr>
          <w:p>
            <w:pPr>
              <w:jc w:val="right"/>
              <w:ind w:right="77"/>
              <w:spacing w:after="0"/>
              <w:rPr>
                <w:sz w:val="20"/>
                <w:szCs w:val="20"/>
                <w:color w:val="auto"/>
              </w:rPr>
            </w:pPr>
            <w:r>
              <w:rPr>
                <w:rFonts w:ascii="Times New Roman" w:cs="Times New Roman" w:eastAsia="Times New Roman" w:hAnsi="Times New Roman"/>
                <w:sz w:val="13"/>
                <w:szCs w:val="13"/>
                <w:color w:val="auto"/>
              </w:rPr>
              <w:t>(31,274 )</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31,274</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(31,274 )</w:t>
            </w: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MidOcean JF Holdings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50,161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(13,431 )</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36,730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Corp.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960" w:type="dxa"/>
            <w:vAlign w:val="bottom"/>
            <w:shd w:val="clear" w:color="auto" w:fill="CCECFF"/>
          </w:tcPr>
          <w:p>
            <w:pPr>
              <w:ind w:left="140"/>
              <w:spacing w:after="0" w:line="108" w:lineRule="exact"/>
              <w:rPr>
                <w:sz w:val="20"/>
                <w:szCs w:val="20"/>
                <w:color w:val="auto"/>
              </w:rPr>
            </w:pPr>
            <w:r>
              <w:rPr>
                <w:rFonts w:ascii="Times New Roman" w:cs="Times New Roman" w:eastAsia="Times New Roman" w:hAnsi="Times New Roman"/>
                <w:sz w:val="12"/>
                <w:szCs w:val="12"/>
                <w:color w:val="auto"/>
              </w:rPr>
              <w:t>Total Non-Controlled</w:t>
            </w:r>
          </w:p>
        </w:tc>
        <w:tc>
          <w:tcPr>
            <w:tcW w:w="120" w:type="dxa"/>
            <w:vAlign w:val="bottom"/>
            <w:vMerge w:val="restart"/>
            <w:shd w:val="clear" w:color="auto" w:fill="CCECFF"/>
          </w:tcPr>
          <w:p>
            <w:pPr>
              <w:spacing w:after="0"/>
              <w:rPr>
                <w:sz w:val="9"/>
                <w:szCs w:val="9"/>
                <w:color w:val="auto"/>
              </w:rPr>
            </w:pP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50,161</w:t>
            </w:r>
          </w:p>
        </w:tc>
        <w:tc>
          <w:tcPr>
            <w:tcW w:w="220" w:type="dxa"/>
            <w:vAlign w:val="bottom"/>
            <w:vMerge w:val="restart"/>
            <w:shd w:val="clear" w:color="auto" w:fill="CCECFF"/>
          </w:tcPr>
          <w:p>
            <w:pPr>
              <w:spacing w:after="0"/>
              <w:rPr>
                <w:sz w:val="9"/>
                <w:szCs w:val="9"/>
                <w:color w:val="auto"/>
              </w:rPr>
            </w:pPr>
          </w:p>
        </w:tc>
        <w:tc>
          <w:tcPr>
            <w:tcW w:w="160" w:type="dxa"/>
            <w:vAlign w:val="bottom"/>
            <w:vMerge w:val="restart"/>
            <w:shd w:val="clear" w:color="auto" w:fill="CCEC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CECFF"/>
          </w:tcPr>
          <w:p>
            <w:pPr>
              <w:spacing w:after="0"/>
              <w:rPr>
                <w:sz w:val="9"/>
                <w:szCs w:val="9"/>
                <w:color w:val="auto"/>
              </w:rPr>
            </w:pP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shd w:val="clear" w:color="auto" w:fill="CCECFF"/>
          </w:tcPr>
          <w:p>
            <w:pPr>
              <w:jc w:val="right"/>
              <w:ind w:right="77"/>
              <w:spacing w:after="0"/>
              <w:rPr>
                <w:sz w:val="20"/>
                <w:szCs w:val="20"/>
                <w:color w:val="auto"/>
              </w:rPr>
            </w:pPr>
            <w:r>
              <w:rPr>
                <w:rFonts w:ascii="Times New Roman" w:cs="Times New Roman" w:eastAsia="Times New Roman" w:hAnsi="Times New Roman"/>
                <w:sz w:val="13"/>
                <w:szCs w:val="13"/>
                <w:color w:val="auto"/>
              </w:rPr>
              <w:t>(31,274 )</w:t>
            </w: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17,842</w:t>
            </w:r>
          </w:p>
        </w:tc>
        <w:tc>
          <w:tcPr>
            <w:tcW w:w="200" w:type="dxa"/>
            <w:vAlign w:val="bottom"/>
            <w:shd w:val="clear" w:color="auto" w:fill="CCECFF"/>
          </w:tcPr>
          <w:p>
            <w:pPr>
              <w:spacing w:after="0"/>
              <w:rPr>
                <w:sz w:val="9"/>
                <w:szCs w:val="9"/>
                <w:color w:val="auto"/>
              </w:rPr>
            </w:pPr>
          </w:p>
        </w:tc>
        <w:tc>
          <w:tcPr>
            <w:tcW w:w="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36,730</w:t>
            </w:r>
          </w:p>
        </w:tc>
        <w:tc>
          <w:tcPr>
            <w:tcW w:w="26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(31,274 )</w:t>
            </w:r>
          </w:p>
        </w:tc>
        <w:tc>
          <w:tcPr>
            <w:tcW w:w="0" w:type="dxa"/>
            <w:vAlign w:val="bottom"/>
          </w:tcPr>
          <w:p>
            <w:pPr>
              <w:spacing w:after="0"/>
              <w:rPr>
                <w:sz w:val="1"/>
                <w:szCs w:val="1"/>
                <w:color w:val="auto"/>
              </w:rPr>
            </w:pPr>
          </w:p>
        </w:tc>
      </w:tr>
      <w:tr>
        <w:trPr>
          <w:trHeight w:val="170"/>
        </w:trPr>
        <w:tc>
          <w:tcPr>
            <w:tcW w:w="19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vMerge w:val="continue"/>
            <w:shd w:val="clear" w:color="auto" w:fill="CCECFF"/>
          </w:tcPr>
          <w:p>
            <w:pPr>
              <w:spacing w:after="0"/>
              <w:rPr>
                <w:sz w:val="14"/>
                <w:szCs w:val="14"/>
                <w:color w:val="auto"/>
              </w:rPr>
            </w:pPr>
          </w:p>
        </w:tc>
        <w:tc>
          <w:tcPr>
            <w:tcW w:w="100" w:type="dxa"/>
            <w:vAlign w:val="bottom"/>
            <w:vMerge w:val="continue"/>
            <w:shd w:val="clear" w:color="auto" w:fill="CCECFF"/>
          </w:tcPr>
          <w:p>
            <w:pPr>
              <w:spacing w:after="0"/>
              <w:rPr>
                <w:sz w:val="14"/>
                <w:szCs w:val="14"/>
                <w:color w:val="auto"/>
              </w:rPr>
            </w:pPr>
          </w:p>
        </w:tc>
        <w:tc>
          <w:tcPr>
            <w:tcW w:w="1140" w:type="dxa"/>
            <w:vAlign w:val="bottom"/>
            <w:vMerge w:val="continue"/>
            <w:shd w:val="clear" w:color="auto" w:fill="CCECFF"/>
          </w:tcPr>
          <w:p>
            <w:pPr>
              <w:spacing w:after="0"/>
              <w:rPr>
                <w:sz w:val="14"/>
                <w:szCs w:val="14"/>
                <w:color w:val="auto"/>
              </w:rPr>
            </w:pPr>
          </w:p>
        </w:tc>
        <w:tc>
          <w:tcPr>
            <w:tcW w:w="220" w:type="dxa"/>
            <w:vAlign w:val="bottom"/>
            <w:vMerge w:val="continue"/>
            <w:shd w:val="clear" w:color="auto" w:fill="CCECFF"/>
          </w:tcPr>
          <w:p>
            <w:pPr>
              <w:spacing w:after="0"/>
              <w:rPr>
                <w:sz w:val="14"/>
                <w:szCs w:val="14"/>
                <w:color w:val="auto"/>
              </w:rPr>
            </w:pPr>
          </w:p>
        </w:tc>
        <w:tc>
          <w:tcPr>
            <w:tcW w:w="160" w:type="dxa"/>
            <w:vAlign w:val="bottom"/>
            <w:vMerge w:val="continue"/>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220" w:type="dxa"/>
            <w:vAlign w:val="bottom"/>
            <w:vMerge w:val="continue"/>
            <w:shd w:val="clear" w:color="auto" w:fill="CCECFF"/>
          </w:tcPr>
          <w:p>
            <w:pPr>
              <w:spacing w:after="0"/>
              <w:rPr>
                <w:sz w:val="14"/>
                <w:szCs w:val="14"/>
                <w:color w:val="auto"/>
              </w:rPr>
            </w:pPr>
          </w:p>
        </w:tc>
        <w:tc>
          <w:tcPr>
            <w:tcW w:w="100" w:type="dxa"/>
            <w:vAlign w:val="bottom"/>
            <w:vMerge w:val="continue"/>
            <w:shd w:val="clear" w:color="auto" w:fill="CCECFF"/>
          </w:tcPr>
          <w:p>
            <w:pPr>
              <w:spacing w:after="0"/>
              <w:rPr>
                <w:sz w:val="14"/>
                <w:szCs w:val="14"/>
                <w:color w:val="auto"/>
              </w:rPr>
            </w:pPr>
          </w:p>
        </w:tc>
        <w:tc>
          <w:tcPr>
            <w:tcW w:w="940" w:type="dxa"/>
            <w:vAlign w:val="bottom"/>
            <w:gridSpan w:val="2"/>
            <w:vMerge w:val="continue"/>
            <w:shd w:val="clear" w:color="auto" w:fill="CCECFF"/>
          </w:tcPr>
          <w:p>
            <w:pPr>
              <w:spacing w:after="0"/>
              <w:rPr>
                <w:sz w:val="14"/>
                <w:szCs w:val="14"/>
                <w:color w:val="auto"/>
              </w:rPr>
            </w:pPr>
          </w:p>
        </w:tc>
        <w:tc>
          <w:tcPr>
            <w:tcW w:w="80" w:type="dxa"/>
            <w:vAlign w:val="bottom"/>
            <w:vMerge w:val="continue"/>
            <w:shd w:val="clear" w:color="auto" w:fill="CCECFF"/>
          </w:tcPr>
          <w:p>
            <w:pPr>
              <w:spacing w:after="0"/>
              <w:rPr>
                <w:sz w:val="14"/>
                <w:szCs w:val="14"/>
                <w:color w:val="auto"/>
              </w:rPr>
            </w:pPr>
          </w:p>
        </w:tc>
        <w:tc>
          <w:tcPr>
            <w:tcW w:w="880" w:type="dxa"/>
            <w:vAlign w:val="bottom"/>
            <w:vMerge w:val="continue"/>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vMerge w:val="continue"/>
            <w:shd w:val="clear" w:color="auto" w:fill="CCECFF"/>
          </w:tcPr>
          <w:p>
            <w:pPr>
              <w:spacing w:after="0"/>
              <w:rPr>
                <w:sz w:val="14"/>
                <w:szCs w:val="14"/>
                <w:color w:val="auto"/>
              </w:rPr>
            </w:pPr>
          </w:p>
        </w:tc>
        <w:tc>
          <w:tcPr>
            <w:tcW w:w="800" w:type="dxa"/>
            <w:vAlign w:val="bottom"/>
            <w:vMerge w:val="continue"/>
            <w:shd w:val="clear" w:color="auto" w:fill="CCECFF"/>
          </w:tcPr>
          <w:p>
            <w:pPr>
              <w:spacing w:after="0"/>
              <w:rPr>
                <w:sz w:val="14"/>
                <w:szCs w:val="14"/>
                <w:color w:val="auto"/>
              </w:rPr>
            </w:pPr>
          </w:p>
        </w:tc>
        <w:tc>
          <w:tcPr>
            <w:tcW w:w="260" w:type="dxa"/>
            <w:vAlign w:val="bottom"/>
            <w:gridSpan w:val="2"/>
            <w:vMerge w:val="continue"/>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260" w:type="dxa"/>
            <w:vAlign w:val="bottom"/>
            <w:gridSpan w:val="2"/>
            <w:vMerge w:val="continue"/>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240" w:type="dxa"/>
            <w:vAlign w:val="bottom"/>
            <w:gridSpan w:val="2"/>
            <w:vMerge w:val="continue"/>
            <w:shd w:val="clear" w:color="auto" w:fill="CCECFF"/>
          </w:tcPr>
          <w:p>
            <w:pPr>
              <w:spacing w:after="0"/>
              <w:rPr>
                <w:sz w:val="14"/>
                <w:szCs w:val="14"/>
                <w:color w:val="auto"/>
              </w:rPr>
            </w:pPr>
          </w:p>
        </w:tc>
        <w:tc>
          <w:tcPr>
            <w:tcW w:w="620" w:type="dxa"/>
            <w:vAlign w:val="bottom"/>
            <w:vMerge w:val="continue"/>
            <w:shd w:val="clear" w:color="auto" w:fill="CCECFF"/>
          </w:tcPr>
          <w:p>
            <w:pPr>
              <w:spacing w:after="0"/>
              <w:rPr>
                <w:sz w:val="14"/>
                <w:szCs w:val="14"/>
                <w:color w:val="auto"/>
              </w:rPr>
            </w:pPr>
          </w:p>
        </w:tc>
        <w:tc>
          <w:tcPr>
            <w:tcW w:w="240" w:type="dxa"/>
            <w:vAlign w:val="bottom"/>
            <w:gridSpan w:val="2"/>
            <w:vMerge w:val="continue"/>
            <w:shd w:val="clear" w:color="auto" w:fill="CCECFF"/>
          </w:tcPr>
          <w:p>
            <w:pPr>
              <w:spacing w:after="0"/>
              <w:rPr>
                <w:sz w:val="14"/>
                <w:szCs w:val="14"/>
                <w:color w:val="auto"/>
              </w:rPr>
            </w:pPr>
          </w:p>
        </w:tc>
        <w:tc>
          <w:tcPr>
            <w:tcW w:w="82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96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Controlled and</w:t>
            </w:r>
          </w:p>
        </w:tc>
        <w:tc>
          <w:tcPr>
            <w:tcW w:w="120" w:type="dxa"/>
            <w:vAlign w:val="bottom"/>
            <w:vMerge w:val="restart"/>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434,790</w:t>
            </w:r>
          </w:p>
        </w:tc>
        <w:tc>
          <w:tcPr>
            <w:tcW w:w="220" w:type="dxa"/>
            <w:vAlign w:val="bottom"/>
            <w:vMerge w:val="restart"/>
          </w:tcPr>
          <w:p>
            <w:pPr>
              <w:spacing w:after="0"/>
              <w:rPr>
                <w:sz w:val="9"/>
                <w:szCs w:val="9"/>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40,846</w:t>
            </w:r>
          </w:p>
        </w:tc>
        <w:tc>
          <w:tcPr>
            <w:tcW w:w="220" w:type="dxa"/>
            <w:vAlign w:val="bottom"/>
            <w:vMerge w:val="restart"/>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(266,248 )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102,982</w:t>
            </w:r>
          </w:p>
        </w:tc>
        <w:tc>
          <w:tcPr>
            <w:tcW w:w="20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312,370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4,609</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4,235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109,624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1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-779145</wp:posOffset>
            </wp:positionV>
            <wp:extent cx="596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-779145</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-779145</wp:posOffset>
            </wp:positionV>
            <wp:extent cx="431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-779145</wp:posOffset>
            </wp:positionV>
            <wp:extent cx="431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-779145</wp:posOffset>
            </wp:positionV>
            <wp:extent cx="254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-779145</wp:posOffset>
            </wp:positionV>
            <wp:extent cx="254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-779145</wp:posOffset>
            </wp:positionV>
            <wp:extent cx="260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-779145</wp:posOffset>
            </wp:positionV>
            <wp:extent cx="260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-779145</wp:posOffset>
            </wp:positionV>
            <wp:extent cx="342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-196850</wp:posOffset>
            </wp:positionV>
            <wp:extent cx="596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-196850</wp:posOffset>
            </wp:positionV>
            <wp:extent cx="603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-196850</wp:posOffset>
            </wp:positionV>
            <wp:extent cx="431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-196850</wp:posOffset>
            </wp:positionV>
            <wp:extent cx="431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-196850</wp:posOffset>
            </wp:positionV>
            <wp:extent cx="254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-196850</wp:posOffset>
            </wp:positionV>
            <wp:extent cx="254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-196850</wp:posOffset>
            </wp:positionV>
            <wp:extent cx="260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-196850</wp:posOffset>
            </wp:positionV>
            <wp:extent cx="260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-196850</wp:posOffset>
            </wp:positionV>
            <wp:extent cx="342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6"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Includes PIK.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1912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380" w:right="440" w:hanging="372"/>
        <w:spacing w:after="0" w:line="244" w:lineRule="auto"/>
        <w:tabs>
          <w:tab w:leader="none" w:pos="38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decisions regarding PSLF must be submitted to PSLF’s four-person Member Designees’ Committee, which is comprised of two members appointed by each of us and Pantheon. Because management of PSLF is shared equally between us and Pantheon, we do not believe we control PSLF for purposes of the 1940 Act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in net assets resulting from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40" w:type="dxa"/>
            <w:vAlign w:val="bottom"/>
          </w:tcPr>
          <w:p>
            <w:pPr>
              <w:spacing w:after="0"/>
              <w:rPr>
                <w:sz w:val="16"/>
                <w:szCs w:val="16"/>
                <w:color w:val="auto"/>
              </w:rPr>
            </w:pPr>
          </w:p>
        </w:tc>
      </w:tr>
      <w:tr>
        <w:trPr>
          <w:trHeight w:val="169"/>
        </w:trPr>
        <w:tc>
          <w:tcPr>
            <w:tcW w:w="5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4"/>
                <w:szCs w:val="14"/>
                <w:color w:val="auto"/>
              </w:rPr>
            </w:pPr>
          </w:p>
        </w:tc>
      </w:tr>
      <w:tr>
        <w:trPr>
          <w:trHeight w:val="169"/>
        </w:trPr>
        <w:tc>
          <w:tcPr>
            <w:tcW w:w="5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Numerator for net increase (decrease) in net assets resulting from operations</w:t>
            </w:r>
          </w:p>
        </w:tc>
        <w:tc>
          <w:tcPr>
            <w:tcW w:w="26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220" w:type="dxa"/>
            <w:vAlign w:val="bottom"/>
            <w:shd w:val="clear" w:color="auto" w:fill="CCECFF"/>
          </w:tcPr>
          <w:p>
            <w:pPr>
              <w:spacing w:after="0"/>
              <w:rPr>
                <w:sz w:val="14"/>
                <w:szCs w:val="14"/>
                <w:color w:val="auto"/>
              </w:rPr>
            </w:pP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38,495</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28,668</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109,629</w:t>
            </w:r>
          </w:p>
        </w:tc>
        <w:tc>
          <w:tcPr>
            <w:tcW w:w="40" w:type="dxa"/>
            <w:vAlign w:val="bottom"/>
            <w:shd w:val="clear" w:color="auto" w:fill="CCECFF"/>
          </w:tcPr>
          <w:p>
            <w:pPr>
              <w:spacing w:after="0"/>
              <w:rPr>
                <w:sz w:val="14"/>
                <w:szCs w:val="14"/>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66,747,256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66,897,817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40" w:type="dxa"/>
            <w:vAlign w:val="bottom"/>
          </w:tcPr>
          <w:p>
            <w:pPr>
              <w:spacing w:after="0"/>
              <w:rPr>
                <w:sz w:val="15"/>
                <w:szCs w:val="15"/>
                <w:color w:val="auto"/>
              </w:rPr>
            </w:pPr>
          </w:p>
        </w:tc>
      </w:tr>
      <w:tr>
        <w:trPr>
          <w:trHeight w:val="175"/>
        </w:trPr>
        <w:tc>
          <w:tcPr>
            <w:tcW w:w="5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Basic and diluted net increase (decrease) in net assets per share resulting from operations</w:t>
            </w:r>
          </w:p>
        </w:tc>
        <w:tc>
          <w:tcPr>
            <w:tcW w:w="26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52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46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46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40" w:type="dxa"/>
            <w:vAlign w:val="bottom"/>
            <w:shd w:val="clear" w:color="auto" w:fill="CCECFF"/>
          </w:tcPr>
          <w:p>
            <w:pPr>
              <w:spacing w:after="0"/>
              <w:rPr>
                <w:sz w:val="15"/>
                <w:szCs w:val="15"/>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CASH AND CASH EQUIVALENTS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Our portfolio may consist of temporary investments in U.S. Treasury Bills</w:t>
      </w:r>
    </w:p>
    <w:p>
      <w:pPr>
        <w:spacing w:after="0" w:line="17"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w:t>
      </w:r>
    </w:p>
    <w:p>
      <w:pPr>
        <w:spacing w:after="0" w:line="1" w:lineRule="exact"/>
        <w:rPr>
          <w:sz w:val="20"/>
          <w:szCs w:val="20"/>
          <w:color w:val="auto"/>
        </w:rPr>
      </w:pPr>
    </w:p>
    <w:p>
      <w:pPr>
        <w:ind w:right="340"/>
        <w:spacing w:after="0" w:line="231" w:lineRule="auto"/>
        <w:rPr>
          <w:sz w:val="20"/>
          <w:szCs w:val="20"/>
          <w:color w:val="auto"/>
        </w:rPr>
      </w:pPr>
      <w:r>
        <w:rPr>
          <w:rFonts w:ascii="Times New Roman" w:cs="Times New Roman" w:eastAsia="Times New Roman" w:hAnsi="Times New Roman"/>
          <w:sz w:val="14"/>
          <w:szCs w:val="14"/>
          <w:color w:val="auto"/>
        </w:rPr>
        <w:t>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Facilities, or utilizing repurchase agreements or other balance sheet</w:t>
      </w:r>
    </w:p>
    <w:p>
      <w:pPr>
        <w:spacing w:after="0" w:line="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4"/>
          <w:szCs w:val="14"/>
          <w:color w:val="auto"/>
        </w:rPr>
        <w:t>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2022 and September 30, 2021, cash and cash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equivalents consisted of money market funds in the amounts of $26.3 million and $20.4 million at fair value, respectively.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FINANCIAL HIGHLIGHTS</w:t>
            </w: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6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financial highlights ($ in thousands, except share and per share data):</w:t>
            </w: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8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160" w:type="dxa"/>
            <w:vAlign w:val="bottom"/>
            <w:vMerge w:val="restart"/>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78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18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beginning of period</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42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8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(1)</w:t>
            </w:r>
          </w:p>
        </w:tc>
        <w:tc>
          <w:tcPr>
            <w:tcW w:w="118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4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change in realized and unrealized (loss) gain </w:t>
            </w:r>
            <w:r>
              <w:rPr>
                <w:rFonts w:ascii="Times New Roman" w:cs="Times New Roman" w:eastAsia="Times New Roman" w:hAnsi="Times New Roman"/>
                <w:sz w:val="19"/>
                <w:szCs w:val="19"/>
                <w:color w:val="auto"/>
                <w:vertAlign w:val="superscript"/>
              </w:rPr>
              <w:t>(1)</w:t>
            </w:r>
          </w:p>
        </w:tc>
        <w:tc>
          <w:tcPr>
            <w:tcW w:w="1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4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Net increase in net assets resulting from operations </w:t>
            </w:r>
            <w:r>
              <w:rPr>
                <w:rFonts w:ascii="Times New Roman" w:cs="Times New Roman" w:eastAsia="Times New Roman" w:hAnsi="Times New Roman"/>
                <w:sz w:val="19"/>
                <w:szCs w:val="19"/>
                <w:color w:val="auto"/>
                <w:vertAlign w:val="superscript"/>
              </w:rPr>
              <w:t>(1)</w:t>
            </w:r>
          </w:p>
        </w:tc>
        <w:tc>
          <w:tcPr>
            <w:tcW w:w="118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4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9"/>
                <w:szCs w:val="19"/>
                <w:color w:val="auto"/>
                <w:vertAlign w:val="superscript"/>
              </w:rPr>
              <w:t>(1), (2)</w:t>
            </w:r>
          </w:p>
        </w:tc>
        <w:tc>
          <w:tcPr>
            <w:tcW w:w="1180" w:type="dxa"/>
            <w:vAlign w:val="bottom"/>
          </w:tcPr>
          <w:p>
            <w:pPr>
              <w:spacing w:after="0"/>
              <w:rPr>
                <w:sz w:val="15"/>
                <w:szCs w:val="15"/>
                <w:color w:val="auto"/>
              </w:rPr>
            </w:pPr>
          </w:p>
        </w:tc>
        <w:tc>
          <w:tcPr>
            <w:tcW w:w="11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(0.26 )</w:t>
            </w:r>
          </w:p>
        </w:tc>
        <w:tc>
          <w:tcPr>
            <w:tcW w:w="760" w:type="dxa"/>
            <w:vAlign w:val="bottom"/>
          </w:tcPr>
          <w:p>
            <w:pPr>
              <w:spacing w:after="0"/>
              <w:rPr>
                <w:sz w:val="15"/>
                <w:szCs w:val="15"/>
                <w:color w:val="auto"/>
              </w:rPr>
            </w:pPr>
          </w:p>
        </w:tc>
        <w:tc>
          <w:tcPr>
            <w:tcW w:w="1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(0.24 )</w:t>
            </w:r>
          </w:p>
        </w:tc>
        <w:tc>
          <w:tcPr>
            <w:tcW w:w="0" w:type="dxa"/>
            <w:vAlign w:val="bottom"/>
          </w:tcPr>
          <w:p>
            <w:pPr>
              <w:spacing w:after="0"/>
              <w:rPr>
                <w:sz w:val="1"/>
                <w:szCs w:val="1"/>
                <w:color w:val="auto"/>
              </w:rPr>
            </w:pPr>
          </w:p>
        </w:tc>
      </w:tr>
      <w:tr>
        <w:trPr>
          <w:trHeight w:val="176"/>
        </w:trPr>
        <w:tc>
          <w:tcPr>
            <w:tcW w:w="678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Repurchase of common stock </w:t>
            </w:r>
            <w:r>
              <w:rPr>
                <w:rFonts w:ascii="Times New Roman" w:cs="Times New Roman" w:eastAsia="Times New Roman" w:hAnsi="Times New Roman"/>
                <w:sz w:val="19"/>
                <w:szCs w:val="19"/>
                <w:color w:val="auto"/>
                <w:vertAlign w:val="superscript"/>
              </w:rPr>
              <w:t>(1)</w:t>
            </w:r>
          </w:p>
        </w:tc>
        <w:tc>
          <w:tcPr>
            <w:tcW w:w="118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4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3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78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4"/>
                <w:szCs w:val="14"/>
                <w:color w:val="auto"/>
              </w:rPr>
              <w:t>Net asset value, end of period</w:t>
            </w:r>
          </w:p>
        </w:tc>
        <w:tc>
          <w:tcPr>
            <w:tcW w:w="118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420" w:type="dxa"/>
            <w:vAlign w:val="bottom"/>
            <w:tcBorders>
              <w:top w:val="single" w:sz="8" w:color="CCECFF"/>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8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Per share market value, end of period</w:t>
            </w:r>
          </w:p>
        </w:tc>
        <w:tc>
          <w:tcPr>
            <w:tcW w:w="1180" w:type="dxa"/>
            <w:vAlign w:val="bottom"/>
            <w:tcBorders>
              <w:bottom w:val="single" w:sz="8" w:color="auto"/>
            </w:tcBorders>
            <w:shd w:val="clear" w:color="auto" w:fill="CCECFF"/>
          </w:tcPr>
          <w:p>
            <w:pPr>
              <w:jc w:val="right"/>
              <w:ind w:right="10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7.78</w:t>
            </w:r>
          </w:p>
        </w:tc>
        <w:tc>
          <w:tcPr>
            <w:tcW w:w="420" w:type="dxa"/>
            <w:vAlign w:val="bottom"/>
            <w:tcBorders>
              <w:bottom w:val="single" w:sz="8" w:color="CCECFF"/>
            </w:tcBorders>
            <w:shd w:val="clear" w:color="auto" w:fill="CCECFF"/>
          </w:tcPr>
          <w:p>
            <w:pPr>
              <w:spacing w:after="0"/>
              <w:rPr>
                <w:sz w:val="17"/>
                <w:szCs w:val="17"/>
                <w:color w:val="auto"/>
              </w:rPr>
            </w:pPr>
          </w:p>
        </w:tc>
        <w:tc>
          <w:tcPr>
            <w:tcW w:w="760" w:type="dxa"/>
            <w:vAlign w:val="bottom"/>
            <w:tcBorders>
              <w:bottom w:val="single" w:sz="8" w:color="auto"/>
            </w:tcBorders>
            <w:shd w:val="clear" w:color="auto" w:fill="CCECFF"/>
          </w:tcPr>
          <w:p>
            <w:pPr>
              <w:jc w:val="right"/>
              <w:ind w:right="5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5.65</w:t>
            </w:r>
          </w:p>
        </w:tc>
        <w:tc>
          <w:tcPr>
            <w:tcW w:w="1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return</w:t>
            </w:r>
            <w:r>
              <w:rPr>
                <w:rFonts w:ascii="Times New Roman" w:cs="Times New Roman" w:eastAsia="Times New Roman" w:hAnsi="Times New Roman"/>
                <w:sz w:val="18"/>
                <w:szCs w:val="18"/>
                <w:color w:val="auto"/>
                <w:vertAlign w:val="superscript"/>
              </w:rPr>
              <w:t>* (3)</w:t>
            </w:r>
          </w:p>
        </w:tc>
        <w:tc>
          <w:tcPr>
            <w:tcW w:w="1180" w:type="dxa"/>
            <w:vAlign w:val="bottom"/>
          </w:tcPr>
          <w:p>
            <w:pPr>
              <w:spacing w:after="0"/>
              <w:rPr>
                <w:sz w:val="13"/>
                <w:szCs w:val="13"/>
                <w:color w:val="auto"/>
              </w:rPr>
            </w:pPr>
          </w:p>
        </w:tc>
        <w:tc>
          <w:tcPr>
            <w:tcW w:w="1180" w:type="dxa"/>
            <w:vAlign w:val="bottom"/>
            <w:gridSpan w:val="2"/>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rPr>
              <w:t>24.09 %</w:t>
            </w:r>
          </w:p>
        </w:tc>
        <w:tc>
          <w:tcPr>
            <w:tcW w:w="760" w:type="dxa"/>
            <w:vAlign w:val="bottom"/>
          </w:tcPr>
          <w:p>
            <w:pPr>
              <w:spacing w:after="0"/>
              <w:rPr>
                <w:sz w:val="13"/>
                <w:szCs w:val="13"/>
                <w:color w:val="auto"/>
              </w:rPr>
            </w:pPr>
          </w:p>
        </w:tc>
        <w:tc>
          <w:tcPr>
            <w:tcW w:w="1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85.65 %</w:t>
            </w:r>
          </w:p>
        </w:tc>
        <w:tc>
          <w:tcPr>
            <w:tcW w:w="0" w:type="dxa"/>
            <w:vAlign w:val="bottom"/>
          </w:tcPr>
          <w:p>
            <w:pPr>
              <w:spacing w:after="0"/>
              <w:rPr>
                <w:sz w:val="1"/>
                <w:szCs w:val="1"/>
                <w:color w:val="auto"/>
              </w:rPr>
            </w:pPr>
          </w:p>
        </w:tc>
      </w:tr>
      <w:tr>
        <w:trPr>
          <w:trHeight w:val="175"/>
        </w:trPr>
        <w:tc>
          <w:tcPr>
            <w:tcW w:w="6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180" w:type="dxa"/>
            <w:vAlign w:val="bottom"/>
            <w:tcBorders>
              <w:bottom w:val="single" w:sz="8" w:color="auto"/>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66,131,651</w:t>
            </w:r>
          </w:p>
        </w:tc>
        <w:tc>
          <w:tcPr>
            <w:tcW w:w="42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18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tcPr>
          <w:p>
            <w:pPr>
              <w:ind w:left="20"/>
              <w:spacing w:after="0" w:line="169" w:lineRule="exact"/>
              <w:rPr>
                <w:sz w:val="20"/>
                <w:szCs w:val="20"/>
                <w:color w:val="auto"/>
              </w:rPr>
            </w:pPr>
            <w:r>
              <w:rPr>
                <w:rFonts w:ascii="Times New Roman" w:cs="Times New Roman" w:eastAsia="Times New Roman" w:hAnsi="Times New Roman"/>
                <w:sz w:val="14"/>
                <w:szCs w:val="14"/>
                <w:b w:val="1"/>
                <w:bCs w:val="1"/>
                <w:color w:val="auto"/>
              </w:rPr>
              <w:t>Ratios</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4"/>
                <w:szCs w:val="14"/>
                <w:b w:val="1"/>
                <w:bCs w:val="1"/>
                <w:color w:val="auto"/>
              </w:rPr>
              <w:t xml:space="preserve"> / Supplemental Data:</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operating expenses to average net assets </w:t>
            </w:r>
            <w:r>
              <w:rPr>
                <w:rFonts w:ascii="Times New Roman" w:cs="Times New Roman" w:eastAsia="Times New Roman" w:hAnsi="Times New Roman"/>
                <w:sz w:val="19"/>
                <w:szCs w:val="19"/>
                <w:color w:val="auto"/>
                <w:vertAlign w:val="superscript"/>
              </w:rPr>
              <w:t>(4)</w:t>
            </w:r>
          </w:p>
        </w:tc>
        <w:tc>
          <w:tcPr>
            <w:tcW w:w="118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4.55 %</w:t>
            </w:r>
          </w:p>
        </w:tc>
        <w:tc>
          <w:tcPr>
            <w:tcW w:w="760" w:type="dxa"/>
            <w:vAlign w:val="bottom"/>
            <w:shd w:val="clear" w:color="auto" w:fill="CCECFF"/>
          </w:tcPr>
          <w:p>
            <w:pPr>
              <w:spacing w:after="0"/>
              <w:rPr>
                <w:sz w:val="15"/>
                <w:szCs w:val="15"/>
                <w:color w:val="auto"/>
              </w:rPr>
            </w:pP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0" w:type="dxa"/>
            <w:vAlign w:val="bottom"/>
          </w:tcPr>
          <w:p>
            <w:pPr>
              <w:spacing w:after="0"/>
              <w:rPr>
                <w:sz w:val="1"/>
                <w:szCs w:val="1"/>
                <w:color w:val="auto"/>
              </w:rPr>
            </w:pPr>
          </w:p>
        </w:tc>
      </w:tr>
      <w:tr>
        <w:trPr>
          <w:trHeight w:val="175"/>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debt related expenses to average net assets </w:t>
            </w:r>
            <w:r>
              <w:rPr>
                <w:rFonts w:ascii="Times New Roman" w:cs="Times New Roman" w:eastAsia="Times New Roman" w:hAnsi="Times New Roman"/>
                <w:sz w:val="19"/>
                <w:szCs w:val="19"/>
                <w:color w:val="auto"/>
                <w:vertAlign w:val="superscript"/>
              </w:rPr>
              <w:t>(5)</w:t>
            </w:r>
          </w:p>
        </w:tc>
        <w:tc>
          <w:tcPr>
            <w:tcW w:w="1180" w:type="dxa"/>
            <w:vAlign w:val="bottom"/>
          </w:tcPr>
          <w:p>
            <w:pPr>
              <w:spacing w:after="0"/>
              <w:rPr>
                <w:sz w:val="15"/>
                <w:szCs w:val="15"/>
                <w:color w:val="auto"/>
              </w:rPr>
            </w:pPr>
          </w:p>
        </w:tc>
        <w:tc>
          <w:tcPr>
            <w:tcW w:w="11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4.03 %</w:t>
            </w:r>
          </w:p>
        </w:tc>
        <w:tc>
          <w:tcPr>
            <w:tcW w:w="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3.47 %</w:t>
            </w: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9"/>
                <w:szCs w:val="19"/>
                <w:color w:val="auto"/>
                <w:vertAlign w:val="superscript"/>
              </w:rPr>
              <w:t>(5)</w:t>
            </w:r>
          </w:p>
        </w:tc>
        <w:tc>
          <w:tcPr>
            <w:tcW w:w="118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42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CFF"/>
          </w:tcPr>
          <w:p>
            <w:pPr>
              <w:spacing w:after="0"/>
              <w:rPr>
                <w:sz w:val="14"/>
                <w:szCs w:val="14"/>
                <w:color w:val="auto"/>
              </w:rPr>
            </w:pP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net investment income to average net assets </w:t>
            </w:r>
            <w:r>
              <w:rPr>
                <w:rFonts w:ascii="Times New Roman" w:cs="Times New Roman" w:eastAsia="Times New Roman" w:hAnsi="Times New Roman"/>
                <w:sz w:val="19"/>
                <w:szCs w:val="19"/>
                <w:color w:val="auto"/>
                <w:vertAlign w:val="superscript"/>
              </w:rPr>
              <w:t>(5)</w:t>
            </w:r>
          </w:p>
        </w:tc>
        <w:tc>
          <w:tcPr>
            <w:tcW w:w="1180" w:type="dxa"/>
            <w:vAlign w:val="bottom"/>
          </w:tcPr>
          <w:p>
            <w:pPr>
              <w:spacing w:after="0"/>
              <w:rPr>
                <w:sz w:val="15"/>
                <w:szCs w:val="15"/>
                <w:color w:val="auto"/>
              </w:rPr>
            </w:pPr>
          </w:p>
        </w:tc>
        <w:tc>
          <w:tcPr>
            <w:tcW w:w="11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7.30 %</w:t>
            </w:r>
          </w:p>
        </w:tc>
        <w:tc>
          <w:tcPr>
            <w:tcW w:w="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0" w:type="dxa"/>
            <w:vAlign w:val="bottom"/>
          </w:tcPr>
          <w:p>
            <w:pPr>
              <w:spacing w:after="0"/>
              <w:rPr>
                <w:sz w:val="1"/>
                <w:szCs w:val="1"/>
                <w:color w:val="auto"/>
              </w:rPr>
            </w:pPr>
          </w:p>
        </w:tc>
      </w:tr>
      <w:tr>
        <w:trPr>
          <w:trHeight w:val="175"/>
        </w:trPr>
        <w:tc>
          <w:tcPr>
            <w:tcW w:w="6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180" w:type="dxa"/>
            <w:vAlign w:val="bottom"/>
            <w:tcBorders>
              <w:bottom w:val="single" w:sz="8" w:color="auto"/>
            </w:tcBorders>
            <w:shd w:val="clear" w:color="auto" w:fill="CCEC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664,325</w:t>
            </w:r>
          </w:p>
        </w:tc>
        <w:tc>
          <w:tcPr>
            <w:tcW w:w="42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619,247</w:t>
            </w:r>
          </w:p>
        </w:tc>
        <w:tc>
          <w:tcPr>
            <w:tcW w:w="18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debt outstanding</w:t>
            </w:r>
          </w:p>
        </w:tc>
        <w:tc>
          <w:tcPr>
            <w:tcW w:w="118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558,399</w:t>
            </w:r>
          </w:p>
        </w:tc>
        <w:tc>
          <w:tcPr>
            <w:tcW w:w="420" w:type="dxa"/>
            <w:vAlign w:val="bottom"/>
          </w:tcPr>
          <w:p>
            <w:pPr>
              <w:spacing w:after="0"/>
              <w:rPr>
                <w:sz w:val="14"/>
                <w:szCs w:val="14"/>
                <w:color w:val="auto"/>
              </w:rPr>
            </w:pPr>
          </w:p>
        </w:tc>
        <w:tc>
          <w:tcPr>
            <w:tcW w:w="7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569,210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9"/>
                <w:szCs w:val="19"/>
                <w:color w:val="auto"/>
                <w:vertAlign w:val="superscript"/>
              </w:rPr>
              <w:t>(1)</w:t>
            </w:r>
          </w:p>
        </w:tc>
        <w:tc>
          <w:tcPr>
            <w:tcW w:w="1180" w:type="dxa"/>
            <w:vAlign w:val="bottom"/>
            <w:shd w:val="clear" w:color="auto" w:fill="CCEC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42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780" w:type="dxa"/>
            <w:vAlign w:val="bottom"/>
          </w:tcPr>
          <w:p>
            <w:pPr>
              <w:ind w:left="20"/>
              <w:spacing w:after="0" w:line="166" w:lineRule="exact"/>
              <w:rPr>
                <w:sz w:val="20"/>
                <w:szCs w:val="20"/>
                <w:color w:val="auto"/>
              </w:rPr>
            </w:pPr>
            <w:r>
              <w:rPr>
                <w:rFonts w:ascii="Times New Roman" w:cs="Times New Roman" w:eastAsia="Times New Roman" w:hAnsi="Times New Roman"/>
                <w:sz w:val="14"/>
                <w:szCs w:val="14"/>
                <w:color w:val="auto"/>
              </w:rPr>
              <w:t xml:space="preserve">Asset coverage per unit </w:t>
            </w:r>
            <w:r>
              <w:rPr>
                <w:rFonts w:ascii="Times New Roman" w:cs="Times New Roman" w:eastAsia="Times New Roman" w:hAnsi="Times New Roman"/>
                <w:sz w:val="19"/>
                <w:szCs w:val="19"/>
                <w:color w:val="auto"/>
                <w:vertAlign w:val="superscript"/>
              </w:rPr>
              <w:t>(6)</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420" w:type="dxa"/>
            <w:vAlign w:val="bottom"/>
          </w:tcPr>
          <w:p>
            <w:pPr>
              <w:spacing w:after="0"/>
              <w:rPr>
                <w:sz w:val="14"/>
                <w:szCs w:val="14"/>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turnover ratio</w:t>
            </w:r>
          </w:p>
        </w:tc>
        <w:tc>
          <w:tcPr>
            <w:tcW w:w="1180" w:type="dxa"/>
            <w:vAlign w:val="bottom"/>
          </w:tcPr>
          <w:p>
            <w:pPr>
              <w:spacing w:after="0"/>
              <w:rPr>
                <w:sz w:val="15"/>
                <w:szCs w:val="15"/>
                <w:color w:val="auto"/>
              </w:rPr>
            </w:pPr>
          </w:p>
        </w:tc>
        <w:tc>
          <w:tcPr>
            <w:tcW w:w="11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35.66 %</w:t>
            </w:r>
          </w:p>
        </w:tc>
        <w:tc>
          <w:tcPr>
            <w:tcW w:w="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-1652905</wp:posOffset>
            </wp:positionV>
            <wp:extent cx="1200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-1652905</wp:posOffset>
            </wp:positionV>
            <wp:extent cx="1117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-1395730</wp:posOffset>
            </wp:positionV>
            <wp:extent cx="1200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-1378585</wp:posOffset>
            </wp:positionV>
            <wp:extent cx="1200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-1395730</wp:posOffset>
            </wp:positionV>
            <wp:extent cx="1117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-1378585</wp:posOffset>
            </wp:positionV>
            <wp:extent cx="1117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-1146810</wp:posOffset>
            </wp:positionV>
            <wp:extent cx="12001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-1146810</wp:posOffset>
            </wp:positionV>
            <wp:extent cx="1117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-461010</wp:posOffset>
            </wp:positionV>
            <wp:extent cx="12001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-461010</wp:posOffset>
            </wp:positionV>
            <wp:extent cx="1117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111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right="9180" w:firstLine="8"/>
        <w:spacing w:after="0" w:line="253" w:lineRule="auto"/>
        <w:tabs>
          <w:tab w:leader="none" w:pos="81" w:val="left"/>
        </w:tabs>
        <w:numPr>
          <w:ilvl w:val="0"/>
          <w:numId w:val="27"/>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Not annualized for periods less than one year.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Annualized for periods less than one year.</w:t>
      </w:r>
    </w:p>
    <w:p>
      <w:pPr>
        <w:ind w:left="380" w:hanging="372"/>
        <w:spacing w:after="0" w:line="192"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weighted average shares outstanding for the respective periods.</w:t>
      </w:r>
    </w:p>
    <w:p>
      <w:pPr>
        <w:spacing w:after="0" w:line="6" w:lineRule="exact"/>
        <w:rPr>
          <w:rFonts w:ascii="Times New Roman" w:cs="Times New Roman" w:eastAsia="Times New Roman" w:hAnsi="Times New Roman"/>
          <w:sz w:val="14"/>
          <w:szCs w:val="14"/>
          <w:color w:val="auto"/>
          <w:vertAlign w:val="superscript"/>
        </w:rPr>
      </w:pPr>
    </w:p>
    <w:p>
      <w:pPr>
        <w:ind w:left="380" w:hanging="372"/>
        <w:spacing w:after="0" w:line="181"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change in market price per share during the periods and assumes distributions, if any, are reinvested.</w:t>
      </w:r>
    </w:p>
    <w:p>
      <w:pPr>
        <w:ind w:left="380" w:hanging="372"/>
        <w:spacing w:after="0" w:line="181"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debt-related costs.</w:t>
      </w:r>
    </w:p>
    <w:p>
      <w:pPr>
        <w:ind w:left="380" w:hanging="372"/>
        <w:spacing w:after="0" w:line="181"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and expenses on debt (annualized) as well as Credit Facility amendment, debt issuance costs and excludes debt extinguishment cost, if any, (not annualized).</w:t>
      </w:r>
    </w:p>
    <w:p>
      <w:pPr>
        <w:ind w:left="380" w:hanging="372"/>
        <w:spacing w:after="0" w:line="191"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SBA debentures outstanding.</w:t>
      </w:r>
    </w:p>
    <w:p>
      <w:pPr>
        <w:spacing w:after="0" w:line="6" w:lineRule="exact"/>
        <w:rPr>
          <w:rFonts w:ascii="Times New Roman" w:cs="Times New Roman" w:eastAsia="Times New Roman" w:hAnsi="Times New Roman"/>
          <w:sz w:val="14"/>
          <w:szCs w:val="14"/>
          <w:color w:val="auto"/>
          <w:vertAlign w:val="superscript"/>
        </w:rPr>
      </w:pPr>
    </w:p>
    <w:p>
      <w:pPr>
        <w:ind w:left="380" w:right="220" w:hanging="372"/>
        <w:spacing w:after="0" w:line="215"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165"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4"/>
          <w:szCs w:val="14"/>
          <w:color w:val="auto"/>
        </w:rPr>
        <w:t>The annualized weighted average cost of debt for the six months ended March 31, 2022 and 2021, inclusive of the fee on the undrawn commitment under the Truist Credit Facility and amortized upfront fees on SBA debentures, 2024 Notes, 2026 Notes and 2026 Notes-2, was 4.8% and 3.5%, respectively. As of March 31, 2022,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23"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March 31, 2022 and September 30, 2021, our asset coverage ratio, as computed in accordance with the 1940 Act, was 227% and 221%,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Truist Credit Facility</w:t>
      </w:r>
    </w:p>
    <w:p>
      <w:pPr>
        <w:spacing w:after="0" w:line="1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4"/>
          <w:szCs w:val="14"/>
          <w:color w:val="auto"/>
        </w:rPr>
        <w:t>As of March 31, 2022, we had the multi-currency Truist Credit Facility for up to $465.0 million (increased from $435.0 million in December 2021) in borrowings with certain lenders and Truist Bank (formerly SunTrust Bank), acting as administrative agent, and JPMorgan Chase Bank, N.A., acting as syndication agent for the lenders. As of March 31, 2022 and September 30, 2021, we had $217.9 million and $316.5 million, respectively, in outstanding borrowings under the Truist Credit Facility. The Truist Credit Facility had a weighted average interest rate of 2.8% and 2.4%, respectively, exclusive of the fee on undrawn commitment, as of March 31, 2022 and September 30, 2021. The Truist Credit Facility is a revolving facility with a stated maturity date of September 4, 2024, a one-year term-out period on September 4, 2023 and pricing set at 225 basis points over LIBOR (or an alternative risk-free floating interest rate index). As of March 31, 2022 and September 30, 2021, we had $247.1 million and $118.5 million of unused borrowing capacity under the Truist Credit Facility, respectively, subject to leverage and borrowing base restrictions. The Truist Credit Facility is secured by substantially all of our assets, excluding assets held by SBIC II. As of March 31, 2022, we were in compliance with the terms of the Truist Credit Facility.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Debentures</w:t>
      </w:r>
    </w:p>
    <w:p>
      <w:pPr>
        <w:spacing w:after="0" w:line="167"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$27.5 million as of March 31, 2022 and September 30, 2021,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50"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4"/>
          <w:szCs w:val="14"/>
          <w:color w:val="auto"/>
        </w:rPr>
        <w:t>As of both March 31, 2022 and September 30, 2021, SBIC II had an initial $150.0 million in debt commitments, all of which were drawn. During the three and six months ended March 31, 2022, $36.0 million in SBA debentures were repaid, respectively. During both the three and six months ended March 31, 2021, there was $20.0 million in SBA debentures were repaid, respectively. As of both March 31, 2022 and September 30, 2021, the unamortized fees on the SBA debentures was $1.3 million, respectively. The SBA debentures’ upfront fees of 3.4% consist of a commitment fee of 1.0% and an issuance discount of 2.4%, which are being amortized.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fixed-rate SBA debentures were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40" w:type="dxa"/>
            <w:vAlign w:val="bottom"/>
          </w:tcPr>
          <w:p>
            <w:pPr>
              <w:spacing w:after="0"/>
              <w:rPr>
                <w:sz w:val="13"/>
                <w:szCs w:val="13"/>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60" w:type="dxa"/>
            <w:vAlign w:val="bottom"/>
          </w:tcPr>
          <w:p>
            <w:pPr>
              <w:spacing w:after="0"/>
              <w:rPr>
                <w:sz w:val="13"/>
                <w:szCs w:val="13"/>
                <w:color w:val="auto"/>
              </w:rPr>
            </w:pPr>
          </w:p>
        </w:tc>
        <w:tc>
          <w:tcPr>
            <w:tcW w:w="2440" w:type="dxa"/>
            <w:vAlign w:val="bottom"/>
            <w:gridSpan w:val="2"/>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13"/>
                <w:szCs w:val="13"/>
                <w:color w:val="auto"/>
              </w:rPr>
            </w:pPr>
          </w:p>
        </w:tc>
        <w:tc>
          <w:tcPr>
            <w:tcW w:w="22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40" w:type="dxa"/>
            <w:vAlign w:val="bottom"/>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1, 2027</w:t>
            </w:r>
          </w:p>
        </w:tc>
        <w:tc>
          <w:tcPr>
            <w:tcW w:w="260" w:type="dxa"/>
            <w:vAlign w:val="bottom"/>
            <w:shd w:val="clear" w:color="auto" w:fill="CCECFF"/>
          </w:tcPr>
          <w:p>
            <w:pPr>
              <w:spacing w:after="0"/>
              <w:rPr>
                <w:sz w:val="14"/>
                <w:szCs w:val="14"/>
                <w:color w:val="auto"/>
              </w:rPr>
            </w:pPr>
          </w:p>
        </w:tc>
        <w:tc>
          <w:tcPr>
            <w:tcW w:w="2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2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CFF"/>
          </w:tcPr>
          <w:p>
            <w:pPr>
              <w:spacing w:after="0"/>
              <w:rPr>
                <w:sz w:val="14"/>
                <w:szCs w:val="14"/>
                <w:color w:val="auto"/>
              </w:rPr>
            </w:pPr>
          </w:p>
        </w:tc>
        <w:tc>
          <w:tcPr>
            <w:tcW w:w="2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358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40" w:type="dxa"/>
            <w:vAlign w:val="bottom"/>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60" w:type="dxa"/>
            <w:vAlign w:val="bottom"/>
          </w:tcPr>
          <w:p>
            <w:pPr>
              <w:spacing w:after="0"/>
              <w:rPr>
                <w:sz w:val="24"/>
                <w:szCs w:val="24"/>
                <w:color w:val="auto"/>
              </w:rPr>
            </w:pPr>
          </w:p>
        </w:tc>
        <w:tc>
          <w:tcPr>
            <w:tcW w:w="2440" w:type="dxa"/>
            <w:vAlign w:val="bottom"/>
            <w:gridSpan w:val="2"/>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24"/>
                <w:szCs w:val="24"/>
                <w:color w:val="auto"/>
              </w:rPr>
            </w:pPr>
          </w:p>
        </w:tc>
        <w:tc>
          <w:tcPr>
            <w:tcW w:w="22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40" w:type="dxa"/>
            <w:vAlign w:val="bottom"/>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1, 2027</w:t>
            </w:r>
          </w:p>
        </w:tc>
        <w:tc>
          <w:tcPr>
            <w:tcW w:w="260" w:type="dxa"/>
            <w:vAlign w:val="bottom"/>
            <w:shd w:val="clear" w:color="auto" w:fill="CCECFF"/>
          </w:tcPr>
          <w:p>
            <w:pPr>
              <w:spacing w:after="0"/>
              <w:rPr>
                <w:sz w:val="14"/>
                <w:szCs w:val="14"/>
                <w:color w:val="auto"/>
              </w:rPr>
            </w:pPr>
          </w:p>
        </w:tc>
        <w:tc>
          <w:tcPr>
            <w:tcW w:w="2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2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21, 2018</w:t>
            </w:r>
          </w:p>
        </w:tc>
        <w:tc>
          <w:tcPr>
            <w:tcW w:w="2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March 1, 2028</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Weighted Average Rate / Total</w:t>
            </w:r>
          </w:p>
        </w:tc>
        <w:tc>
          <w:tcPr>
            <w:tcW w:w="240" w:type="dxa"/>
            <w:vAlign w:val="bottom"/>
            <w:tcBorders>
              <w:bottom w:val="single" w:sz="8" w:color="CCECFF"/>
            </w:tcBorders>
            <w:shd w:val="clear" w:color="auto" w:fill="CCECFF"/>
          </w:tcPr>
          <w:p>
            <w:pPr>
              <w:spacing w:after="0"/>
              <w:rPr>
                <w:sz w:val="18"/>
                <w:szCs w:val="18"/>
                <w:color w:val="auto"/>
              </w:rPr>
            </w:pPr>
          </w:p>
        </w:tc>
        <w:tc>
          <w:tcPr>
            <w:tcW w:w="21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20" w:type="dxa"/>
            <w:vAlign w:val="bottom"/>
            <w:tcBorders>
              <w:bottom w:val="single" w:sz="8" w:color="CCECFF"/>
            </w:tcBorders>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63,500</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-25400</wp:posOffset>
            </wp:positionV>
            <wp:extent cx="1200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12001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-8255</wp:posOffset>
            </wp:positionV>
            <wp:extent cx="260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ind w:left="380" w:hanging="372"/>
        <w:spacing w:after="0" w:line="238" w:lineRule="auto"/>
        <w:tabs>
          <w:tab w:leader="none" w:pos="380" w:val="left"/>
        </w:tabs>
        <w:numPr>
          <w:ilvl w:val="0"/>
          <w:numId w:val="29"/>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912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2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March 31, 2022, SBIC II was in compliance with its regulatory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167" w:lineRule="exact"/>
        <w:rPr>
          <w:sz w:val="20"/>
          <w:szCs w:val="20"/>
          <w:color w:val="auto"/>
        </w:rPr>
      </w:pPr>
    </w:p>
    <w:p>
      <w:pPr>
        <w:ind w:right="60" w:firstLine="449"/>
        <w:spacing w:after="0" w:line="271" w:lineRule="auto"/>
        <w:rPr>
          <w:sz w:val="20"/>
          <w:szCs w:val="20"/>
          <w:color w:val="auto"/>
        </w:rPr>
      </w:pPr>
      <w:r>
        <w:rPr>
          <w:rFonts w:ascii="Times New Roman" w:cs="Times New Roman" w:eastAsia="Times New Roman" w:hAnsi="Times New Roman"/>
          <w:sz w:val="14"/>
          <w:szCs w:val="14"/>
          <w:color w:val="auto"/>
        </w:rPr>
        <w:t>As of March 31, 2022 and September 30, 2021, we had zero and $86.3 million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on January 15, April 15, July 15 and October 15, at a rate of 5.5% per year.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18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Notes-2</w:t>
      </w:r>
    </w:p>
    <w:p>
      <w:pPr>
        <w:spacing w:after="0" w:line="18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4"/>
          <w:szCs w:val="14"/>
          <w:color w:val="auto"/>
        </w:rPr>
        <w:t>In October 2021, we issued $165.0 million in aggregate principal amount of our 2026 Notes-2 at a public offering price per note of 99.4%. Interest on the 2026 Notes-2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165" w:lineRule="exact"/>
        <w:rPr>
          <w:sz w:val="20"/>
          <w:szCs w:val="20"/>
          <w:color w:val="auto"/>
        </w:rPr>
      </w:pPr>
    </w:p>
    <w:p>
      <w:pPr>
        <w:ind w:right="200" w:firstLine="449"/>
        <w:spacing w:after="0" w:line="271" w:lineRule="auto"/>
        <w:rPr>
          <w:sz w:val="20"/>
          <w:szCs w:val="20"/>
          <w:color w:val="auto"/>
        </w:rPr>
      </w:pPr>
      <w:r>
        <w:rPr>
          <w:rFonts w:ascii="Times New Roman" w:cs="Times New Roman" w:eastAsia="Times New Roman" w:hAnsi="Times New Roman"/>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6" w:lineRule="exact"/>
        <w:rPr>
          <w:sz w:val="20"/>
          <w:szCs w:val="20"/>
          <w:color w:val="auto"/>
        </w:rPr>
      </w:pPr>
    </w:p>
    <w:p>
      <w:pPr>
        <w:jc w:val="both"/>
        <w:ind w:right="140" w:firstLine="449"/>
        <w:spacing w:after="0" w:line="271" w:lineRule="auto"/>
        <w:rPr>
          <w:sz w:val="20"/>
          <w:szCs w:val="20"/>
          <w:color w:val="auto"/>
        </w:rPr>
      </w:pPr>
      <w:r>
        <w:rPr>
          <w:rFonts w:ascii="Times New Roman" w:cs="Times New Roman" w:eastAsia="Times New Roman" w:hAnsi="Times New Roman"/>
          <w:sz w:val="14"/>
          <w:szCs w:val="14"/>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March 31, 2022 and September 30, 2021, we had $155.9 million and $104.8 million, respectively, in commitments to fund investments. For the same periods, there were no letters of credit issued.</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UNCONSOLIDATED SIGNIFICANT SUBSIDIARIES</w:t>
      </w:r>
    </w:p>
    <w:p>
      <w:pPr>
        <w:spacing w:after="0" w:line="179" w:lineRule="exact"/>
        <w:rPr>
          <w:sz w:val="20"/>
          <w:szCs w:val="20"/>
          <w:color w:val="auto"/>
        </w:rPr>
      </w:pPr>
    </w:p>
    <w:p>
      <w:pPr>
        <w:jc w:val="both"/>
        <w:ind w:right="40" w:firstLine="449"/>
        <w:spacing w:after="0" w:line="249" w:lineRule="auto"/>
        <w:rPr>
          <w:sz w:val="20"/>
          <w:szCs w:val="20"/>
          <w:color w:val="auto"/>
        </w:rPr>
      </w:pPr>
      <w:r>
        <w:rPr>
          <w:rFonts w:ascii="Times New Roman" w:cs="Times New Roman" w:eastAsia="Times New Roman" w:hAnsi="Times New Roman"/>
          <w:sz w:val="14"/>
          <w:szCs w:val="14"/>
          <w:color w:val="auto"/>
        </w:rPr>
        <w:t>We must determine which, if any, of our unconsolidated controlled portfolio companies is a "significant subsidiary" within the meaning of Regulation S-X. We have determined that, as of September 30, 2021, PennantPark Senior Loan Fund, LLC, PT Networks, LLC and RAM Energy Holdings LLC triggered at least one of the significance tests. As a result and in accordance with Rule 3-09 of Regulation S-X, presented below is summarized unaudited financial information for RAM Energy Holdings LLC for the three and six months ended March 31, 2022 and 2021.</w:t>
      </w:r>
    </w:p>
    <w:p>
      <w:pPr>
        <w:spacing w:after="0" w:line="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Similarly, in accordance with Rule 4-08(g) of Regulation S-X, which requires summarized financial information to be included in the notes to the Company’s financial statements, please refer to Note 4 to review the Statement of Assets and Liabilities as well as the Statement of Operations for PennantPark Senior Loan Fund, LLC. PennantPark Senior Loan Fund, LLC did not meet the significance threshold under Rule 3-09 which requires separate audited financial statements. Our investment in PT Networks, LLC was realized on February 14,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w:t>
            </w: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RAM Energy Holdings LLC:</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400" w:type="dxa"/>
            <w:vAlign w:val="bottom"/>
          </w:tcPr>
          <w:p>
            <w:pPr>
              <w:spacing w:after="0"/>
              <w:rPr>
                <w:sz w:val="24"/>
                <w:szCs w:val="24"/>
                <w:color w:val="auto"/>
              </w:rPr>
            </w:pPr>
          </w:p>
        </w:tc>
        <w:tc>
          <w:tcPr>
            <w:tcW w:w="346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24"/>
                <w:szCs w:val="24"/>
                <w:color w:val="auto"/>
              </w:rPr>
            </w:pPr>
          </w:p>
        </w:tc>
        <w:tc>
          <w:tcPr>
            <w:tcW w:w="31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69"/>
        </w:trPr>
        <w:tc>
          <w:tcPr>
            <w:tcW w:w="3820" w:type="dxa"/>
            <w:vAlign w:val="bottom"/>
            <w:gridSpan w:val="3"/>
            <w:vMerge w:val="continue"/>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4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shd w:val="clear" w:color="auto" w:fill="CCECFF"/>
          </w:tcPr>
          <w:p>
            <w:pPr>
              <w:spacing w:after="0"/>
              <w:rPr>
                <w:sz w:val="14"/>
                <w:szCs w:val="14"/>
                <w:color w:val="auto"/>
              </w:rPr>
            </w:pPr>
          </w:p>
        </w:tc>
        <w:tc>
          <w:tcPr>
            <w:tcW w:w="400" w:type="dxa"/>
            <w:vAlign w:val="bottom"/>
            <w:tcBorders>
              <w:top w:val="single" w:sz="8" w:color="auto"/>
            </w:tcBorders>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28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21,121</w:t>
            </w:r>
          </w:p>
        </w:tc>
        <w:tc>
          <w:tcPr>
            <w:tcW w:w="26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17,796</w:t>
            </w:r>
          </w:p>
        </w:tc>
        <w:tc>
          <w:tcPr>
            <w:tcW w:w="26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27,090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40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(7,523 )</w:t>
            </w:r>
          </w:p>
        </w:tc>
        <w:tc>
          <w:tcPr>
            <w:tcW w:w="38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(10,357 )</w:t>
            </w:r>
          </w:p>
        </w:tc>
        <w:tc>
          <w:tcPr>
            <w:tcW w:w="38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(16,838 )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(17,697 )</w:t>
            </w:r>
          </w:p>
        </w:tc>
        <w:tc>
          <w:tcPr>
            <w:tcW w:w="0" w:type="dxa"/>
            <w:vAlign w:val="bottom"/>
          </w:tcPr>
          <w:p>
            <w:pPr>
              <w:spacing w:after="0"/>
              <w:rPr>
                <w:sz w:val="1"/>
                <w:szCs w:val="1"/>
                <w:color w:val="auto"/>
              </w:rPr>
            </w:pPr>
          </w:p>
        </w:tc>
      </w:tr>
      <w:tr>
        <w:trPr>
          <w:trHeight w:val="176"/>
        </w:trPr>
        <w:tc>
          <w:tcPr>
            <w:tcW w:w="38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0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(2,460 )</w:t>
            </w:r>
          </w:p>
        </w:tc>
        <w:tc>
          <w:tcPr>
            <w:tcW w:w="3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10,764</w:t>
            </w:r>
          </w:p>
        </w:tc>
        <w:tc>
          <w:tcPr>
            <w:tcW w:w="260" w:type="dxa"/>
            <w:vAlign w:val="bottom"/>
            <w:shd w:val="clear" w:color="auto" w:fill="CCECFF"/>
          </w:tcPr>
          <w:p>
            <w:pPr>
              <w:spacing w:after="0"/>
              <w:rPr>
                <w:sz w:val="15"/>
                <w:szCs w:val="15"/>
                <w:color w:val="auto"/>
              </w:rPr>
            </w:pPr>
          </w:p>
        </w:tc>
        <w:tc>
          <w:tcPr>
            <w:tcW w:w="3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9,393</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STOCK REPURCHASE PROGRAM</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4"/>
          <w:szCs w:val="14"/>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three months ended March 31, 2022, we repurchased 913,454 shares of common stock in open market transactions for an aggregate cost (including transaction costs) of $7.1 million. During the three months ended March 31, 2021, we did not make any repurchases of shares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SUBSEQUENT EVENTS</w:t>
      </w:r>
    </w:p>
    <w:p>
      <w:pPr>
        <w:spacing w:after="0" w:line="165" w:lineRule="exact"/>
        <w:rPr>
          <w:sz w:val="20"/>
          <w:szCs w:val="20"/>
          <w:color w:val="auto"/>
        </w:rPr>
      </w:pPr>
    </w:p>
    <w:p>
      <w:pPr>
        <w:ind w:right="180" w:firstLine="396"/>
        <w:spacing w:after="0" w:line="302" w:lineRule="auto"/>
        <w:rPr>
          <w:sz w:val="20"/>
          <w:szCs w:val="20"/>
          <w:color w:val="auto"/>
        </w:rPr>
      </w:pPr>
      <w:r>
        <w:rPr>
          <w:rFonts w:ascii="Times New Roman" w:cs="Times New Roman" w:eastAsia="Times New Roman" w:hAnsi="Times New Roman"/>
          <w:sz w:val="14"/>
          <w:szCs w:val="14"/>
          <w:color w:val="auto"/>
        </w:rPr>
        <w:t>On April 14, 2022, listing and trading of the Company's common stock commenced on the New York Stock Exchange after the Company voluntarily withdrew the principal listing of its common stock from The Nasdaq Stock Market LLC ("Nasdaq") effective at market close on April 13,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 of PennantPark Investment Corporation and its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Review of Interim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Review of Interim Financial Statements</w:t>
      </w:r>
    </w:p>
    <w:p>
      <w:pPr>
        <w:spacing w:after="0" w:line="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March 31, 2022, and the related consolidated statements of operations and changes in net assets for the three-month and six-month periods ended March 31, 2022 and 2021, and cash flows for the six-month periods ended March 31, 2022 and 2021,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2021, and the related consolidated statements of operations, changes in net assets, and cash flows for the year then ended (not presented herein), and in our report dated November 17, 2021, we expressed an unqualified opinion on those consolidated financial statements. In our opinion, the information set forth in the accompanying consolidated statement of assets and liabilities as of September 30, 2021, is fairly stated, in all material respects, in relation to the consolidated statement of assets and liabilities from which it has been derived.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Review Results</w:t>
      </w:r>
    </w:p>
    <w:p>
      <w:pPr>
        <w:spacing w:after="0" w:line="1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4, 2022</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65"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77" w:lineRule="exact"/>
        <w:rPr>
          <w:sz w:val="20"/>
          <w:szCs w:val="20"/>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16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 or any worsening there of;</w:t>
      </w:r>
    </w:p>
    <w:p>
      <w:pPr>
        <w:spacing w:after="0" w:line="176" w:lineRule="exact"/>
        <w:rPr>
          <w:rFonts w:ascii="Times New Roman" w:cs="Times New Roman" w:eastAsia="Times New Roman" w:hAnsi="Times New Roman"/>
          <w:sz w:val="14"/>
          <w:szCs w:val="14"/>
          <w:color w:val="auto"/>
        </w:rPr>
      </w:pPr>
    </w:p>
    <w:p>
      <w:pPr>
        <w:ind w:left="960" w:right="240" w:hanging="383"/>
        <w:spacing w:after="0" w:line="282" w:lineRule="auto"/>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 of;</w:t>
      </w:r>
    </w:p>
    <w:p>
      <w:pPr>
        <w:spacing w:after="0" w:line="10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effectively manage our business due to the significant disruptions caused by the current COVID-19 pandemic or any worsening there of;</w:t>
      </w:r>
    </w:p>
    <w:p>
      <w:pPr>
        <w:spacing w:after="0" w:line="17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United Kingdom’s withdrawal from the European Union and other world economic and political issues.</w:t>
      </w:r>
    </w:p>
    <w:p>
      <w:pPr>
        <w:spacing w:after="0" w:line="177"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36"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3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23"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21"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67"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7" w:right="399" w:bottom="1440" w:gutter="0" w:footer="0" w:header="0"/>
        </w:sectPr>
      </w:pPr>
    </w:p>
    <w:bookmarkStart w:id="35" w:name="page36"/>
    <w:bookmarkEnd w:id="35"/>
    <w:p>
      <w:pPr>
        <w:ind w:firstLine="449"/>
        <w:spacing w:after="0" w:line="250" w:lineRule="auto"/>
        <w:rPr>
          <w:sz w:val="20"/>
          <w:szCs w:val="20"/>
          <w:color w:val="auto"/>
        </w:rPr>
      </w:pPr>
      <w:r>
        <w:rPr>
          <w:rFonts w:ascii="Times New Roman" w:cs="Times New Roman" w:eastAsia="Times New Roman" w:hAnsi="Times New Roman"/>
          <w:sz w:val="14"/>
          <w:szCs w:val="14"/>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6" w:lineRule="exact"/>
        <w:rPr>
          <w:sz w:val="20"/>
          <w:szCs w:val="20"/>
          <w:color w:val="auto"/>
        </w:rPr>
      </w:pPr>
    </w:p>
    <w:p>
      <w:pPr>
        <w:ind w:right="160" w:firstLine="449"/>
        <w:spacing w:after="0" w:line="27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Investment Corporation</w:t>
      </w:r>
    </w:p>
    <w:p>
      <w:pPr>
        <w:spacing w:after="0" w:line="154"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95" w:lineRule="exact"/>
        <w:rPr>
          <w:sz w:val="20"/>
          <w:szCs w:val="20"/>
          <w:color w:val="auto"/>
        </w:rPr>
      </w:pPr>
    </w:p>
    <w:p>
      <w:pPr>
        <w:ind w:right="20" w:firstLine="449"/>
        <w:spacing w:after="0" w:line="241" w:lineRule="auto"/>
        <w:rPr>
          <w:sz w:val="20"/>
          <w:szCs w:val="20"/>
          <w:color w:val="auto"/>
        </w:rPr>
      </w:pPr>
      <w:r>
        <w:rPr>
          <w:rFonts w:ascii="Times New Roman" w:cs="Times New Roman" w:eastAsia="Times New Roman" w:hAnsi="Times New Roman"/>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23" w:lineRule="exact"/>
        <w:rPr>
          <w:sz w:val="20"/>
          <w:szCs w:val="20"/>
          <w:color w:val="auto"/>
        </w:rPr>
      </w:pPr>
    </w:p>
    <w:p>
      <w:pPr>
        <w:ind w:right="40" w:firstLine="449"/>
        <w:spacing w:after="0" w:line="236" w:lineRule="auto"/>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w:t>
      </w:r>
    </w:p>
    <w:p>
      <w:pPr>
        <w:ind w:right="20"/>
        <w:spacing w:after="0" w:line="226" w:lineRule="auto"/>
        <w:rPr>
          <w:sz w:val="20"/>
          <w:szCs w:val="20"/>
          <w:color w:val="auto"/>
        </w:rPr>
      </w:pPr>
      <w:r>
        <w:rPr>
          <w:rFonts w:ascii="Times New Roman" w:cs="Times New Roman" w:eastAsia="Times New Roman" w:hAnsi="Times New Roman"/>
          <w:sz w:val="14"/>
          <w:szCs w:val="14"/>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II under its administration agreement with us. Our board of directors, a majority of whom are independent of us, provides overall supervision of our activities,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Adviser supervises our day-to-day activities.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Developments</w:t>
      </w:r>
    </w:p>
    <w:p>
      <w:pPr>
        <w:spacing w:after="0" w:line="154"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4"/>
          <w:szCs w:val="14"/>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COVID- 19 variants may create stress on the market and may affect some of our portfolio companies. We cannot predict the full impact of the COVID-19 pandemic, including any worsening thereof or its duration in the United States and globally and any impact to our business operations or the business operations of our portfolio companies.</w:t>
      </w:r>
    </w:p>
    <w:p>
      <w:pPr>
        <w:spacing w:after="0" w:line="127"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4"/>
          <w:szCs w:val="14"/>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 in such portfolio companies.</w:t>
      </w:r>
    </w:p>
    <w:p>
      <w:pPr>
        <w:spacing w:after="0" w:line="296" w:lineRule="exact"/>
        <w:rPr>
          <w:sz w:val="20"/>
          <w:szCs w:val="20"/>
          <w:color w:val="auto"/>
        </w:rPr>
      </w:pPr>
    </w:p>
    <w:p>
      <w:pPr>
        <w:ind w:right="20" w:firstLine="464"/>
        <w:spacing w:after="0" w:line="256" w:lineRule="auto"/>
        <w:rPr>
          <w:sz w:val="20"/>
          <w:szCs w:val="20"/>
          <w:color w:val="auto"/>
        </w:rPr>
      </w:pPr>
      <w:r>
        <w:rPr>
          <w:rFonts w:ascii="Times New Roman" w:cs="Times New Roman" w:eastAsia="Times New Roman" w:hAnsi="Times New Roman"/>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 to the vaccine, politicization of the vaccination process or general public skepticism of the safety and efficacy of the vaccine. While we are unable to predict the ultimate adverse effect of the COVID-19 pandemic, or any worsening thereof, on our results of operation, we have identified certain factors that are likely to affect market, economic and geopolitical conditions, and thereby may adversely affect our business, including:</w:t>
      </w:r>
    </w:p>
    <w:p>
      <w:pPr>
        <w:spacing w:after="0" w:line="113" w:lineRule="exact"/>
        <w:rPr>
          <w:sz w:val="20"/>
          <w:szCs w:val="20"/>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global economic recovery;</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including LIBOR;</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availability of credit, both in the United States and internationally;</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supply-chains and price volatility;</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existing laws and regulations, or the imposition of new laws and regulations; and</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regarding future governmental and regulatory policies.</w:t>
      </w:r>
    </w:p>
    <w:p>
      <w:pPr>
        <w:spacing w:after="0" w:line="177" w:lineRule="exact"/>
        <w:rPr>
          <w:sz w:val="20"/>
          <w:szCs w:val="20"/>
          <w:color w:val="auto"/>
        </w:rPr>
      </w:pPr>
    </w:p>
    <w:p>
      <w:pPr>
        <w:ind w:right="40" w:firstLine="464"/>
        <w:spacing w:after="0" w:line="251" w:lineRule="auto"/>
        <w:rPr>
          <w:sz w:val="20"/>
          <w:szCs w:val="20"/>
          <w:color w:val="auto"/>
        </w:rPr>
      </w:pPr>
      <w:r>
        <w:rPr>
          <w:rFonts w:ascii="Times New Roman" w:cs="Times New Roman" w:eastAsia="Times New Roman" w:hAnsi="Times New Roman"/>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This has required us to reduce the amount of our distributions to stockholders as compared to distributions in previous years. As of March 31, 2022, we had one portfolio company on non-accrual status, and the continuing impact of the COVID-19 pandemic, or any worsening thereof, may result in portfolio investments being placed on non-accrual status in the future.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36" w:name="page37"/>
    <w:bookmarkEnd w:id="36"/>
    <w:p>
      <w:pPr>
        <w:jc w:val="both"/>
        <w:ind w:right="80" w:firstLine="449"/>
        <w:spacing w:after="0" w:line="232" w:lineRule="auto"/>
        <w:rPr>
          <w:sz w:val="20"/>
          <w:szCs w:val="20"/>
          <w:color w:val="auto"/>
        </w:rPr>
      </w:pPr>
      <w:r>
        <w:rPr>
          <w:rFonts w:ascii="Times New Roman" w:cs="Times New Roman" w:eastAsia="Times New Roman" w:hAnsi="Times New Roman"/>
          <w:sz w:val="14"/>
          <w:szCs w:val="14"/>
          <w:color w:val="auto"/>
        </w:rPr>
        <w:t>Additionally, as of March 31, 2022 and September 30, 2021, our asset coverage ratio, as computed in accordance with the 1940 Act, was 227% and 221%, respectively. The Truist Credit Facility includes standard covenants and events of default provisions. If we fail to make the required payments or breach the covenants therein, it could result in a default under the Truist Credit Facility. Failure to cure such default or obtain a waiver from the appropriate party would result in an event of default, and the lenders may accelerate the repayment of our indebtedness under the Truist Credit Facility, such that all amounts owed are due immediately at the time of default. Such an action would negatively affect our liquidity, business, financial condition, results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cash flows and ability to pay distributions to our stockholders.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are also subject to financial risks, including changes in market interest rates. As of March 31, 2022, our interest bearing debt portfolio consisted of 99% variable-rate investments. The</w:t>
      </w:r>
    </w:p>
    <w:p>
      <w:pPr>
        <w:spacing w:after="0" w:line="17"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4"/>
          <w:szCs w:val="14"/>
          <w:color w:val="auto"/>
        </w:rPr>
        <w:t>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Truist Credit Facility also has floating rate interest provisions, with pricing set at 225 basis points over LIBOR (or an alternative risk-free floating interest rate index). In connection with the COVID-19 pandemic, the U.S. Federal Reserve and other central banks have reduced interest rates, which has caused LIBOR to decrease. Due to such rates, our gross investment income may decrease, which could result in a</w:t>
      </w:r>
    </w:p>
    <w:p>
      <w:pPr>
        <w:spacing w:after="0" w:line="1"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4"/>
          <w:szCs w:val="14"/>
          <w:color w:val="auto"/>
        </w:rPr>
        <w:t>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22" w:lineRule="exact"/>
        <w:rPr>
          <w:sz w:val="20"/>
          <w:szCs w:val="20"/>
          <w:color w:val="auto"/>
        </w:rPr>
      </w:pPr>
    </w:p>
    <w:p>
      <w:pPr>
        <w:ind w:right="40" w:firstLine="449"/>
        <w:spacing w:after="0" w:line="236" w:lineRule="auto"/>
        <w:rPr>
          <w:sz w:val="20"/>
          <w:szCs w:val="20"/>
          <w:color w:val="auto"/>
        </w:rPr>
      </w:pPr>
      <w:r>
        <w:rPr>
          <w:rFonts w:ascii="Times New Roman" w:cs="Times New Roman" w:eastAsia="Times New Roman" w:hAnsi="Times New Roman"/>
          <w:sz w:val="14"/>
          <w:szCs w:val="14"/>
          <w:color w:val="auto"/>
        </w:rPr>
        <w:t>In addition, we have continued to implement our business continuity planning strategy. Our priority has been to safeguard the health of our employees and to ensure continuity of business operations on behalf of our investors. As a result of our business continuity planning strategy, nearly all of our employees have returned to the office.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LIBOR Developments</w:t>
      </w:r>
    </w:p>
    <w:p>
      <w:pPr>
        <w:spacing w:after="0" w:line="208" w:lineRule="exact"/>
        <w:rPr>
          <w:sz w:val="20"/>
          <w:szCs w:val="20"/>
          <w:color w:val="auto"/>
        </w:rPr>
      </w:pPr>
    </w:p>
    <w:p>
      <w:pPr>
        <w:ind w:right="100" w:firstLine="449"/>
        <w:spacing w:after="0" w:line="232" w:lineRule="auto"/>
        <w:rPr>
          <w:sz w:val="20"/>
          <w:szCs w:val="20"/>
          <w:color w:val="auto"/>
        </w:rPr>
      </w:pPr>
      <w:r>
        <w:rPr>
          <w:rFonts w:ascii="Times New Roman" w:cs="Times New Roman" w:eastAsia="Times New Roman" w:hAnsi="Times New Roman"/>
          <w:sz w:val="14"/>
          <w:szCs w:val="14"/>
          <w:color w:val="auto"/>
        </w:rPr>
        <w:t>In July 2017, the head of the United Kingdom Financial Conduct Authority announced the desire to phase out the use of LIBOR by the end of 2021. As of December 31, 2021, all non-U.S. dollar LIBOR publications have been phased out. The phase out of a majority of the U.S. dollar publications is currently delayed until June 30, 2023. The Alternative Reference Rates Committee, a steering committee comprised of large U.S. financial institutions, has identified the Secured Overnight Financing Rate (“SOFR”) as its preferred alternative rate for LIBOR. SOFR is a measure of the cost of borrowing cash overnight, collateralized by the U.S. Treasury securities, and is based on directly observable U.S. Treasury-backed repurchase transactions. Although</w:t>
      </w:r>
    </w:p>
    <w:p>
      <w:pPr>
        <w:spacing w:after="0" w:line="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SOFR appears to be the preferred replacement rate for U.S. dollar LIBOR, it is not possible at this time to predict the effect of any such changes, any establishment of alternative reference rates, whether the COVID-19 pandemic will have further effect on LIBOR transition timelines, or other reforms to LIBOR that may be enacted.</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effect of the establishment of alternative reference rates or other reforms to LIBOR or other reference rates is complex and could have a material adverse effect on our business,</w:t>
      </w:r>
    </w:p>
    <w:p>
      <w:pPr>
        <w:spacing w:after="0" w:line="17"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4"/>
          <w:szCs w:val="14"/>
          <w:color w:val="auto"/>
        </w:rPr>
        <w:t>financial condition and results of operations. Given the inherent differences between LIBOR and SOFR, or any other alternative benchmark rate that may be established, there are continuing uncertainties regarding the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63" w:lineRule="exact"/>
        <w:rPr>
          <w:sz w:val="20"/>
          <w:szCs w:val="20"/>
          <w:color w:val="auto"/>
        </w:rPr>
      </w:pPr>
    </w:p>
    <w:p>
      <w:pPr>
        <w:jc w:val="both"/>
        <w:ind w:right="60" w:firstLine="449"/>
        <w:spacing w:after="0" w:line="241" w:lineRule="auto"/>
        <w:rPr>
          <w:sz w:val="20"/>
          <w:szCs w:val="20"/>
          <w:color w:val="auto"/>
        </w:rPr>
      </w:pPr>
      <w:r>
        <w:rPr>
          <w:rFonts w:ascii="Times New Roman" w:cs="Times New Roman" w:eastAsia="Times New Roman" w:hAnsi="Times New Roman"/>
          <w:sz w:val="14"/>
          <w:szCs w:val="14"/>
          <w:color w:val="auto"/>
        </w:rPr>
        <w:t>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54" w:lineRule="exact"/>
        <w:rPr>
          <w:sz w:val="20"/>
          <w:szCs w:val="20"/>
          <w:color w:val="auto"/>
        </w:rPr>
      </w:pPr>
    </w:p>
    <w:p>
      <w:pPr>
        <w:ind w:right="280" w:firstLine="449"/>
        <w:spacing w:after="0" w:line="232" w:lineRule="auto"/>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4"/>
          <w:szCs w:val="14"/>
          <w:color w:val="auto"/>
        </w:rPr>
        <w:t>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w:t>
      </w:r>
    </w:p>
    <w:p>
      <w:pPr>
        <w:ind w:right="120"/>
        <w:spacing w:after="0" w:line="239" w:lineRule="auto"/>
        <w:rPr>
          <w:sz w:val="20"/>
          <w:szCs w:val="20"/>
          <w:color w:val="auto"/>
        </w:rPr>
      </w:pPr>
      <w:r>
        <w:rPr>
          <w:rFonts w:ascii="Times New Roman" w:cs="Times New Roman" w:eastAsia="Times New Roman" w:hAnsi="Times New Roman"/>
          <w:sz w:val="14"/>
          <w:szCs w:val="14"/>
          <w:color w:val="auto"/>
        </w:rPr>
        <w:t>time, the Company receives certain fees from portfolio companies, which are non-recurring in nature. Such fees include loan prepayment penalties, structuring fees and amendment fees, and are recorded as other investment income when earned.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54" w:lineRule="exact"/>
        <w:rPr>
          <w:sz w:val="20"/>
          <w:szCs w:val="20"/>
          <w:color w:val="auto"/>
        </w:rPr>
      </w:pPr>
    </w:p>
    <w:p>
      <w:pPr>
        <w:ind w:firstLine="449"/>
        <w:spacing w:after="0" w:line="236" w:lineRule="auto"/>
        <w:rPr>
          <w:sz w:val="20"/>
          <w:szCs w:val="20"/>
          <w:color w:val="auto"/>
        </w:rPr>
      </w:pPr>
      <w:r>
        <w:rPr>
          <w:rFonts w:ascii="Times New Roman" w:cs="Times New Roman" w:eastAsia="Times New Roman" w:hAnsi="Times New Roman"/>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w:t>
      </w:r>
    </w:p>
    <w:p>
      <w:pPr>
        <w:spacing w:after="0"/>
        <w:rPr>
          <w:sz w:val="20"/>
          <w:szCs w:val="20"/>
          <w:color w:val="auto"/>
        </w:rPr>
      </w:pPr>
      <w:r>
        <w:rPr>
          <w:rFonts w:ascii="Times New Roman" w:cs="Times New Roman" w:eastAsia="Times New Roman" w:hAnsi="Times New Roman"/>
          <w:sz w:val="14"/>
          <w:szCs w:val="14"/>
          <w:color w:val="auto"/>
        </w:rPr>
        <w:t>We bear all other direct or indirect costs and expenses of our operations and transactions, including:</w:t>
      </w:r>
    </w:p>
    <w:p>
      <w:pPr>
        <w:spacing w:after="0" w:line="120" w:lineRule="exact"/>
        <w:rPr>
          <w:sz w:val="20"/>
          <w:szCs w:val="20"/>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net asset value, including the cost of any third-party valuation services;</w:t>
      </w:r>
    </w:p>
    <w:p>
      <w:pPr>
        <w:spacing w:after="0" w:line="190"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sales and repurchases of shares of our common stock and other securities;</w:t>
      </w:r>
    </w:p>
    <w:p>
      <w:pPr>
        <w:spacing w:after="0" w:line="176" w:lineRule="exact"/>
        <w:rPr>
          <w:rFonts w:ascii="Times New Roman" w:cs="Times New Roman" w:eastAsia="Times New Roman" w:hAnsi="Times New Roman"/>
          <w:sz w:val="14"/>
          <w:szCs w:val="14"/>
          <w:color w:val="auto"/>
        </w:rPr>
      </w:pPr>
    </w:p>
    <w:p>
      <w:pPr>
        <w:ind w:left="940" w:right="80" w:hanging="370"/>
        <w:spacing w:after="0" w:line="261" w:lineRule="auto"/>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Investment Adviser in performing due diligence and reviews of investments;</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190"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and any exchange listing fees;</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local and foreign taxes;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7" w:name="page38"/>
    <w:bookmarkEnd w:id="37"/>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w:t>
      </w:r>
    </w:p>
    <w:p>
      <w:pPr>
        <w:spacing w:after="0" w:line="190"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commissions;</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190"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such as printing, mailing, long distance telephone and staff;</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our reporting and compliance obligations under the 1940 Act, the 1958 Act and applicable federal and state securities laws; and</w:t>
      </w:r>
    </w:p>
    <w:p>
      <w:pPr>
        <w:spacing w:after="0" w:line="190" w:lineRule="exact"/>
        <w:rPr>
          <w:rFonts w:ascii="Times New Roman" w:cs="Times New Roman" w:eastAsia="Times New Roman" w:hAnsi="Times New Roman"/>
          <w:sz w:val="14"/>
          <w:szCs w:val="14"/>
          <w:color w:val="auto"/>
        </w:rPr>
      </w:pPr>
    </w:p>
    <w:p>
      <w:pPr>
        <w:jc w:val="both"/>
        <w:ind w:left="940" w:right="40" w:hanging="370"/>
        <w:spacing w:after="0" w:line="241" w:lineRule="auto"/>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6"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165"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4"/>
          <w:szCs w:val="14"/>
          <w:color w:val="auto"/>
        </w:rPr>
        <w:t>As of March 31, 2022, our portfolio totaled $1,214.0 million, which consisted of $667.2 million of first lien secured debt, $134.8 million of second lien secured debt, $109.9 million of subordinated debt (including $76.1 million in PSLF) and $302.1 million of preferred and common equity (including $48.1 million in PSLF). Our debt portfolio consisted of 99% variable-rate investments and 1% fixed-rate investments. As of March 31, 2022, we had one portfolio company on non-accrual, representing 3.5% and 2.8% of our overall portfolio on a cost and fair value basis, respectively. Overall, the portfolio had net unrealized depreciation of $70.5 million as of March 31, 2022. Our overall portfolio consisted of 113 companies with an average investment size of $10.7 million, had a weighted average yield on interest bearing debt investments of 8.4% and was invested 55% in first lien secured debt, 11% in second lien secured debt, 9% in subordinated debt (including 6% in PSLF) and 25% in preferred and common equity (including 4% in PSLF). As of March 31, 2022, all of the investments held by PSLF were first lien secured debt.</w:t>
      </w:r>
    </w:p>
    <w:p>
      <w:pPr>
        <w:spacing w:after="0" w:line="143"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interest bearing debt portfolio consisted of 92% variable-rate investments and 8% fixed-rate investments. As of September 30, 2021, we had no portfolio companies on non-accrual. Overall, the portfolio had net unrealized appreciation of $34.2 million as of September 30, 2021. Our overall portfolio consisted of 97 companies with an average investment size of $12.9 million, had a weighted average yield on interest bearing debt investments of 9.0% and was invested 44% in first lien secured debt, 14% in second lien secured debt, 10% in subordinated debt (including 5% in PSLF) and 32% in preferred and common equity (including 3% in PSLF). As of September 30, 2021, all of the investments held by PSLF were first lien secured debt.</w:t>
      </w:r>
    </w:p>
    <w:p>
      <w:pPr>
        <w:spacing w:after="0" w:line="14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March 31, 2022, we invested $178.0 million in eight new and 29 existing portfolio companies with a weighted average yield on debt investments of 7.2%. Sales and repayments of investments for the three months ended March 31, 2022 totaled $405.5 million. For the six months ended March 31, 2022, we invested $473.1 million in 24 new and 59 existing portfolio companies with a weighted average yield on debt investments of 7.8%. Sales and repayments of investments for the six months ended March 31, 2022 totaled $537.7 million.</w:t>
      </w:r>
    </w:p>
    <w:p>
      <w:pPr>
        <w:spacing w:after="0" w:line="136"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March 31, 2021, we invested $74.8 million in three new and eight existing portfolio companies with a weighted average yield on debt investments of 7.9%. Sales and repayments of investments for the three months ended March 31, 2021 totaled $65.0 million. For the six months ended March 31, 2021, we invested $143.0 million in seven new and 23 existing portfolio companies with a weighted average yield on debt investments of 8.8%. Sales and repayments of investments for the six months ended March 31, 2021 totaled $167.6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65"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4"/>
          <w:szCs w:val="14"/>
          <w:color w:val="auto"/>
        </w:rPr>
        <w:t>As of March 31, 2022, PSLF’s portfolio totaled $446.1 million, consisted of 60 companies with an average investment size of $7.4 million and had a weighted average yield on debt investments of 7.2%.</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4"/>
          <w:szCs w:val="14"/>
          <w:color w:val="auto"/>
        </w:rPr>
        <w:t>As of September 30, 2021, PSLF’s portfolio totaled $405.2 million, consisted of 47 companies with an average investment size of $8.6 million and had a weighted average yield on debt investments of 7.2%.</w:t>
      </w:r>
    </w:p>
    <w:p>
      <w:pPr>
        <w:spacing w:after="0" w:line="12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4"/>
          <w:szCs w:val="14"/>
          <w:color w:val="auto"/>
        </w:rPr>
        <w:t>For the three months ended March 31, 2022, PSLF invested $27.4 million (of which $11.5 million was purchased from the Company) in six new portfolio companies with a weighted average yield on debt investments of 7.5%. PSLF’s sales and repayments of investments for the same period totaled $2.3 million. For the six months ended March 31, 2022, PSLF invested $78.1 million (of which $59.6 million was purchased from the Company) in 15 new and two existing portfolio companies with a weighted average yield on debt investments of 7.5%. PSLF’s sales and repayments of investments for the same period totaled $37.9 million.</w:t>
      </w:r>
    </w:p>
    <w:p>
      <w:pPr>
        <w:spacing w:after="0" w:line="13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March 31, 2021, PSLF invested $32.5 million (of which $15.5 million was purchased from the Company) in four new and two existing portfolio companies with a weighted average yield on debt investments of 8.0%. PSLF’s sales and repayments of investments for the same period totaled $4.9 million. For the six months ended March 31, 2021, PSLF invested $63.3 million (of which $37.8 million was purchased from the Company) in six new and six existing portfolio companies with a weighted average yield on debt investments of 7.5%. PSLF’s sales and repayments of investments for the same period totaled $40.7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79"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8" w:name="page39"/>
    <w:bookmarkEnd w:id="38"/>
    <w:p>
      <w:pPr>
        <w:spacing w:after="0" w:line="256" w:lineRule="auto"/>
        <w:rPr>
          <w:sz w:val="20"/>
          <w:szCs w:val="20"/>
          <w:color w:val="auto"/>
        </w:rPr>
      </w:pPr>
      <w:r>
        <w:rPr>
          <w:rFonts w:ascii="Times New Roman" w:cs="Times New Roman" w:eastAsia="Times New Roman" w:hAnsi="Times New Roman"/>
          <w:sz w:val="14"/>
          <w:szCs w:val="14"/>
          <w:color w:val="auto"/>
        </w:rPr>
        <w:t>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2021 Annual Report on Form 10-K. There have been no significant changes in our critical accounting estimates during the six months from those disclosed in our 2021 Annual Report on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16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30" w:lineRule="exact"/>
        <w:rPr>
          <w:sz w:val="20"/>
          <w:szCs w:val="20"/>
          <w:color w:val="auto"/>
        </w:rPr>
      </w:pPr>
    </w:p>
    <w:p>
      <w:pPr>
        <w:ind w:right="360" w:firstLine="449"/>
        <w:spacing w:after="0" w:line="302"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4" w:lineRule="exact"/>
        <w:rPr>
          <w:sz w:val="20"/>
          <w:szCs w:val="20"/>
          <w:color w:val="auto"/>
        </w:rPr>
      </w:pPr>
    </w:p>
    <w:p>
      <w:pPr>
        <w:ind w:left="940" w:right="200" w:hanging="370"/>
        <w:spacing w:after="0" w:line="282"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21"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63" w:lineRule="exact"/>
        <w:rPr>
          <w:rFonts w:ascii="Times New Roman" w:cs="Times New Roman" w:eastAsia="Times New Roman" w:hAnsi="Times New Roman"/>
          <w:sz w:val="14"/>
          <w:szCs w:val="14"/>
          <w:color w:val="auto"/>
        </w:rPr>
      </w:pPr>
    </w:p>
    <w:p>
      <w:pPr>
        <w:jc w:val="both"/>
        <w:ind w:left="940" w:right="40" w:hanging="370"/>
        <w:spacing w:after="0" w:line="271"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6" w:lineRule="exact"/>
        <w:rPr>
          <w:rFonts w:ascii="Times New Roman" w:cs="Times New Roman" w:eastAsia="Times New Roman" w:hAnsi="Times New Roman"/>
          <w:sz w:val="14"/>
          <w:szCs w:val="14"/>
          <w:color w:val="auto"/>
        </w:rPr>
      </w:pPr>
    </w:p>
    <w:p>
      <w:pPr>
        <w:ind w:left="940" w:right="300" w:hanging="370"/>
        <w:spacing w:after="0" w:line="271"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6" w:lineRule="exact"/>
        <w:rPr>
          <w:rFonts w:ascii="Times New Roman" w:cs="Times New Roman" w:eastAsia="Times New Roman" w:hAnsi="Times New Roman"/>
          <w:sz w:val="14"/>
          <w:szCs w:val="14"/>
          <w:color w:val="auto"/>
        </w:rPr>
      </w:pPr>
    </w:p>
    <w:p>
      <w:pPr>
        <w:ind w:left="940" w:right="60" w:hanging="370"/>
        <w:spacing w:after="0" w:line="302"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4"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63"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w:t>
      </w:r>
    </w:p>
    <w:p>
      <w:pPr>
        <w:spacing w:after="0" w:line="17" w:lineRule="exact"/>
        <w:rPr>
          <w:sz w:val="20"/>
          <w:szCs w:val="20"/>
          <w:color w:val="auto"/>
        </w:rPr>
      </w:pPr>
    </w:p>
    <w:p>
      <w:pPr>
        <w:ind w:left="1720" w:right="700"/>
        <w:spacing w:after="0" w:line="239" w:lineRule="auto"/>
        <w:rPr>
          <w:sz w:val="20"/>
          <w:szCs w:val="20"/>
          <w:color w:val="auto"/>
        </w:rPr>
      </w:pPr>
      <w:r>
        <w:rPr>
          <w:rFonts w:ascii="Times New Roman" w:cs="Times New Roman" w:eastAsia="Times New Roman" w:hAnsi="Times New Roman"/>
          <w:sz w:val="14"/>
          <w:szCs w:val="14"/>
          <w:color w:val="auto"/>
        </w:rPr>
        <w:t>markets that are not active and inputs that are observable for the asset or liability, either directly or indirectly, for substantially the full term, if applicable, of the financial instrument.</w:t>
      </w:r>
    </w:p>
    <w:p>
      <w:pPr>
        <w:spacing w:after="0" w:line="122" w:lineRule="exact"/>
        <w:rPr>
          <w:sz w:val="20"/>
          <w:szCs w:val="20"/>
          <w:color w:val="auto"/>
        </w:rPr>
      </w:pPr>
    </w:p>
    <w:p>
      <w:pPr>
        <w:ind w:left="1720" w:right="740" w:hanging="1133"/>
        <w:spacing w:after="0" w:line="282" w:lineRule="auto"/>
        <w:tabs>
          <w:tab w:leader="none" w:pos="170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108" w:lineRule="exact"/>
        <w:rPr>
          <w:sz w:val="20"/>
          <w:szCs w:val="20"/>
          <w:color w:val="auto"/>
        </w:rPr>
      </w:pPr>
    </w:p>
    <w:p>
      <w:pPr>
        <w:ind w:right="240" w:firstLine="449"/>
        <w:spacing w:after="0" w:line="255"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Credit Facilities, 2026 Notes, 2026-2 Notes and our SBA debentures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4"/>
          <w:szCs w:val="14"/>
          <w:color w:val="auto"/>
        </w:rPr>
        <w:t>The SEC recently adopted Rule 2a-5 under the 1940 Act which established requirements for determining fair value in good faith purposes of the 1940 Act. We will comply with the requirement of the rule before the requirement date in 2022.</w:t>
      </w:r>
    </w:p>
    <w:p>
      <w:pPr>
        <w:spacing w:after="0" w:line="12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SBA debentures, our 2024 Notes, our 2026 Notes, 2026 Notes-2 and our Credit Facilities,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9" w:name="page40"/>
    <w:bookmarkEnd w:id="39"/>
    <w:p>
      <w:pPr>
        <w:ind w:right="40" w:firstLine="449"/>
        <w:spacing w:after="0" w:line="253"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Facilities. We elected to use the fair value option for the Credit Facilities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Facilities for both the three months ended March 31,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are reported in our Consolidated Statements of Operations. We elect not to apply ASC 825-10 to any other financial assets or liabilities, including the 2024 Notes, 2026 Notes, 2026 Notes-2 and SBA debentures.</w:t>
      </w:r>
    </w:p>
    <w:p>
      <w:pPr>
        <w:spacing w:after="0" w:line="14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4"/>
          <w:szCs w:val="14"/>
          <w:color w:val="auto"/>
        </w:rPr>
        <w:t>For the three and six months ended March 31, 2022, the Truist Credit Facility had a net change in unrealized depreciation of $1.3 million and $0.3 million, respectively. For the three and six months ended March 31, 2021, our Credit Facilities had a net change in unrealized appreciation of $3.8 million and $16.9 million, respectively. As of March 31, 2022 and September 30, 2021, the net unrealized depreciation on the Truist Credit Facility totaled $2.0 million and $1.7 million, respectively. We use a nationally recognized independent valuation service to measure the fair value of our Credit Facilities in a manner consistent with the valuation process that the board of directors uses to value our investments.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54"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1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Credit Facilities including any reversal of previously recorded unrealized appreciation or depreciation, when gains or losses are realized.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77" w:lineRule="exact"/>
        <w:rPr>
          <w:sz w:val="20"/>
          <w:szCs w:val="20"/>
          <w:color w:val="auto"/>
        </w:rPr>
      </w:pPr>
    </w:p>
    <w:p>
      <w:pPr>
        <w:ind w:left="940" w:hanging="370"/>
        <w:spacing w:after="0"/>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63"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77"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Payment-in-Kind, or PIK Interest</w:t>
      </w:r>
    </w:p>
    <w:p>
      <w:pPr>
        <w:spacing w:after="0" w:line="167" w:lineRule="exact"/>
        <w:rPr>
          <w:sz w:val="20"/>
          <w:szCs w:val="20"/>
          <w:color w:val="auto"/>
        </w:rPr>
      </w:pPr>
    </w:p>
    <w:p>
      <w:pPr>
        <w:jc w:val="both"/>
        <w:ind w:right="120" w:firstLine="449"/>
        <w:spacing w:after="0" w:line="27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181"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U.S. federal excise tax imposed on RICs, we must distribute</w:t>
      </w:r>
    </w:p>
    <w:p>
      <w:pPr>
        <w:spacing w:after="0" w:line="1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297" w:lineRule="exact"/>
        <w:rPr>
          <w:sz w:val="20"/>
          <w:szCs w:val="20"/>
          <w:color w:val="auto"/>
        </w:rPr>
      </w:pPr>
    </w:p>
    <w:p>
      <w:pPr>
        <w:ind w:right="60" w:firstLine="449"/>
        <w:spacing w:after="0" w:line="264"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ind w:firstLine="449"/>
        <w:spacing w:after="0" w:line="271" w:lineRule="auto"/>
        <w:rPr>
          <w:sz w:val="20"/>
          <w:szCs w:val="20"/>
          <w:color w:val="auto"/>
        </w:rPr>
      </w:pPr>
      <w:r>
        <w:rPr>
          <w:rFonts w:ascii="Times New Roman" w:cs="Times New Roman" w:eastAsia="Times New Roman" w:hAnsi="Times New Roman"/>
          <w:sz w:val="14"/>
          <w:szCs w:val="14"/>
          <w:color w:val="auto"/>
        </w:rPr>
        <w:t>For the three and six months ended March 31, 2022, we recorded a provision for taxes on net investment income of $0.2 million and $0.4 million respectively, all of which pertains to U.S. federal excise tax. For the three and six months ended March 31, 2021, we recorded a provision for taxes on net investment income of $0.2 million and $0.3 million respectively, all of which pertains to U.S. federal excise tax.</w:t>
      </w:r>
    </w:p>
    <w:p>
      <w:pPr>
        <w:spacing w:after="0" w:line="116" w:lineRule="exact"/>
        <w:rPr>
          <w:sz w:val="20"/>
          <w:szCs w:val="20"/>
          <w:color w:val="auto"/>
        </w:rPr>
      </w:pPr>
    </w:p>
    <w:p>
      <w:pPr>
        <w:ind w:right="100" w:firstLine="449"/>
        <w:spacing w:after="0" w:line="302" w:lineRule="auto"/>
        <w:rPr>
          <w:sz w:val="20"/>
          <w:szCs w:val="20"/>
          <w:color w:val="auto"/>
        </w:rPr>
      </w:pPr>
      <w:r>
        <w:rPr>
          <w:rFonts w:ascii="Times New Roman" w:cs="Times New Roman" w:eastAsia="Times New Roman" w:hAnsi="Times New Roman"/>
          <w:sz w:val="14"/>
          <w:szCs w:val="14"/>
          <w:color w:val="auto"/>
        </w:rPr>
        <w:t>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94"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For the three and six months ended March 31, 2022, the Company recognized a provision for taxes of $5.1 million and $5.1 million, respectively, on net realized gain on investments by the Taxable Subsidiary. The provision for taxes on net realized gain on investments is the result of netting (i) the expected tax liability on the gains from the sales of investments which were realized during fiscal year ending September 30, 2022 and (ii) the expected tax benefit resulting from the use of loss carryforwards to offset such gains. For the three and six months ended March 31, 2021, the Company recognized a provision for taxes of zero on net realized gain on investments by the Taxable Subsidiary.</w:t>
      </w:r>
    </w:p>
    <w:p>
      <w:pPr>
        <w:spacing w:after="0" w:line="123"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4"/>
          <w:szCs w:val="14"/>
          <w:color w:val="auto"/>
        </w:rPr>
        <w:t>For the three and six months ended March 31, 2022, the Company recognized a provision for taxes of $(5.1) million and zero, respectively, on unrealized appreciation on investments by the Taxable Subsidiary. For the three and six months ended March 31, 2021, the Company recognized a provision for taxes of zero on unrealized appreciation on investments by the Taxable Subsidiary. During the three and six months ended March 31, 2022, the Company paid $4.0 million in taxes on realized gains on the sale of investments held by the Taxable Subsidiary, resulting in remaining tax liability of $1.1 million as of March 31, 2022 included under accrued other expenses in the consolidated statement of assets and liabilities.</w:t>
      </w:r>
    </w:p>
    <w:p>
      <w:pPr>
        <w:spacing w:after="0" w:line="137"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4"/>
          <w:szCs w:val="14"/>
          <w:color w:val="auto"/>
        </w:rPr>
        <w:t>We have formed the Taxable Subsidiary, which is subject to tax as a corporation. The Taxable Subsidiary allows us to hold equity securities of certain portfolio companies treated as pass-through entities for U.S. federal income tax purposes while facilitating our ability to qualify as a RIC under the Code.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Set forth below are the results of operations for the three and six months ended March 31, 2022 and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18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4"/>
          <w:szCs w:val="14"/>
          <w:color w:val="auto"/>
        </w:rPr>
        <w:t>Investment income for the three and six months ended March 31, 2022 was $24.3 million and $52.7 million, respectively, which was attributable to $14.5 million and $34.6 million from first lien secured debt, $6.3 million and $10.8 million from second lien secured debt, $0.4 million and $2.3 million from subordinated debt and $3.1 million and $4.9 million from preferred and common equity, respectively. This compares to Investment income for the three and six months ended March 31, 2021 was $19.2 million and $38.0 million, respectively, which was attributable to $10.9 million and $22.1 million from first lien secured debt, $5.8 million and $10.6 million from second lien secured debt, $1.7 million and $3.4 million from subordinated debt and $0.9 million and $1.9 million from preferred and common equity, respectively. The increase in investment income compared to the same periods in the prior year was primarily due to the increase in the size of our debt portfolio.</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67" w:lineRule="exact"/>
        <w:rPr>
          <w:sz w:val="20"/>
          <w:szCs w:val="20"/>
          <w:color w:val="auto"/>
        </w:rPr>
      </w:pPr>
    </w:p>
    <w:p>
      <w:pPr>
        <w:ind w:right="260" w:firstLine="449"/>
        <w:spacing w:after="0" w:line="253" w:lineRule="auto"/>
        <w:rPr>
          <w:sz w:val="20"/>
          <w:szCs w:val="20"/>
          <w:color w:val="auto"/>
        </w:rPr>
      </w:pPr>
      <w:r>
        <w:rPr>
          <w:rFonts w:ascii="Times New Roman" w:cs="Times New Roman" w:eastAsia="Times New Roman" w:hAnsi="Times New Roman"/>
          <w:sz w:val="14"/>
          <w:szCs w:val="14"/>
          <w:color w:val="auto"/>
        </w:rPr>
        <w:t>Expenses for the three and six months ended March 31, 2022 totaled $12.7 million and $28.5 million, respectively. Base management fee for the same periods totaled $5.0 million and $10.1 million, performance base incentive fee for the same periods totaled zero and $2.7 million, debt related interest and expenses totaled $6.5 million and $13.4 million, general and administrative expenses totaled $1.0 million and $1.9 million and provision for taxes totaled $0.2 million and $0.4 million, respectively. This compares to net expenses for the three and six months ended March 31, 2021 totaled $10.5 million and $20.9 million, respectively. Base management fee for the same periods totaled $4.3 million and $8.4 million, debt related interest and expenses totaled $4.9 million and $9.9 million, general and administrative expenses totaled $1.1 million and $2.3 million and provision for taxes totaled $0.2 million and $0.3 million, respectively. The increase in expenses for the three months ended March 31, 2022 compared to the same period in the prior year was primarily due to increased financing costs .</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167" w:lineRule="exact"/>
        <w:rPr>
          <w:sz w:val="20"/>
          <w:szCs w:val="20"/>
          <w:color w:val="auto"/>
        </w:rPr>
      </w:pPr>
    </w:p>
    <w:p>
      <w:pPr>
        <w:jc w:val="both"/>
        <w:ind w:right="240" w:firstLine="449"/>
        <w:spacing w:after="0" w:line="271" w:lineRule="auto"/>
        <w:rPr>
          <w:sz w:val="20"/>
          <w:szCs w:val="20"/>
          <w:color w:val="auto"/>
        </w:rPr>
      </w:pPr>
      <w:r>
        <w:rPr>
          <w:rFonts w:ascii="Times New Roman" w:cs="Times New Roman" w:eastAsia="Times New Roman" w:hAnsi="Times New Roman"/>
          <w:sz w:val="14"/>
          <w:szCs w:val="14"/>
          <w:color w:val="auto"/>
        </w:rPr>
        <w:t>Net investment income totaled $11.7 million and $24.2 million, or $0.18 and $0.36 per share, for the three and six months ended March 31, 2022, respectively. Net investment income totaled $8.8 million and $17.1 million, or $0.13 and $0.25 per share, for the three and six months ended March 31, 2021, respectively. The increase in net investment income compared to the same period in the prior year was primarily due to increased investment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w:t>
      </w:r>
    </w:p>
    <w:p>
      <w:pPr>
        <w:spacing w:after="0" w:line="181"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4"/>
          <w:szCs w:val="14"/>
          <w:color w:val="auto"/>
        </w:rPr>
        <w:t>Sales and repayments of investments for the three and six months ended March 31, 2022 totaled $405.5 million and $537.7 million, respectively, and net realized gains totaled $142.8 million and $116.7 million, respectively. Sales and repayments of investments for the three and six months ended March 31, 2021 totaled $65.0 million and $167.6 million, respectively, and net realized gains (losses) totaled $0.3 million and ($17.3) million, respectively. The change in realized gains was primarily due to changes in the market conditions of our investments and the values at which they were realized.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and the Credit Facilities</w:t>
      </w:r>
    </w:p>
    <w:p>
      <w:pPr>
        <w:spacing w:after="0" w:line="18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4"/>
          <w:szCs w:val="14"/>
          <w:color w:val="auto"/>
        </w:rPr>
        <w:t>For the three and six months ended March 31, 2022, we reported net change in unrealized depreciation on investments of $151.5 million and $104.7 million, respectively. For the three and six months ended March 31, 2021, we reported net change in unrealized appreciation on investments of $33.2 million and $126.7 million, respectively. As of March 31, 2022 and September 30, 2021, our net unrealized (depreciation) appreciation on investments totaled $(70.5) million and $34.2 million, respectively. The net change in unrealized depreciation on our investments compared to the same period in the prior year was primarily due to the reversal of the unrealized appreciation of PT Network Intermediate Holdings, LLC after realizing the investment.</w:t>
      </w:r>
    </w:p>
    <w:p>
      <w:pPr>
        <w:spacing w:after="0" w:line="13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4"/>
          <w:szCs w:val="14"/>
          <w:color w:val="auto"/>
        </w:rPr>
        <w:t>For the three and six months ended March 31, 2022, the Truist Credit Facility had a net change in unrealized depreciation of $1.3 million and $0.3 million, respectively. For the three and six months ended March 31, 2021, the Truist Credit Facility had a net change in unrealized appreciation of $3.8 million and $16.9 million, respectively, respectively. As of March 31, 2022 and September 30, 2021, the net unrealized depreciation on the Credit Facilities totaled $2.0 million and $1.7 million, respectively. The net change in unrealized depreciation compared to the same periods in the prior year was primarily due to changes in the capital markets.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i w:val="1"/>
          <w:iCs w:val="1"/>
          <w:color w:val="auto"/>
        </w:rPr>
        <w:t>Net Change in Net Assets Resulting from Operations</w:t>
      </w:r>
    </w:p>
    <w:p>
      <w:pPr>
        <w:spacing w:after="0" w:line="167"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4"/>
          <w:szCs w:val="14"/>
          <w:color w:val="auto"/>
        </w:rPr>
        <w:t>Net change in net assets resulting from operations totaled $3.2 million and $28.7 million, or $0.05 and $0.43 per share, for the three and six months ended March 31, 2022, respectively. Net change in net assets resulting from operations totaled $38.5 million and $109.6 million, or $0.57 and $1.64 per share, for the three and six months ended March 31, 2021, respectively. The decrease in the net change in net assets from operations for the three and six months ended March 31, 2022 compared to the same periods in the prior year was primarily due to a decrease in unrealized appreciation.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March 31, 2022,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“COVID-19 Developments” section above.</w:t>
      </w:r>
    </w:p>
    <w:p>
      <w:pPr>
        <w:spacing w:after="0" w:line="143"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March 31, 2022 and September 30, 2021, our asset coverage ratio, computed in accordance with the 1940 Act was 227% and 221%, respectively.</w:t>
      </w:r>
    </w:p>
    <w:p>
      <w:pPr>
        <w:spacing w:after="0" w:line="163" w:lineRule="exact"/>
        <w:rPr>
          <w:sz w:val="20"/>
          <w:szCs w:val="20"/>
          <w:color w:val="auto"/>
        </w:rPr>
      </w:pPr>
    </w:p>
    <w:p>
      <w:pPr>
        <w:ind w:right="240" w:firstLine="449"/>
        <w:spacing w:after="0" w:line="302" w:lineRule="auto"/>
        <w:rPr>
          <w:sz w:val="20"/>
          <w:szCs w:val="20"/>
          <w:color w:val="auto"/>
        </w:rPr>
      </w:pPr>
      <w:r>
        <w:rPr>
          <w:rFonts w:ascii="Times New Roman" w:cs="Times New Roman" w:eastAsia="Times New Roman" w:hAnsi="Times New Roman"/>
          <w:sz w:val="14"/>
          <w:szCs w:val="14"/>
          <w:color w:val="auto"/>
        </w:rPr>
        <w:t>The annualized weighted average cost of debt for the six months ended March 31, 2022 and 2021, inclusive of the fee on the undrawn commitment and amendment costs on the Credit Facilities, amortized upfront fees on SBA debentures, was 4.8% and 3.5%, respectively.</w:t>
      </w:r>
    </w:p>
    <w:p>
      <w:pPr>
        <w:spacing w:after="0" w:line="94"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4"/>
          <w:szCs w:val="14"/>
          <w:color w:val="auto"/>
        </w:rPr>
        <w:t>As of March 31, 2022, we had the multi-currency Truist Credit Facility for up to $465.0 million (increased from $435.0 million in December 2021) in borrowings with certain lenders and Truist Bank, acting as administrative agent, and JPMorgan Chase Bank, N.A., acting as syndication agent for the lenders. As of March 31, 2022 and September 30, 2021, we had $217.9 million and $316.5 million, respectively, in outstanding borrowings under the Truist Credit Facility. The Truist Credit Facility had a weighted average interest rate of 2.8% and 2.4%, respectively, exclusive of the fee on undrawn commitments, as of March 31, 2022 and September 30, 2021. The Truist Credit Facility is a revolving facility with a stated maturity date of September 4, 2024, a one-year term-out period on September 4, 2023 and pricing set at 225 basis points over LIBOR (or an alternative risk-free floating interest rate index). As of March 31, 2022 and September 30, 2021, we had $247.1 million and $118.5 million of unused borrowing capacity under the Truist Credit Facility, respectively, subject to leverage and borrowing base restrictions. The Truist Credit Facility is secured by substantially all of our assets excluding assets held by SBIC II. As of March 31, 2022, we were in compliance with the terms of the Truist Credit Facility.</w:t>
      </w:r>
    </w:p>
    <w:p>
      <w:pPr>
        <w:spacing w:after="0" w:line="130" w:lineRule="exact"/>
        <w:rPr>
          <w:sz w:val="20"/>
          <w:szCs w:val="20"/>
          <w:color w:val="auto"/>
        </w:rPr>
      </w:pPr>
    </w:p>
    <w:p>
      <w:pPr>
        <w:ind w:right="100" w:firstLine="449"/>
        <w:spacing w:after="0" w:line="271" w:lineRule="auto"/>
        <w:rPr>
          <w:sz w:val="20"/>
          <w:szCs w:val="20"/>
          <w:color w:val="auto"/>
        </w:rPr>
      </w:pPr>
      <w:r>
        <w:rPr>
          <w:rFonts w:ascii="Times New Roman" w:cs="Times New Roman" w:eastAsia="Times New Roman" w:hAnsi="Times New Roman"/>
          <w:sz w:val="14"/>
          <w:szCs w:val="14"/>
          <w:color w:val="auto"/>
        </w:rPr>
        <w:t>As of March 31, 2022 and September 30, 2021, we had zero and $86.3 million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on January 15, April 15, July 15 and October 15, at a rate of 5.5% per year.</w:t>
      </w:r>
    </w:p>
    <w:p>
      <w:pPr>
        <w:spacing w:after="0" w:line="89"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4"/>
          <w:szCs w:val="14"/>
          <w:color w:val="auto"/>
        </w:rPr>
        <w:t xml:space="preserve">As of March 31, 2022,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9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4"/>
          <w:szCs w:val="14"/>
          <w:color w:val="auto"/>
        </w:rPr>
        <w:t>As of March 31, 2022, we had $165.0 million in aggregate principal amount of 2026 Notes-2 outstanding. Interest on the 2026 Notes is paid semi-annually on May 1 and November 1, at a rate of 4.0% per year, commencing May 1, 2022. The 2026 Notes-2 mature on November 1, 2026, and may be redeemed in whole or in part at our option subject to a make-whole premium if</w:t>
      </w:r>
    </w:p>
    <w:p>
      <w:pPr>
        <w:spacing w:after="0" w:line="1"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4"/>
          <w:szCs w:val="14"/>
          <w:color w:val="auto"/>
        </w:rPr>
        <w:t xml:space="preserve">redeemed more than three months prior to maturity. The 2026 Notes-2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122" w:lineRule="exact"/>
        <w:rPr>
          <w:sz w:val="20"/>
          <w:szCs w:val="20"/>
          <w:color w:val="auto"/>
        </w:rPr>
      </w:pPr>
    </w:p>
    <w:p>
      <w:pPr>
        <w:jc w:val="both"/>
        <w:ind w:right="120" w:firstLine="449"/>
        <w:spacing w:after="0" w:line="243" w:lineRule="auto"/>
        <w:rPr>
          <w:sz w:val="20"/>
          <w:szCs w:val="20"/>
          <w:color w:val="auto"/>
        </w:rPr>
      </w:pPr>
      <w:r>
        <w:rPr>
          <w:rFonts w:ascii="Times New Roman" w:cs="Times New Roman" w:eastAsia="Times New Roman" w:hAnsi="Times New Roman"/>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w:t>
      </w:r>
    </w:p>
    <w:p>
      <w:pPr>
        <w:spacing w:after="0" w:line="1"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4"/>
          <w:szCs w:val="14"/>
          <w:color w:val="auto"/>
        </w:rPr>
        <w:t>and conditions than the Truist Credit Facility and SBA debentures.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31"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2022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27"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4"/>
          <w:szCs w:val="14"/>
          <w:color w:val="auto"/>
        </w:rPr>
        <w:t>Under our Administration Agreement, which was most recently reapproved by our board of directors, including a majority of our directors who are not interested persons of us, in February 2022 the Administrator furnishes us with office facilities and administrative services necessary to conduct our day-to-day operations. PennantPark Investment, through the Administrator, provides similar services to SBIC II under its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43"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42" w:name="page43"/>
    <w:bookmarkEnd w:id="42"/>
    <w:p>
      <w:pPr>
        <w:ind w:right="100" w:firstLine="449"/>
        <w:spacing w:after="0" w:line="256"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$27.5 million and $63.5 million as of March 31, 2022 and September 30, 2021,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27"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4"/>
          <w:szCs w:val="14"/>
          <w:color w:val="auto"/>
        </w:rPr>
        <w:t>As of both March 31, 2022 and September 30, 2021, SBIC II had an initial $150.0 million in debt commitments, all of which were drawn. During the three and six months ended March 31, 2022, $36.0 million in SBA debentures were repaid, respectively. During both the three and six months ended March 31, 2021, there was $20.0 million in SBA debentures were repaid, respectively. As of both March 31, 2022 and September 30, 2021, the unamortized fees on the SBA debentures was $1.3 million, respectively. The SBA debentures’ upfront fees of 3.4% consist of a commitment fee of 1.0% and an issuance discount of 2.4%, which are being amortized.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fixed-rate SBA debentures as of March 31, 2022 and September 30, 2021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33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40" w:type="dxa"/>
            <w:vAlign w:val="bottom"/>
          </w:tcPr>
          <w:p>
            <w:pPr>
              <w:spacing w:after="0"/>
              <w:rPr>
                <w:sz w:val="13"/>
                <w:szCs w:val="13"/>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60" w:type="dxa"/>
            <w:vAlign w:val="bottom"/>
          </w:tcPr>
          <w:p>
            <w:pPr>
              <w:spacing w:after="0"/>
              <w:rPr>
                <w:sz w:val="13"/>
                <w:szCs w:val="13"/>
                <w:color w:val="auto"/>
              </w:rPr>
            </w:pPr>
          </w:p>
        </w:tc>
        <w:tc>
          <w:tcPr>
            <w:tcW w:w="2440" w:type="dxa"/>
            <w:vAlign w:val="bottom"/>
            <w:gridSpan w:val="2"/>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13"/>
                <w:szCs w:val="13"/>
                <w:color w:val="auto"/>
              </w:rPr>
            </w:pPr>
          </w:p>
        </w:tc>
        <w:tc>
          <w:tcPr>
            <w:tcW w:w="22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3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40" w:type="dxa"/>
            <w:vAlign w:val="bottom"/>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1, 2027</w:t>
            </w:r>
          </w:p>
        </w:tc>
        <w:tc>
          <w:tcPr>
            <w:tcW w:w="260" w:type="dxa"/>
            <w:vAlign w:val="bottom"/>
            <w:shd w:val="clear" w:color="auto" w:fill="CCECFF"/>
          </w:tcPr>
          <w:p>
            <w:pPr>
              <w:spacing w:after="0"/>
              <w:rPr>
                <w:sz w:val="14"/>
                <w:szCs w:val="14"/>
                <w:color w:val="auto"/>
              </w:rPr>
            </w:pPr>
          </w:p>
        </w:tc>
        <w:tc>
          <w:tcPr>
            <w:tcW w:w="2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2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CFF"/>
          </w:tcPr>
          <w:p>
            <w:pPr>
              <w:spacing w:after="0"/>
              <w:rPr>
                <w:sz w:val="14"/>
                <w:szCs w:val="14"/>
                <w:color w:val="auto"/>
              </w:rPr>
            </w:pPr>
          </w:p>
        </w:tc>
        <w:tc>
          <w:tcPr>
            <w:tcW w:w="2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260" w:type="dxa"/>
            <w:vAlign w:val="bottom"/>
          </w:tcPr>
          <w:p>
            <w:pPr>
              <w:spacing w:after="0"/>
              <w:rPr>
                <w:sz w:val="24"/>
                <w:szCs w:val="24"/>
                <w:color w:val="auto"/>
              </w:rPr>
            </w:pPr>
          </w:p>
        </w:tc>
        <w:tc>
          <w:tcPr>
            <w:tcW w:w="33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40" w:type="dxa"/>
            <w:vAlign w:val="bottom"/>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60" w:type="dxa"/>
            <w:vAlign w:val="bottom"/>
          </w:tcPr>
          <w:p>
            <w:pPr>
              <w:spacing w:after="0"/>
              <w:rPr>
                <w:sz w:val="24"/>
                <w:szCs w:val="24"/>
                <w:color w:val="auto"/>
              </w:rPr>
            </w:pPr>
          </w:p>
        </w:tc>
        <w:tc>
          <w:tcPr>
            <w:tcW w:w="2440" w:type="dxa"/>
            <w:vAlign w:val="bottom"/>
            <w:gridSpan w:val="2"/>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24"/>
                <w:szCs w:val="24"/>
                <w:color w:val="auto"/>
              </w:rPr>
            </w:pPr>
          </w:p>
        </w:tc>
        <w:tc>
          <w:tcPr>
            <w:tcW w:w="22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3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40" w:type="dxa"/>
            <w:vAlign w:val="bottom"/>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1, 2027</w:t>
            </w:r>
          </w:p>
        </w:tc>
        <w:tc>
          <w:tcPr>
            <w:tcW w:w="260" w:type="dxa"/>
            <w:vAlign w:val="bottom"/>
            <w:shd w:val="clear" w:color="auto" w:fill="CCECFF"/>
          </w:tcPr>
          <w:p>
            <w:pPr>
              <w:spacing w:after="0"/>
              <w:rPr>
                <w:sz w:val="14"/>
                <w:szCs w:val="14"/>
                <w:color w:val="auto"/>
              </w:rPr>
            </w:pPr>
          </w:p>
        </w:tc>
        <w:tc>
          <w:tcPr>
            <w:tcW w:w="2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2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March 21, 2018</w:t>
            </w:r>
          </w:p>
        </w:tc>
        <w:tc>
          <w:tcPr>
            <w:tcW w:w="2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March 1, 2028</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tcBorders>
              <w:bottom w:val="single" w:sz="8" w:color="CCECFF"/>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Weighted Average Rate / Total</w:t>
            </w:r>
          </w:p>
        </w:tc>
        <w:tc>
          <w:tcPr>
            <w:tcW w:w="240" w:type="dxa"/>
            <w:vAlign w:val="bottom"/>
            <w:tcBorders>
              <w:bottom w:val="single" w:sz="8" w:color="CCECFF"/>
            </w:tcBorders>
            <w:shd w:val="clear" w:color="auto" w:fill="CCECFF"/>
          </w:tcPr>
          <w:p>
            <w:pPr>
              <w:spacing w:after="0"/>
              <w:rPr>
                <w:sz w:val="18"/>
                <w:szCs w:val="18"/>
                <w:color w:val="auto"/>
              </w:rPr>
            </w:pPr>
          </w:p>
        </w:tc>
        <w:tc>
          <w:tcPr>
            <w:tcW w:w="21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20" w:type="dxa"/>
            <w:vAlign w:val="bottom"/>
            <w:tcBorders>
              <w:bottom w:val="single" w:sz="8" w:color="CCECFF"/>
            </w:tcBorders>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63,500</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1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fees.</w:t>
            </w:r>
          </w:p>
        </w:tc>
        <w:tc>
          <w:tcPr>
            <w:tcW w:w="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(1)</w:t>
            </w:r>
          </w:p>
        </w:tc>
        <w:tc>
          <w:tcPr>
            <w:tcW w:w="162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Excluding 3.4% of upfront</w:t>
            </w:r>
          </w:p>
        </w:tc>
        <w:tc>
          <w:tcPr>
            <w:tcW w:w="1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-255905</wp:posOffset>
            </wp:positionV>
            <wp:extent cx="1200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-238760</wp:posOffset>
            </wp:positionV>
            <wp:extent cx="12001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-255905</wp:posOffset>
            </wp:positionV>
            <wp:extent cx="260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-238760</wp:posOffset>
            </wp:positionV>
            <wp:extent cx="260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2022, SBIC II was in compliance with their regulatory requirements.</w:t>
      </w:r>
    </w:p>
    <w:p>
      <w:pPr>
        <w:spacing w:after="0" w:line="127" w:lineRule="exact"/>
        <w:rPr>
          <w:sz w:val="20"/>
          <w:szCs w:val="20"/>
          <w:color w:val="auto"/>
        </w:rPr>
      </w:pPr>
    </w:p>
    <w:p>
      <w:pPr>
        <w:ind w:right="20" w:firstLine="449"/>
        <w:spacing w:after="0" w:line="257" w:lineRule="auto"/>
        <w:rPr>
          <w:sz w:val="20"/>
          <w:szCs w:val="20"/>
          <w:color w:val="auto"/>
        </w:rPr>
      </w:pPr>
      <w:r>
        <w:rPr>
          <w:rFonts w:ascii="Times New Roman" w:cs="Times New Roman" w:eastAsia="Times New Roman" w:hAnsi="Times New Roman"/>
          <w:sz w:val="14"/>
          <w:szCs w:val="14"/>
          <w:color w:val="auto"/>
        </w:rPr>
        <w:t>In accordance with the 1940 Act, with certain limited exceptions, PennantPark Investment is only allowed to borrow amounts such that our required 150% asset coverage ratio is met after such borrowing. As of March 31, 2022 and September 30, 2021,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March 31, 2022 and September 30, 2021, we had cash and cash equivalents of $26.3 million and $20.4 million, respectively, available for investing and general corporate purposes.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our liquidity and capital resources are sufficient to take advantage of market opportunities.</w:t>
      </w:r>
    </w:p>
    <w:p>
      <w:pPr>
        <w:spacing w:after="0" w:line="161"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4"/>
          <w:szCs w:val="14"/>
          <w:color w:val="auto"/>
        </w:rPr>
        <w:t>Our operating activities provided cash of $89.8 million for the six months ended March 31, 2022, and our financing activities used cash of $83.9 million for the same period. Our operating activities provided cash primarily due to our investment activities and our financing activities used cash primarily due to the repayments under the Truist Credit Facility.</w:t>
      </w:r>
    </w:p>
    <w:p>
      <w:pPr>
        <w:spacing w:after="0" w:line="108" w:lineRule="exact"/>
        <w:rPr>
          <w:sz w:val="20"/>
          <w:szCs w:val="20"/>
          <w:color w:val="auto"/>
        </w:rPr>
      </w:pPr>
    </w:p>
    <w:p>
      <w:pPr>
        <w:ind w:right="20" w:firstLine="449"/>
        <w:spacing w:after="0" w:line="302" w:lineRule="auto"/>
        <w:rPr>
          <w:sz w:val="20"/>
          <w:szCs w:val="20"/>
          <w:color w:val="auto"/>
        </w:rPr>
      </w:pPr>
      <w:r>
        <w:rPr>
          <w:rFonts w:ascii="Times New Roman" w:cs="Times New Roman" w:eastAsia="Times New Roman" w:hAnsi="Times New Roman"/>
          <w:sz w:val="14"/>
          <w:szCs w:val="14"/>
          <w:color w:val="auto"/>
        </w:rPr>
        <w:t>Our operating activities provided cash of $46.8 million for the six months ended March 31, 2021 and our financing activities used cash of $38.8 million for the same period. Our operating activities provided cash primarily from our investment activities and our financing activities used cash primarily to pay down the Truist Credit Facility and our SBA Debentures.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79" w:lineRule="exact"/>
        <w:rPr>
          <w:sz w:val="20"/>
          <w:szCs w:val="20"/>
          <w:color w:val="auto"/>
        </w:rPr>
      </w:pPr>
    </w:p>
    <w:p>
      <w:pPr>
        <w:ind w:right="160" w:firstLine="449"/>
        <w:spacing w:after="0" w:line="248" w:lineRule="auto"/>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March 31, 2022 and September 30, 2021, PSLF had total assets of $468.6 million and $417.4 million, respectively. PSLF’s portfolio consisted of debt investments in 60 and 47 portfolio companies as of March 31, 2022 and September 30, 2021, respectively. As of the same dates, we and Pantheon had remaining commitments to fund first lien secured debt and equity interests in PSLF in an aggregate amount of $19.7 and $12.8 million, respectively. As of March 31, 2022, at fair value, the largest investment in a single portfolio company in PSLF was $16.7 million and the five largest investments totaled $73.9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298"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March 31, 2022 and September 30, 2021, we and Pantheon owned 60.5% and 39.5%, respectively, of each of the outstanding subordinated notes and equity interests of PSLF. As of March 31, 2022 and September 30, 2021 our investment in PSLF consisted of subordinated notes of $76.1 million (additional $11.9 million unfunded) and $64.2 million, respectively, and equity interests of $48.1 million (additional $7.7 million unfunded) and $41.2 million, respectively.</w:t>
      </w:r>
    </w:p>
    <w:p>
      <w:pPr>
        <w:spacing w:after="0" w:line="123" w:lineRule="exact"/>
        <w:rPr>
          <w:sz w:val="20"/>
          <w:szCs w:val="20"/>
          <w:color w:val="auto"/>
        </w:rPr>
      </w:pPr>
    </w:p>
    <w:p>
      <w:pPr>
        <w:ind w:right="180" w:firstLine="449"/>
        <w:spacing w:after="0" w:line="253"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Member Designees’ Committee. Quorum is defined as (i) the presence of two members of</w:t>
      </w:r>
    </w:p>
    <w:p>
      <w:pPr>
        <w:spacing w:after="0" w:line="1"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4"/>
          <w:szCs w:val="14"/>
          <w:color w:val="auto"/>
        </w:rPr>
        <w:t>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w:t>
      </w:r>
    </w:p>
    <w:p>
      <w:pPr>
        <w:spacing w:after="0" w:line="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4"/>
          <w:szCs w:val="14"/>
          <w:color w:val="auto"/>
        </w:rPr>
        <w:t>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3" w:name="page44"/>
    <w:bookmarkEnd w:id="43"/>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Additionally, PSLF, through its wholly-owned subsidiary, or PSLF Subsidiary, has entered into a $225.0 million (reduced from $275.0 million on March 2, 2022) senior secured revolving credit facility which bears interest at SOFR (or an alternative risk-free interest rate index) plus 255 basis points during the investment period, or the PSLF Credit Facility, with BNP Paribas, subject to leverage and borrowing base restrictions.</w:t>
      </w:r>
    </w:p>
    <w:p>
      <w:pPr>
        <w:spacing w:after="0" w:line="136" w:lineRule="exact"/>
        <w:rPr>
          <w:sz w:val="20"/>
          <w:szCs w:val="20"/>
          <w:color w:val="auto"/>
        </w:rPr>
      </w:pPr>
    </w:p>
    <w:p>
      <w:pPr>
        <w:jc w:val="both"/>
        <w:ind w:right="100" w:firstLine="449"/>
        <w:spacing w:after="0" w:line="256" w:lineRule="auto"/>
        <w:rPr>
          <w:sz w:val="20"/>
          <w:szCs w:val="20"/>
          <w:color w:val="auto"/>
        </w:rPr>
      </w:pPr>
      <w:r>
        <w:rPr>
          <w:rFonts w:ascii="Times New Roman" w:cs="Times New Roman" w:eastAsia="Times New Roman" w:hAnsi="Times New Roman"/>
          <w:sz w:val="14"/>
          <w:szCs w:val="14"/>
          <w:color w:val="auto"/>
        </w:rPr>
        <w:t>In March 2022, PSLF completed a $304.0 million debt securitization in the form of a collateralized loan obligation, or the “2034 Asset-Backed Debt”. The 2034 Asset-Backed Debt is secured by a diversified portfolio of PennantPark CLO IV, Ltd.,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Ltd. of the initial closing date loan portfolio, which included loans distributed to PSLF by certain of its wholly owned subsidiaries and us, PennantPark CLO IV, Ltd. transferred to PSLF 100% of the Preferred Shares of PennantPark CLO IV, Ltd. and 100% of the Subordinated Notes issued by PennantPark CLO IV, Ltd.</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69"/>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7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7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500" w:type="dxa"/>
            <w:vAlign w:val="bottom"/>
            <w:tcBorders>
              <w:top w:val="single" w:sz="8" w:color="auto"/>
            </w:tcBorders>
            <w:shd w:val="clear" w:color="auto" w:fill="CCECFF"/>
          </w:tcPr>
          <w:p>
            <w:pPr>
              <w:jc w:val="right"/>
              <w:ind w:right="34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446,088</w:t>
            </w:r>
          </w:p>
        </w:tc>
        <w:tc>
          <w:tcPr>
            <w:tcW w:w="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CFF"/>
          </w:tcPr>
          <w:p>
            <w:pPr>
              <w:spacing w:after="0"/>
              <w:rPr>
                <w:sz w:val="14"/>
                <w:szCs w:val="14"/>
                <w:color w:val="auto"/>
              </w:rPr>
            </w:pPr>
          </w:p>
        </w:tc>
        <w:tc>
          <w:tcPr>
            <w:tcW w:w="180" w:type="dxa"/>
            <w:vAlign w:val="bottom"/>
            <w:tcBorders>
              <w:top w:val="single" w:sz="8" w:color="auto"/>
            </w:tcBorders>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405,232</w:t>
            </w:r>
          </w:p>
        </w:tc>
        <w:tc>
          <w:tcPr>
            <w:tcW w:w="1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7.2 %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7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7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34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16,727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16,817</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160" w:type="dxa"/>
            <w:vAlign w:val="bottom"/>
            <w:shd w:val="clear" w:color="auto" w:fill="CCECFF"/>
          </w:tcPr>
          <w:p>
            <w:pPr>
              <w:spacing w:after="0"/>
              <w:rPr>
                <w:sz w:val="15"/>
                <w:szCs w:val="15"/>
                <w:color w:val="auto"/>
              </w:rPr>
            </w:pPr>
          </w:p>
        </w:tc>
        <w:tc>
          <w:tcPr>
            <w:tcW w:w="27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34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73,858</w:t>
            </w:r>
          </w:p>
        </w:tc>
        <w:tc>
          <w:tcPr>
            <w:tcW w:w="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74,445</w:t>
            </w:r>
          </w:p>
        </w:tc>
        <w:tc>
          <w:tcPr>
            <w:tcW w:w="14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610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March 31, 2022: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vMerge w:val="restart"/>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62"/>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7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6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60" w:type="dxa"/>
            <w:vAlign w:val="bottom"/>
          </w:tcPr>
          <w:p>
            <w:pPr>
              <w:spacing w:after="0"/>
              <w:rPr>
                <w:sz w:val="14"/>
                <w:szCs w:val="14"/>
                <w:color w:val="auto"/>
              </w:rPr>
            </w:pPr>
          </w:p>
        </w:tc>
        <w:tc>
          <w:tcPr>
            <w:tcW w:w="600" w:type="dxa"/>
            <w:vAlign w:val="bottom"/>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Par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- 560.7%</w:t>
            </w: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5/6/2026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4,963</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4,963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7/24/2025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9.00 %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896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12/21/2023</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12,560</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12,560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7/21/2027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6,484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6,484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7/31/2025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6.27 %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6,569</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6,492</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6,569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7/31/2025</w:t>
            </w:r>
          </w:p>
        </w:tc>
        <w:tc>
          <w:tcPr>
            <w:tcW w:w="16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6.55 %</w:t>
            </w:r>
          </w:p>
        </w:tc>
        <w:tc>
          <w:tcPr>
            <w:tcW w:w="3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3,323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3,323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12/29/2026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7,406</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7,314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2/13/2023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6.25 %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13,729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13,710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13,729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8/20/2026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2,992</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2,963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8/5/2025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6.00 %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5,955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5,806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8/27/2026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6,484</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6,357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6,484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11/3/2025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13,360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13,280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13,293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6/30/2024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Containers and Packaging</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4,000</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3,932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3/31/2028</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8.25 %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4,581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4,600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12/23/2025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5.75 %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2,827</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2,770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3/16/2026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7,425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7,351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8/10/2027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1,984</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1,930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12/31/2026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6.26 %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5,925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11/23/2028</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4,000</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3,920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12/10/2024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6.44 %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14,513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14,350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14,222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9/22/2028</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7.01 %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4,496</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4,428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Imagine Acquisitionco, Inc.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3,678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3,605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8/27/2025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7,828</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7,785</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7,753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9.00 %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14,513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14,367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2/18/2027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8.01 %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9,975</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9,840</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9,975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10/31/2024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8.50 %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2,131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2,082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2/3/2026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12,408</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12,153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12,284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4/13/2023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7.25 %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16,727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16,689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16,727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4/1/2027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5,600</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5,040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5/14/2026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7,960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7,900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4/16/2027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7,444</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7,359</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7,369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5/23/2024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13,130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13,130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9/28/2027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6.00 %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4,175</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4,037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8/19/2026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7,542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7,456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7,505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7/9/2026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5.75 %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3,883</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3,845</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3,844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5/8/2026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2,594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2,447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11/19/2026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7.25 %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3,429</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3,362</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3,361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12,784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12,665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12,656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12/18/2025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5,207</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5,207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5,207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1/29/2026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9,900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9,752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14,618</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14,495</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14,329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6/20/2025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3,229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3,220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1/3/2025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7.75 %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7,267</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7,164</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7,267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5,137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5,137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5/3/2024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7.50 %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13,125</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13,024</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13,125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1/17/2024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6.75 %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11,815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11,295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12/11/2026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5.71 %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12,099</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12,024</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11,736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4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10"/>
                <w:szCs w:val="10"/>
                <w:color w:val="auto"/>
              </w:rPr>
              <w:t>System Planning and Analysis, Inc. (f/k/a</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Management Consulting &amp; Research,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8/16/2027</w:t>
            </w:r>
          </w:p>
        </w:tc>
        <w:tc>
          <w:tcPr>
            <w:tcW w:w="160" w:type="dxa"/>
            <w:vAlign w:val="bottom"/>
          </w:tcPr>
          <w:p>
            <w:pPr>
              <w:spacing w:after="0"/>
              <w:rPr>
                <w:sz w:val="13"/>
                <w:szCs w:val="13"/>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7.01 %</w:t>
            </w:r>
          </w:p>
        </w:tc>
        <w:tc>
          <w:tcPr>
            <w:tcW w:w="3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4,988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4,823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3/1/2026</w:t>
            </w:r>
          </w:p>
        </w:tc>
        <w:tc>
          <w:tcPr>
            <w:tcW w:w="160" w:type="dxa"/>
            <w:vAlign w:val="bottom"/>
            <w:shd w:val="clear" w:color="auto" w:fill="CCECFF"/>
          </w:tcPr>
          <w:p>
            <w:pPr>
              <w:spacing w:after="0"/>
              <w:rPr>
                <w:sz w:val="12"/>
                <w:szCs w:val="12"/>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4,646</w:t>
            </w:r>
          </w:p>
        </w:tc>
        <w:tc>
          <w:tcPr>
            <w:tcW w:w="1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4,646</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4,646</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11/20/2025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5.50 %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4,566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4,521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7/18/2025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6.25 %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2,981</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2,946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7/27/2026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8.00 %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3,000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8/30/2027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6.50 %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4,554</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4,505</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4,495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11/24/2025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6.25 %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5,565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5,398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3/26/2026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7.00 %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12,709</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12,654</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12,455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6/16/2025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7.25 %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9,145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9,101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9,145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4/3/2028</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6.25 %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9,925</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9,846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9,677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4/3/2024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5.51 %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4,686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4,592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6/10/2025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7.75 %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L+675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14,212</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14,054</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14,212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2/27/2026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89"/>
              </w:rPr>
              <w:t>6.76 %</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10,120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10,120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3/1/2024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w w:val="89"/>
              </w:rPr>
              <w:t>7.75 %</w:t>
            </w:r>
          </w:p>
        </w:tc>
        <w:tc>
          <w:tcPr>
            <w:tcW w:w="3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7,498</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7,423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7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5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446,592</w:t>
            </w:r>
          </w:p>
        </w:tc>
        <w:tc>
          <w:tcPr>
            <w:tcW w:w="1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446,088</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- 560.7%</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-98425</wp:posOffset>
            </wp:positionV>
            <wp:extent cx="254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-98425</wp:posOffset>
            </wp:positionV>
            <wp:extent cx="260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37"/>
        </w:trPr>
        <w:tc>
          <w:tcPr>
            <w:tcW w:w="9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- 22.5%</w:t>
            </w: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17,862</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4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2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17,862</w:t>
            </w:r>
          </w:p>
        </w:tc>
        <w:tc>
          <w:tcPr>
            <w:tcW w:w="1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17,862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- 583.2%</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464,454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(483.2)%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09"/>
        </w:trPr>
        <w:tc>
          <w:tcPr>
            <w:tcW w:w="9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(384,398</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9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-325120</wp:posOffset>
            </wp:positionV>
            <wp:extent cx="254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-325120</wp:posOffset>
            </wp:positionV>
            <wp:extent cx="260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46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0" w:lineRule="exact"/>
        <w:rPr>
          <w:sz w:val="20"/>
          <w:szCs w:val="20"/>
          <w:color w:val="auto"/>
        </w:rPr>
      </w:pPr>
    </w:p>
    <w:p>
      <w:pPr>
        <w:ind w:left="380" w:right="20" w:hanging="372"/>
        <w:spacing w:after="0" w:line="226" w:lineRule="auto"/>
        <w:tabs>
          <w:tab w:leader="none" w:pos="380" w:val="left"/>
        </w:tabs>
        <w:numPr>
          <w:ilvl w:val="0"/>
          <w:numId w:val="3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81" w:lineRule="auto"/>
        <w:tabs>
          <w:tab w:leader="none" w:pos="380" w:val="left"/>
        </w:tabs>
        <w:numPr>
          <w:ilvl w:val="0"/>
          <w:numId w:val="3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ind w:left="400" w:hanging="392"/>
        <w:spacing w:after="0" w:line="191" w:lineRule="auto"/>
        <w:tabs>
          <w:tab w:leader="none" w:pos="400" w:val="left"/>
        </w:tabs>
        <w:numPr>
          <w:ilvl w:val="0"/>
          <w:numId w:val="3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17227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9"/>
                <w:szCs w:val="9"/>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Par</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48"/>
        </w:trPr>
        <w:tc>
          <w:tcPr>
            <w:tcW w:w="3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- 570.7%</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05/06/26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3M L + 600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07/24/25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12/21/23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07/21/27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6.55%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12/29/26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02/13/23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13,674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08/05/25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11/03/25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13,428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03/31/28</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2,805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03/16/26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12/31/26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5,955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5,819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12/19/25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12/10/24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14,499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14,442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04/09/27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08/27/25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7,803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7,829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12/22/21</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12/20/23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L+700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10/31/24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02/03/26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12,273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04/13/23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L+825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04/01/27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05/14/26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04/16/27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7,481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05/23/24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05/08/26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5.65%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03/31/25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12/18/25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5,140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01/29/26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14,602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14,508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01/03/25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7,632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7,526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05/03/24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13,397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01/17/24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12/11/26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5.33%</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L+450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03/01/26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11/20/25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4,547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07/18/25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11/24/25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03/26/26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06/16/25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9,515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04/03/28</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04/03/24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7.75%</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02/27/26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409,602</w:t>
            </w:r>
          </w:p>
        </w:tc>
        <w:tc>
          <w:tcPr>
            <w:tcW w:w="16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405,009</w:t>
            </w: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405,232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Equivalents—18.9%</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Bank Cash</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top w:val="single" w:sz="8" w:color="auto"/>
              <w:bottom w:val="single" w:sz="8" w:color="auto"/>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Equivalents—592.7%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416,023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Assets—(492.7)%</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09"/>
        </w:trPr>
        <w:tc>
          <w:tcPr>
            <w:tcW w:w="3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(348,213</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-325120</wp:posOffset>
            </wp:positionV>
            <wp:extent cx="260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-325120</wp:posOffset>
            </wp:positionV>
            <wp:extent cx="260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39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34" w:lineRule="exact"/>
        <w:rPr>
          <w:sz w:val="20"/>
          <w:szCs w:val="20"/>
          <w:color w:val="auto"/>
        </w:rPr>
      </w:pPr>
    </w:p>
    <w:p>
      <w:pPr>
        <w:ind w:left="380" w:right="20" w:hanging="372"/>
        <w:spacing w:after="0" w:line="222" w:lineRule="auto"/>
        <w:tabs>
          <w:tab w:leader="none" w:pos="380" w:val="left"/>
        </w:tabs>
        <w:numPr>
          <w:ilvl w:val="0"/>
          <w:numId w:val="3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01" w:lineRule="auto"/>
        <w:tabs>
          <w:tab w:leader="none" w:pos="380" w:val="left"/>
        </w:tabs>
        <w:numPr>
          <w:ilvl w:val="0"/>
          <w:numId w:val="3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7227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4"/>
          <w:szCs w:val="14"/>
          <w:color w:val="auto"/>
        </w:rPr>
        <w:t>Below is the financial information for PSLF:</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0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(cost—$446,592 and $405,009, respectively)</w:t>
            </w:r>
          </w:p>
        </w:tc>
        <w:tc>
          <w:tcPr>
            <w:tcW w:w="1480" w:type="dxa"/>
            <w:vAlign w:val="bottom"/>
            <w:shd w:val="clear" w:color="auto" w:fill="CCECFF"/>
          </w:tcPr>
          <w:p>
            <w:pPr>
              <w:jc w:val="right"/>
              <w:ind w:right="13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446,088</w:t>
            </w:r>
          </w:p>
        </w:tc>
        <w:tc>
          <w:tcPr>
            <w:tcW w:w="5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405,232</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(cost—$17,862 and $11,013, respectively)</w:t>
            </w:r>
          </w:p>
        </w:tc>
        <w:tc>
          <w:tcPr>
            <w:tcW w:w="1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48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0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80" w:type="dxa"/>
            <w:vAlign w:val="bottom"/>
            <w:tcBorders>
              <w:bottom w:val="single" w:sz="8" w:color="auto"/>
            </w:tcBorders>
            <w:shd w:val="clear" w:color="auto" w:fill="CCECFF"/>
          </w:tcPr>
          <w:p>
            <w:pPr>
              <w:spacing w:after="0"/>
              <w:rPr>
                <w:sz w:val="14"/>
                <w:szCs w:val="14"/>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466,286</w:t>
            </w:r>
          </w:p>
        </w:tc>
        <w:tc>
          <w:tcPr>
            <w:tcW w:w="28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 payable to Members</w:t>
            </w:r>
          </w:p>
        </w:tc>
        <w:tc>
          <w:tcPr>
            <w:tcW w:w="148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148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224,000</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2034 Asset-backed debt, net (par—$246,000)</w:t>
            </w:r>
          </w:p>
        </w:tc>
        <w:tc>
          <w:tcPr>
            <w:tcW w:w="1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243,702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148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125,756</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106,041</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1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148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0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80" w:type="dxa"/>
            <w:vAlign w:val="bottom"/>
            <w:tcBorders>
              <w:bottom w:val="single" w:sz="8" w:color="auto"/>
            </w:tcBorders>
            <w:shd w:val="clear" w:color="auto" w:fill="CCECFF"/>
          </w:tcPr>
          <w:p>
            <w:pPr>
              <w:spacing w:after="0"/>
              <w:rPr>
                <w:sz w:val="14"/>
                <w:szCs w:val="14"/>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386,733</w:t>
            </w:r>
          </w:p>
        </w:tc>
        <w:tc>
          <w:tcPr>
            <w:tcW w:w="28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349,389</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79,552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0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480" w:type="dxa"/>
            <w:vAlign w:val="bottom"/>
            <w:tcBorders>
              <w:bottom w:val="single" w:sz="8" w:color="auto"/>
            </w:tcBorders>
            <w:shd w:val="clear" w:color="auto" w:fill="CCECFF"/>
          </w:tcPr>
          <w:p>
            <w:pPr>
              <w:jc w:val="right"/>
              <w:ind w:right="13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466,286</w:t>
            </w: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-1397000</wp:posOffset>
            </wp:positionV>
            <wp:extent cx="342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-1397000</wp:posOffset>
            </wp:positionV>
            <wp:extent cx="2603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-264795</wp:posOffset>
            </wp:positionV>
            <wp:extent cx="342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-264795</wp:posOffset>
            </wp:positionV>
            <wp:extent cx="260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342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342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08"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As of March 31, 2022 and September 30, 2021, PSLF did not have any unfunded commitments to fund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7227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17145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2480" w:type="dxa"/>
            <w:vAlign w:val="bottom"/>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shd w:val="clear" w:color="auto" w:fill="CCEC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260" w:type="dxa"/>
            <w:vAlign w:val="bottom"/>
            <w:shd w:val="clear" w:color="auto" w:fill="CCECFF"/>
          </w:tcPr>
          <w:p>
            <w:pPr>
              <w:spacing w:after="0"/>
              <w:rPr>
                <w:sz w:val="15"/>
                <w:szCs w:val="15"/>
                <w:color w:val="auto"/>
              </w:rPr>
            </w:pPr>
          </w:p>
        </w:tc>
        <w:tc>
          <w:tcPr>
            <w:tcW w:w="20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6,696</w:t>
            </w:r>
          </w:p>
        </w:tc>
        <w:tc>
          <w:tcPr>
            <w:tcW w:w="50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15,269</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13,258</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860" w:type="dxa"/>
            <w:vAlign w:val="bottom"/>
            <w:tcBorders>
              <w:bottom w:val="single" w:sz="8" w:color="auto"/>
            </w:tcBorders>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7,737</w:t>
            </w:r>
          </w:p>
        </w:tc>
        <w:tc>
          <w:tcPr>
            <w:tcW w:w="26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6,986</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15,410</w:t>
            </w:r>
          </w:p>
        </w:tc>
        <w:tc>
          <w:tcPr>
            <w:tcW w:w="24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credit facility and asset-backed debt</w:t>
            </w:r>
          </w:p>
        </w:tc>
        <w:tc>
          <w:tcPr>
            <w:tcW w:w="860" w:type="dxa"/>
            <w:vAlign w:val="bottom"/>
            <w:shd w:val="clear" w:color="auto" w:fill="CCECFF"/>
          </w:tcPr>
          <w:p>
            <w:pPr>
              <w:spacing w:after="0"/>
              <w:rPr>
                <w:sz w:val="15"/>
                <w:szCs w:val="15"/>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2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860" w:type="dxa"/>
            <w:vAlign w:val="bottom"/>
            <w:shd w:val="clear" w:color="auto" w:fill="CCECFF"/>
          </w:tcPr>
          <w:p>
            <w:pPr>
              <w:spacing w:after="0"/>
              <w:rPr>
                <w:sz w:val="15"/>
                <w:szCs w:val="15"/>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860" w:type="dxa"/>
            <w:vAlign w:val="bottom"/>
            <w:tcBorders>
              <w:bottom w:val="single" w:sz="8" w:color="auto"/>
            </w:tcBorders>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26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9,333</w:t>
            </w:r>
          </w:p>
        </w:tc>
        <w:tc>
          <w:tcPr>
            <w:tcW w:w="24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8,742</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6,077</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740" w:type="dxa"/>
            <w:vAlign w:val="bottom"/>
            <w:shd w:val="clear" w:color="auto" w:fill="CCECFF"/>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Realized and unrealized (loss) gain on investments and credit facility foreign</w:t>
            </w:r>
          </w:p>
        </w:tc>
        <w:tc>
          <w:tcPr>
            <w:tcW w:w="86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7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b w:val="1"/>
                <w:bCs w:val="1"/>
                <w:color w:val="auto"/>
              </w:rPr>
              <w:t>currency translations:</w:t>
            </w:r>
          </w:p>
        </w:tc>
        <w:tc>
          <w:tcPr>
            <w:tcW w:w="86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appreciation on:</w:t>
            </w:r>
          </w:p>
        </w:tc>
        <w:tc>
          <w:tcPr>
            <w:tcW w:w="86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86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(1,233 )</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(727 )</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(depreciation) appreciation on investments</w:t>
            </w:r>
          </w:p>
        </w:tc>
        <w:tc>
          <w:tcPr>
            <w:tcW w:w="860" w:type="dxa"/>
            <w:vAlign w:val="bottom"/>
            <w:tcBorders>
              <w:top w:val="single" w:sz="8" w:color="auto"/>
              <w:bottom w:val="single" w:sz="8" w:color="auto"/>
            </w:tcBorders>
            <w:shd w:val="clear" w:color="auto" w:fill="CCECFF"/>
          </w:tcPr>
          <w:p>
            <w:pPr>
              <w:spacing w:after="0"/>
              <w:rPr>
                <w:sz w:val="14"/>
                <w:szCs w:val="14"/>
                <w:color w:val="auto"/>
              </w:rPr>
            </w:pPr>
          </w:p>
        </w:tc>
        <w:tc>
          <w:tcPr>
            <w:tcW w:w="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CECFF"/>
          </w:tcPr>
          <w:p>
            <w:pPr>
              <w:spacing w:after="0"/>
              <w:rPr>
                <w:sz w:val="14"/>
                <w:szCs w:val="14"/>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(loss) gain from investments</w:t>
            </w:r>
          </w:p>
        </w:tc>
        <w:tc>
          <w:tcPr>
            <w:tcW w:w="860" w:type="dxa"/>
            <w:vAlign w:val="bottom"/>
          </w:tcPr>
          <w:p>
            <w:pPr>
              <w:spacing w:after="0"/>
              <w:rPr>
                <w:sz w:val="14"/>
                <w:szCs w:val="14"/>
                <w:color w:val="auto"/>
              </w:rPr>
            </w:pPr>
          </w:p>
        </w:tc>
        <w:tc>
          <w:tcPr>
            <w:tcW w:w="7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(846 )</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(341 )</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860" w:type="dxa"/>
            <w:vAlign w:val="bottom"/>
            <w:tcBorders>
              <w:top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26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220" w:type="dxa"/>
            <w:vAlign w:val="bottom"/>
          </w:tcPr>
          <w:p>
            <w:pPr>
              <w:spacing w:after="0"/>
              <w:rPr>
                <w:sz w:val="15"/>
                <w:szCs w:val="15"/>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5,736</w:t>
            </w:r>
          </w:p>
        </w:tc>
        <w:tc>
          <w:tcPr>
            <w:tcW w:w="24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-1722120</wp:posOffset>
            </wp:positionV>
            <wp:extent cx="514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-1722120</wp:posOffset>
            </wp:positionV>
            <wp:extent cx="342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-1722120</wp:posOffset>
            </wp:positionV>
            <wp:extent cx="431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-1722120</wp:posOffset>
            </wp:positionV>
            <wp:extent cx="260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-1036320</wp:posOffset>
            </wp:positionV>
            <wp:extent cx="5143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-1036320</wp:posOffset>
            </wp:positionV>
            <wp:extent cx="342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-1036320</wp:posOffset>
            </wp:positionV>
            <wp:extent cx="431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-1036320</wp:posOffset>
            </wp:positionV>
            <wp:extent cx="260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-247650</wp:posOffset>
            </wp:positionV>
            <wp:extent cx="5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-247650</wp:posOffset>
            </wp:positionV>
            <wp:extent cx="342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-247650</wp:posOffset>
            </wp:positionV>
            <wp:extent cx="431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-247650</wp:posOffset>
            </wp:positionV>
            <wp:extent cx="260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1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hanging="372"/>
        <w:spacing w:after="0" w:line="229" w:lineRule="auto"/>
        <w:tabs>
          <w:tab w:leader="none" w:pos="380" w:val="left"/>
        </w:tabs>
        <w:numPr>
          <w:ilvl w:val="0"/>
          <w:numId w:val="3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 management or incentive fees are payable by PSLF.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181" w:lineRule="exact"/>
        <w:rPr>
          <w:sz w:val="20"/>
          <w:szCs w:val="20"/>
          <w:color w:val="auto"/>
        </w:rPr>
      </w:pPr>
    </w:p>
    <w:p>
      <w:pPr>
        <w:jc w:val="both"/>
        <w:ind w:right="140" w:firstLine="449"/>
        <w:spacing w:after="0" w:line="282" w:lineRule="auto"/>
        <w:rPr>
          <w:sz w:val="20"/>
          <w:szCs w:val="20"/>
          <w:color w:val="auto"/>
        </w:rPr>
      </w:pPr>
      <w:r>
        <w:rPr>
          <w:rFonts w:ascii="Times New Roman" w:cs="Times New Roman" w:eastAsia="Times New Roman" w:hAnsi="Times New Roman"/>
          <w:sz w:val="14"/>
          <w:szCs w:val="14"/>
          <w:color w:val="auto"/>
        </w:rPr>
        <w:t>On April 14, 2022, listing and trading of the Company's common stock commenced on the New York Stock Exchange after the Company voluntarily withdrew the principal listing of its common stock from The Nasdaq Stock Market LLC ("Nasdaq") effective at market close on April 13, 2022.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67" w:lineRule="exact"/>
        <w:rPr>
          <w:sz w:val="20"/>
          <w:szCs w:val="20"/>
          <w:color w:val="auto"/>
        </w:rPr>
      </w:pPr>
    </w:p>
    <w:p>
      <w:pPr>
        <w:jc w:val="both"/>
        <w:ind w:right="140" w:firstLine="449"/>
        <w:spacing w:after="0" w:line="27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6"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7" w:name="page48"/>
    <w:bookmarkEnd w:id="47"/>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During the three and six months ended March 31, 2022, we declared distributions of $0.14 and $0.26 per share, for total distributions of $9.4 million and $17.4 million, respectively. For the same periods in the prior year, we declared distributions of $0.12 and $0.24 per share, for total distributions of $8.0 million and $16.1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intend to continue to make quarterly distributions to our stockholders. Our quarterly distributions, if any, are determined by our board of directors.</w:t>
      </w:r>
    </w:p>
    <w:p>
      <w:pPr>
        <w:spacing w:after="0" w:line="163" w:lineRule="exact"/>
        <w:rPr>
          <w:sz w:val="20"/>
          <w:szCs w:val="20"/>
          <w:color w:val="auto"/>
        </w:rPr>
      </w:pPr>
    </w:p>
    <w:p>
      <w:pPr>
        <w:ind w:right="260" w:firstLine="449"/>
        <w:spacing w:after="0" w:line="302" w:lineRule="auto"/>
        <w:rPr>
          <w:sz w:val="20"/>
          <w:szCs w:val="20"/>
          <w:color w:val="auto"/>
        </w:rPr>
      </w:pPr>
      <w:r>
        <w:rPr>
          <w:rFonts w:ascii="Times New Roman" w:cs="Times New Roman" w:eastAsia="Times New Roman" w:hAnsi="Times New Roman"/>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94"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8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w:t>
      </w:r>
    </w:p>
    <w:p>
      <w:pPr>
        <w:spacing w:after="0" w:line="221"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4"/>
          <w:szCs w:val="14"/>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three months ended March 31, 2022, we repurchased 913,454 shares of common stock in open market transactions for an aggregate cost (including transaction costs) of $7.1 million. During the three months ended March 31, 2021, we did not make any repurchases of shares of our common stock.</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6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March 31, 2022, our debt portfolio consisted of 99% variable-rate investments and 5% fixed 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40"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8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100" w:type="dxa"/>
            <w:vAlign w:val="bottom"/>
          </w:tcPr>
          <w:p>
            <w:pPr>
              <w:spacing w:after="0"/>
              <w:rPr>
                <w:sz w:val="13"/>
                <w:szCs w:val="13"/>
                <w:color w:val="auto"/>
              </w:rPr>
            </w:pPr>
          </w:p>
        </w:tc>
      </w:tr>
      <w:tr>
        <w:trPr>
          <w:trHeight w:val="148"/>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80" w:type="dxa"/>
            <w:vAlign w:val="bottom"/>
          </w:tcPr>
          <w:p>
            <w:pPr>
              <w:jc w:val="center"/>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c>
          <w:tcPr>
            <w:tcW w:w="100" w:type="dxa"/>
            <w:vAlign w:val="bottom"/>
          </w:tcPr>
          <w:p>
            <w:pPr>
              <w:spacing w:after="0"/>
              <w:rPr>
                <w:sz w:val="12"/>
                <w:szCs w:val="12"/>
                <w:color w:val="auto"/>
              </w:rPr>
            </w:pPr>
          </w:p>
        </w:tc>
      </w:tr>
      <w:tr>
        <w:trPr>
          <w:trHeight w:val="200"/>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40" w:type="dxa"/>
            <w:vAlign w:val="bottom"/>
          </w:tcPr>
          <w:p>
            <w:pPr>
              <w:spacing w:after="0"/>
              <w:rPr>
                <w:sz w:val="17"/>
                <w:szCs w:val="17"/>
                <w:color w:val="auto"/>
              </w:rPr>
            </w:pPr>
          </w:p>
        </w:tc>
        <w:tc>
          <w:tcPr>
            <w:tcW w:w="28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Expense Per Share</w:t>
            </w:r>
          </w:p>
        </w:tc>
        <w:tc>
          <w:tcPr>
            <w:tcW w:w="100" w:type="dxa"/>
            <w:vAlign w:val="bottom"/>
          </w:tcPr>
          <w:p>
            <w:pPr>
              <w:spacing w:after="0"/>
              <w:rPr>
                <w:sz w:val="17"/>
                <w:szCs w:val="17"/>
                <w:color w:val="auto"/>
              </w:rPr>
            </w:pPr>
          </w:p>
        </w:tc>
      </w:tr>
      <w:tr>
        <w:trPr>
          <w:trHeight w:val="169"/>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Down 1%</w:t>
            </w:r>
          </w:p>
        </w:tc>
        <w:tc>
          <w:tcPr>
            <w:tcW w:w="240" w:type="dxa"/>
            <w:vAlign w:val="bottom"/>
            <w:shd w:val="clear" w:color="auto" w:fill="CCECFF"/>
          </w:tcPr>
          <w:p>
            <w:pPr>
              <w:spacing w:after="0"/>
              <w:rPr>
                <w:sz w:val="14"/>
                <w:szCs w:val="14"/>
                <w:color w:val="auto"/>
              </w:rPr>
            </w:pPr>
          </w:p>
        </w:tc>
        <w:tc>
          <w:tcPr>
            <w:tcW w:w="2820" w:type="dxa"/>
            <w:vAlign w:val="bottom"/>
            <w:shd w:val="clear" w:color="auto" w:fill="CCECFF"/>
          </w:tcPr>
          <w:p>
            <w:pPr>
              <w:jc w:val="right"/>
              <w:ind w:right="26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360" w:type="dxa"/>
            <w:vAlign w:val="bottom"/>
            <w:shd w:val="clear" w:color="auto" w:fill="CCECFF"/>
          </w:tcPr>
          <w:p>
            <w:pPr>
              <w:spacing w:after="0"/>
              <w:rPr>
                <w:sz w:val="14"/>
                <w:szCs w:val="14"/>
                <w:color w:val="auto"/>
              </w:rPr>
            </w:pPr>
          </w:p>
        </w:tc>
        <w:tc>
          <w:tcPr>
            <w:tcW w:w="48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CFF"/>
          </w:tcPr>
          <w:p>
            <w:pPr>
              <w:spacing w:after="0"/>
              <w:rPr>
                <w:sz w:val="14"/>
                <w:szCs w:val="14"/>
                <w:color w:val="auto"/>
              </w:rPr>
            </w:pPr>
          </w:p>
        </w:tc>
      </w:tr>
      <w:tr>
        <w:trPr>
          <w:trHeight w:val="175"/>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1%</w:t>
            </w:r>
          </w:p>
        </w:tc>
        <w:tc>
          <w:tcPr>
            <w:tcW w:w="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5"/>
                <w:szCs w:val="15"/>
                <w:color w:val="auto"/>
              </w:rPr>
            </w:pPr>
          </w:p>
        </w:tc>
      </w:tr>
      <w:tr>
        <w:trPr>
          <w:trHeight w:val="176"/>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2%</w:t>
            </w:r>
          </w:p>
        </w:tc>
        <w:tc>
          <w:tcPr>
            <w:tcW w:w="240" w:type="dxa"/>
            <w:vAlign w:val="bottom"/>
            <w:shd w:val="clear" w:color="auto" w:fill="CCECFF"/>
          </w:tcPr>
          <w:p>
            <w:pPr>
              <w:spacing w:after="0"/>
              <w:rPr>
                <w:sz w:val="15"/>
                <w:szCs w:val="15"/>
                <w:color w:val="auto"/>
              </w:rPr>
            </w:pPr>
          </w:p>
        </w:tc>
        <w:tc>
          <w:tcPr>
            <w:tcW w:w="282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9,328</w:t>
            </w:r>
          </w:p>
        </w:tc>
        <w:tc>
          <w:tcPr>
            <w:tcW w:w="36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CFF"/>
          </w:tcPr>
          <w:p>
            <w:pPr>
              <w:spacing w:after="0"/>
              <w:rPr>
                <w:sz w:val="15"/>
                <w:szCs w:val="15"/>
                <w:color w:val="auto"/>
              </w:rPr>
            </w:pPr>
          </w:p>
        </w:tc>
      </w:tr>
      <w:tr>
        <w:trPr>
          <w:trHeight w:val="175"/>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3%</w:t>
            </w:r>
          </w:p>
        </w:tc>
        <w:tc>
          <w:tcPr>
            <w:tcW w:w="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15,848</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5"/>
                <w:szCs w:val="15"/>
                <w:color w:val="auto"/>
              </w:rPr>
            </w:pPr>
          </w:p>
        </w:tc>
      </w:tr>
      <w:tr>
        <w:trPr>
          <w:trHeight w:val="175"/>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4%</w:t>
            </w:r>
          </w:p>
        </w:tc>
        <w:tc>
          <w:tcPr>
            <w:tcW w:w="3060" w:type="dxa"/>
            <w:vAlign w:val="bottom"/>
            <w:gridSpan w:val="2"/>
            <w:shd w:val="clear" w:color="auto" w:fill="CCECFF"/>
          </w:tcPr>
          <w:p>
            <w:pPr>
              <w:jc w:val="right"/>
              <w:ind w:right="26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22,368</w:t>
            </w:r>
          </w:p>
        </w:tc>
        <w:tc>
          <w:tcPr>
            <w:tcW w:w="840" w:type="dxa"/>
            <w:vAlign w:val="bottom"/>
            <w:gridSpan w:val="2"/>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shd w:val="clear" w:color="auto" w:fill="CCECFF"/>
          </w:tcPr>
          <w:p>
            <w:pPr>
              <w:spacing w:after="0"/>
              <w:rPr>
                <w:sz w:val="15"/>
                <w:szCs w:val="15"/>
                <w:color w:val="auto"/>
              </w:rPr>
            </w:pPr>
          </w:p>
        </w:tc>
      </w:tr>
    </w:tbl>
    <w:p>
      <w:pPr>
        <w:spacing w:after="0" w:line="13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36"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36"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44"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that occurred during the quarter ended March 31, 2022 that have materially affected, or are reasonably likely to materially affect, our internal control over financial reporting.</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65"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6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2021 filed on November 17, 2021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19" w:lineRule="exact"/>
        <w:rPr>
          <w:sz w:val="20"/>
          <w:szCs w:val="20"/>
          <w:color w:val="auto"/>
        </w:rPr>
      </w:pPr>
    </w:p>
    <w:p>
      <w:pPr>
        <w:ind w:right="260" w:firstLine="449"/>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The ongoing invasion of Ukraine by Russia and related sanctions have increased global political and economic uncertainty, which may have a material impact on the Company's portfolio and the value of your investment in the Company</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4"/>
          <w:szCs w:val="14"/>
          <w:color w:val="auto"/>
        </w:rPr>
        <w:t>The ongoing invasion of Ukraine by Russia and related sanctions have increased global political and economic uncertainty. In February 2022, Russia invaded Ukraine and, in response, the United States and many other countries placed economic sanctions on certain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which have enacted sanctions, including cyberattacks against financial and governmental institutions, which could result in business disruptions and further economic turbulence. Although the Company has no direct exposure to Russia or Ukraine, the broader consequences of the invasion may have a material adverse impact on the Company's portfolio and the value of your investment in the Company. Because this is an uncertain and evolving situation, its full impact is unknown at this time.</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Legislation enacted in 2018 allows us to incur additional leverage.</w:t>
      </w:r>
    </w:p>
    <w:p>
      <w:pPr>
        <w:spacing w:after="0" w:line="16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28" w:lineRule="exact"/>
        <w:rPr>
          <w:sz w:val="20"/>
          <w:szCs w:val="20"/>
          <w:color w:val="auto"/>
        </w:rPr>
      </w:pPr>
    </w:p>
    <w:p>
      <w:pPr>
        <w:ind w:right="280" w:firstLine="495"/>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90" w:lineRule="exact"/>
        <w:rPr>
          <w:sz w:val="20"/>
          <w:szCs w:val="20"/>
          <w:color w:val="auto"/>
        </w:rPr>
      </w:pPr>
    </w:p>
    <w:p>
      <w:pPr>
        <w:jc w:val="both"/>
        <w:ind w:right="80" w:firstLine="449"/>
        <w:spacing w:after="0" w:line="271" w:lineRule="auto"/>
        <w:rPr>
          <w:sz w:val="20"/>
          <w:szCs w:val="20"/>
          <w:color w:val="auto"/>
        </w:rPr>
      </w:pPr>
      <w:r>
        <w:rPr>
          <w:rFonts w:ascii="Times New Roman" w:cs="Times New Roman" w:eastAsia="Times New Roman" w:hAnsi="Times New Roman"/>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6"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We are partially dependent on our SBIC Fund for cash distributions to enable us to meet the distribution requirements in order to permit us to be subject to tax as a RIC. In this regard, our SBIC Fund is limited by the SBA regulations governing SBICs from making certain distributions to us that may be necessary to satisfy the requirements to be subject to tax as a RIC. In such a case, we would need to request a waiver of the SBA’s restrictions for our SBIC Fund to make certain distributions to enable us to be subject to tax as a RIC. We cannot assure you that the SBA will grant such waiver, and if our SBIC Fund is unable to obtain a waiver, compliance with the SBA regulations may cause us to incur a corporate-level income tax.</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If we incur additional debt, it could increase the risk of investing in our shares.</w:t>
      </w:r>
    </w:p>
    <w:p>
      <w:pPr>
        <w:spacing w:after="0" w:line="181"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4"/>
          <w:szCs w:val="14"/>
          <w:color w:val="auto"/>
        </w:rPr>
        <w:t>We have indebtedness outstanding pursuant to the Truist Credit Facility, 2024 Notes, 2026 Notes, 2026 Notes-2 and SBA debentures and expect in the future to borrow additional amounts under the Truist Credit Facility or other debt securities, subject to market availability, and, may increase the size of the Truist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the Truist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the Truist Credit Facility and SBA debentures. In addition, borrowings or debt issuances and SBA debentures, also known as leverage, magnify the potential for loss or gain on amounts invested and,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50" w:name="page51"/>
    <w:bookmarkEnd w:id="50"/>
    <w:p>
      <w:pPr>
        <w:ind w:right="140"/>
        <w:spacing w:after="0" w:line="261" w:lineRule="auto"/>
        <w:rPr>
          <w:sz w:val="20"/>
          <w:szCs w:val="20"/>
          <w:color w:val="auto"/>
        </w:rPr>
      </w:pPr>
      <w:r>
        <w:rPr>
          <w:rFonts w:ascii="Times New Roman" w:cs="Times New Roman" w:eastAsia="Times New Roman" w:hAnsi="Times New Roman"/>
          <w:sz w:val="14"/>
          <w:szCs w:val="14"/>
          <w:color w:val="auto"/>
        </w:rPr>
        <w:t>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37" w:lineRule="exact"/>
        <w:rPr>
          <w:sz w:val="20"/>
          <w:szCs w:val="20"/>
          <w:color w:val="auto"/>
        </w:rPr>
      </w:pPr>
    </w:p>
    <w:p>
      <w:pPr>
        <w:jc w:val="both"/>
        <w:ind w:right="100" w:firstLine="495"/>
        <w:spacing w:after="0" w:line="256" w:lineRule="auto"/>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Repurchases of our common stock under our share repurchase program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326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3"/>
                <w:szCs w:val="13"/>
                <w:color w:val="auto"/>
              </w:rPr>
            </w:pPr>
          </w:p>
        </w:tc>
        <w:tc>
          <w:tcPr>
            <w:tcW w:w="180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Average Price per Share</w:t>
            </w:r>
          </w:p>
        </w:tc>
        <w:tc>
          <w:tcPr>
            <w:tcW w:w="180" w:type="dxa"/>
            <w:vAlign w:val="bottom"/>
          </w:tcPr>
          <w:p>
            <w:pPr>
              <w:spacing w:after="0"/>
              <w:rPr>
                <w:sz w:val="13"/>
                <w:szCs w:val="13"/>
                <w:color w:val="auto"/>
              </w:rPr>
            </w:pPr>
          </w:p>
        </w:tc>
        <w:tc>
          <w:tcPr>
            <w:tcW w:w="1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60" w:type="dxa"/>
            <w:vAlign w:val="bottom"/>
          </w:tcPr>
          <w:p>
            <w:pPr>
              <w:spacing w:after="0"/>
              <w:rPr>
                <w:sz w:val="13"/>
                <w:szCs w:val="13"/>
                <w:color w:val="auto"/>
              </w:rPr>
            </w:pPr>
          </w:p>
        </w:tc>
        <w:tc>
          <w:tcPr>
            <w:tcW w:w="18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(in thousands)</w:t>
            </w:r>
          </w:p>
        </w:tc>
        <w:tc>
          <w:tcPr>
            <w:tcW w:w="0" w:type="dxa"/>
            <w:vAlign w:val="bottom"/>
          </w:tcPr>
          <w:p>
            <w:pPr>
              <w:spacing w:after="0"/>
              <w:rPr>
                <w:sz w:val="1"/>
                <w:szCs w:val="1"/>
                <w:color w:val="auto"/>
              </w:rPr>
            </w:pPr>
          </w:p>
        </w:tc>
      </w:tr>
      <w:tr>
        <w:trPr>
          <w:trHeight w:val="169"/>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1, 2022 through March 31, 2022</w:t>
            </w:r>
          </w:p>
        </w:tc>
        <w:tc>
          <w:tcPr>
            <w:tcW w:w="140" w:type="dxa"/>
            <w:vAlign w:val="bottom"/>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913,454</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80" w:type="dxa"/>
            <w:vAlign w:val="bottom"/>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913,454</w:t>
            </w:r>
          </w:p>
        </w:tc>
        <w:tc>
          <w:tcPr>
            <w:tcW w:w="1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17,944</w:t>
            </w:r>
          </w:p>
        </w:tc>
        <w:tc>
          <w:tcPr>
            <w:tcW w:w="0" w:type="dxa"/>
            <w:vAlign w:val="bottom"/>
          </w:tcPr>
          <w:p>
            <w:pPr>
              <w:spacing w:after="0"/>
              <w:rPr>
                <w:sz w:val="1"/>
                <w:szCs w:val="1"/>
                <w:color w:val="auto"/>
              </w:rPr>
            </w:pPr>
          </w:p>
        </w:tc>
      </w:tr>
      <w:tr>
        <w:trPr>
          <w:trHeight w:val="17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913,454</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913,454</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8" w:lineRule="auto"/>
        <w:rPr>
          <w:sz w:val="20"/>
          <w:szCs w:val="20"/>
          <w:color w:val="auto"/>
        </w:rPr>
      </w:pPr>
      <w:r>
        <w:rPr>
          <w:rFonts w:ascii="Times New Roman" w:cs="Times New Roman" w:eastAsia="Times New Roman" w:hAnsi="Times New Roman"/>
          <w:sz w:val="14"/>
          <w:szCs w:val="14"/>
          <w:b w:val="1"/>
          <w:bCs w:val="1"/>
          <w:color w:val="auto"/>
        </w:rPr>
        <w:t>—————————</w:t>
      </w:r>
    </w:p>
    <w:p>
      <w:pPr>
        <w:spacing w:after="0" w:line="1" w:lineRule="exact"/>
        <w:rPr>
          <w:sz w:val="20"/>
          <w:szCs w:val="20"/>
          <w:color w:val="auto"/>
        </w:rPr>
      </w:pPr>
    </w:p>
    <w:p>
      <w:pPr>
        <w:ind w:left="360" w:hanging="339"/>
        <w:spacing w:after="0" w:line="224" w:lineRule="auto"/>
        <w:tabs>
          <w:tab w:leader="none" w:pos="36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February 9, 2022, we announced a share repurchase program which allows us to repurchase up to $25.0 million of our outstanding commons stock. Unless extended by our board of directors, the program will expire on the earlier of March 31, 2021 and the repurchase of $25.0 million of common stock.</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0" w:type="dxa"/>
            <w:vAlign w:val="bottom"/>
          </w:tcPr>
          <w:p>
            <w:pPr>
              <w:spacing w:after="0"/>
              <w:rPr>
                <w:sz w:val="16"/>
                <w:szCs w:val="16"/>
                <w:color w:val="auto"/>
              </w:rPr>
            </w:pPr>
          </w:p>
        </w:tc>
        <w:tc>
          <w:tcPr>
            <w:tcW w:w="10820" w:type="dxa"/>
            <w:vAlign w:val="bottom"/>
            <w:gridSpan w:val="14"/>
          </w:tcPr>
          <w:p>
            <w:pPr>
              <w:ind w:left="60"/>
              <w:spacing w:after="0"/>
              <w:rPr>
                <w:sz w:val="20"/>
                <w:szCs w:val="20"/>
                <w:color w:val="auto"/>
              </w:rPr>
            </w:pPr>
            <w:r>
              <w:rPr>
                <w:rFonts w:ascii="Times New Roman" w:cs="Times New Roman" w:eastAsia="Times New Roman" w:hAnsi="Times New Roman"/>
                <w:sz w:val="14"/>
                <w:szCs w:val="14"/>
                <w:color w:val="auto"/>
              </w:rPr>
              <w:t>Unless specifically indicated otherwise, the following exhibits are incorporated by reference to exhibits previously filed with the SEC:</w:t>
            </w:r>
          </w:p>
        </w:tc>
      </w:tr>
      <w:tr>
        <w:trPr>
          <w:trHeight w:val="307"/>
        </w:trPr>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100" w:type="dxa"/>
            <w:vAlign w:val="bottom"/>
          </w:tcPr>
          <w:p>
            <w:pPr>
              <w:spacing w:after="0"/>
              <w:rPr>
                <w:sz w:val="24"/>
                <w:szCs w:val="24"/>
                <w:color w:val="auto"/>
              </w:rPr>
            </w:pPr>
          </w:p>
        </w:tc>
        <w:tc>
          <w:tcPr>
            <w:tcW w:w="9720" w:type="dxa"/>
            <w:vAlign w:val="bottom"/>
            <w:gridSpan w:val="13"/>
          </w:tcPr>
          <w:p>
            <w:pPr>
              <w:spacing w:after="0"/>
              <w:rPr>
                <w:rFonts w:ascii="Times New Roman" w:cs="Times New Roman" w:eastAsia="Times New Roman" w:hAnsi="Times New Roman"/>
                <w:sz w:val="14"/>
                <w:szCs w:val="14"/>
                <w:color w:val="0000FF"/>
              </w:rPr>
            </w:pPr>
            <w:hyperlink r:id="rId501">
              <w:r>
                <w:rPr>
                  <w:rFonts w:ascii="Times New Roman" w:cs="Times New Roman" w:eastAsia="Times New Roman" w:hAnsi="Times New Roman"/>
                  <w:sz w:val="14"/>
                  <w:szCs w:val="14"/>
                  <w:color w:val="0000FF"/>
                </w:rPr>
                <w:t>Articles of Incorporation (Incorporated by reference to Exhibit 99(a) to the Registrant’s Pre-Effective Amendment No. 3 to the Registration Statement on Form N-2/A</w:t>
              </w:r>
            </w:hyperlink>
          </w:p>
        </w:tc>
      </w:tr>
      <w:tr>
        <w:trPr>
          <w:trHeight w:val="142"/>
        </w:trPr>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7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4"/>
                <w:szCs w:val="14"/>
                <w:color w:val="0000FF"/>
              </w:rPr>
            </w:pPr>
            <w:hyperlink r:id="rId501">
              <w:r>
                <w:rPr>
                  <w:rFonts w:ascii="Times New Roman" w:cs="Times New Roman" w:eastAsia="Times New Roman" w:hAnsi="Times New Roman"/>
                  <w:sz w:val="14"/>
                  <w:szCs w:val="14"/>
                  <w:color w:val="0000FF"/>
                </w:rPr>
                <w:t>(File No. 333-140092), filed on April 5, 2007).</w:t>
              </w:r>
            </w:hyperlink>
          </w:p>
        </w:tc>
        <w:tc>
          <w:tcPr>
            <w:tcW w:w="6900" w:type="dxa"/>
            <w:vAlign w:val="bottom"/>
            <w:tcBorders>
              <w:top w:val="single" w:sz="8" w:color="0000FF"/>
            </w:tcBorders>
            <w:gridSpan w:val="7"/>
          </w:tcPr>
          <w:p>
            <w:pPr>
              <w:spacing w:after="0"/>
              <w:rPr>
                <w:sz w:val="12"/>
                <w:szCs w:val="12"/>
                <w:color w:val="auto"/>
              </w:rPr>
            </w:pPr>
          </w:p>
        </w:tc>
        <w:tc>
          <w:tcPr>
            <w:tcW w:w="120" w:type="dxa"/>
            <w:vAlign w:val="bottom"/>
          </w:tcPr>
          <w:p>
            <w:pPr>
              <w:spacing w:after="0"/>
              <w:rPr>
                <w:sz w:val="12"/>
                <w:szCs w:val="12"/>
                <w:color w:val="auto"/>
              </w:rPr>
            </w:pPr>
          </w:p>
        </w:tc>
      </w:tr>
      <w:tr>
        <w:trPr>
          <w:trHeight w:val="318"/>
        </w:trPr>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100" w:type="dxa"/>
            <w:vAlign w:val="bottom"/>
          </w:tcPr>
          <w:p>
            <w:pPr>
              <w:spacing w:after="0"/>
              <w:rPr>
                <w:sz w:val="24"/>
                <w:szCs w:val="24"/>
                <w:color w:val="auto"/>
              </w:rPr>
            </w:pPr>
          </w:p>
        </w:tc>
        <w:tc>
          <w:tcPr>
            <w:tcW w:w="9720" w:type="dxa"/>
            <w:vAlign w:val="bottom"/>
            <w:gridSpan w:val="13"/>
          </w:tcPr>
          <w:p>
            <w:pPr>
              <w:spacing w:after="0"/>
              <w:rPr>
                <w:rFonts w:ascii="Times New Roman" w:cs="Times New Roman" w:eastAsia="Times New Roman" w:hAnsi="Times New Roman"/>
                <w:sz w:val="14"/>
                <w:szCs w:val="14"/>
                <w:color w:val="0000FF"/>
              </w:rPr>
            </w:pPr>
            <w:hyperlink r:id="rId502">
              <w:r>
                <w:rPr>
                  <w:rFonts w:ascii="Times New Roman" w:cs="Times New Roman" w:eastAsia="Times New Roman" w:hAnsi="Times New Roman"/>
                  <w:sz w:val="14"/>
                  <w:szCs w:val="14"/>
                  <w:color w:val="0000FF"/>
                </w:rPr>
                <w:t>Second Amended and Restated Bylaws of the Registrant (Incorporated by reference to Exhibit 3.2 to the Registrant's Quarterly Report on Form 10-Q (File No. 814-</w:t>
              </w:r>
            </w:hyperlink>
          </w:p>
        </w:tc>
      </w:tr>
      <w:tr>
        <w:trPr>
          <w:trHeight w:val="142"/>
        </w:trPr>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4"/>
                <w:szCs w:val="14"/>
                <w:color w:val="0000FF"/>
              </w:rPr>
            </w:pPr>
            <w:hyperlink r:id="rId502">
              <w:r>
                <w:rPr>
                  <w:rFonts w:ascii="Times New Roman" w:cs="Times New Roman" w:eastAsia="Times New Roman" w:hAnsi="Times New Roman"/>
                  <w:sz w:val="14"/>
                  <w:szCs w:val="14"/>
                  <w:color w:val="0000FF"/>
                </w:rPr>
                <w:t>00736)</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on May 11, 2020).</w:t>
              </w:r>
            </w:hyperlink>
          </w:p>
        </w:tc>
        <w:tc>
          <w:tcPr>
            <w:tcW w:w="7600" w:type="dxa"/>
            <w:vAlign w:val="bottom"/>
            <w:tcBorders>
              <w:top w:val="single" w:sz="8" w:color="0000FF"/>
            </w:tcBorders>
            <w:gridSpan w:val="7"/>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318"/>
        </w:trPr>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1100" w:type="dxa"/>
            <w:vAlign w:val="bottom"/>
          </w:tcPr>
          <w:p>
            <w:pPr>
              <w:spacing w:after="0"/>
              <w:rPr>
                <w:sz w:val="24"/>
                <w:szCs w:val="24"/>
                <w:color w:val="auto"/>
              </w:rPr>
            </w:pPr>
          </w:p>
        </w:tc>
        <w:tc>
          <w:tcPr>
            <w:tcW w:w="972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503">
              <w:r>
                <w:rPr>
                  <w:rFonts w:ascii="Times New Roman" w:cs="Times New Roman" w:eastAsia="Times New Roman" w:hAnsi="Times New Roman"/>
                  <w:sz w:val="14"/>
                  <w:szCs w:val="14"/>
                  <w:color w:val="0000FF"/>
                </w:rPr>
                <w:t>Form of Share Certificate (Incorporated by reference to Exhibit 99(d)(1) to the Registrant’s Registration Statement on Form N-2 (File No. 333-150033), filed on April 2,</w:t>
              </w:r>
            </w:hyperlink>
          </w:p>
        </w:tc>
      </w:tr>
      <w:tr>
        <w:trPr>
          <w:trHeight w:val="142"/>
        </w:trPr>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Borders>
              <w:bottom w:val="single" w:sz="8" w:color="0000FF"/>
            </w:tcBorders>
          </w:tcPr>
          <w:p>
            <w:pPr>
              <w:spacing w:after="0" w:line="142" w:lineRule="exact"/>
              <w:rPr>
                <w:rFonts w:ascii="Times New Roman" w:cs="Times New Roman" w:eastAsia="Times New Roman" w:hAnsi="Times New Roman"/>
                <w:sz w:val="14"/>
                <w:szCs w:val="14"/>
                <w:color w:val="0000FF"/>
                <w:w w:val="93"/>
              </w:rPr>
            </w:pPr>
            <w:hyperlink r:id="rId503">
              <w:r>
                <w:rPr>
                  <w:rFonts w:ascii="Times New Roman" w:cs="Times New Roman" w:eastAsia="Times New Roman" w:hAnsi="Times New Roman"/>
                  <w:sz w:val="14"/>
                  <w:szCs w:val="14"/>
                  <w:color w:val="0000FF"/>
                  <w:w w:val="93"/>
                </w:rPr>
                <w:t>2008).</w:t>
              </w:r>
            </w:hyperlink>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8"/>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14.1*</w:t>
            </w:r>
          </w:p>
        </w:tc>
        <w:tc>
          <w:tcPr>
            <w:tcW w:w="1100" w:type="dxa"/>
            <w:vAlign w:val="bottom"/>
          </w:tcPr>
          <w:p>
            <w:pPr>
              <w:spacing w:after="0"/>
              <w:rPr>
                <w:sz w:val="24"/>
                <w:szCs w:val="24"/>
                <w:color w:val="auto"/>
              </w:rPr>
            </w:pPr>
          </w:p>
        </w:tc>
        <w:tc>
          <w:tcPr>
            <w:tcW w:w="2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Joint Code of Ethics of the Registrant</w:t>
            </w:r>
          </w:p>
        </w:tc>
        <w:tc>
          <w:tcPr>
            <w:tcW w:w="7560" w:type="dxa"/>
            <w:vAlign w:val="bottom"/>
            <w:gridSpan w:val="9"/>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31.1*</w:t>
            </w:r>
          </w:p>
        </w:tc>
        <w:tc>
          <w:tcPr>
            <w:tcW w:w="1100" w:type="dxa"/>
            <w:vAlign w:val="bottom"/>
          </w:tcPr>
          <w:p>
            <w:pPr>
              <w:spacing w:after="0"/>
              <w:rPr>
                <w:sz w:val="24"/>
                <w:szCs w:val="24"/>
                <w:color w:val="auto"/>
              </w:rPr>
            </w:pPr>
          </w:p>
        </w:tc>
        <w:tc>
          <w:tcPr>
            <w:tcW w:w="6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 of the Securities Exchange Act of 1934, as amended.</w:t>
            </w:r>
          </w:p>
        </w:tc>
        <w:tc>
          <w:tcPr>
            <w:tcW w:w="2920" w:type="dxa"/>
            <w:vAlign w:val="bottom"/>
            <w:gridSpan w:val="4"/>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31.2*</w:t>
            </w:r>
          </w:p>
        </w:tc>
        <w:tc>
          <w:tcPr>
            <w:tcW w:w="1100" w:type="dxa"/>
            <w:vAlign w:val="bottom"/>
          </w:tcPr>
          <w:p>
            <w:pPr>
              <w:spacing w:after="0"/>
              <w:rPr>
                <w:sz w:val="24"/>
                <w:szCs w:val="24"/>
                <w:color w:val="auto"/>
              </w:rPr>
            </w:pPr>
          </w:p>
        </w:tc>
        <w:tc>
          <w:tcPr>
            <w:tcW w:w="6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 of the Securities Exchange Act of 1934, as amended.</w:t>
            </w:r>
          </w:p>
        </w:tc>
        <w:tc>
          <w:tcPr>
            <w:tcW w:w="2960" w:type="dxa"/>
            <w:vAlign w:val="bottom"/>
            <w:gridSpan w:val="5"/>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32.1*</w:t>
            </w:r>
          </w:p>
        </w:tc>
        <w:tc>
          <w:tcPr>
            <w:tcW w:w="1100" w:type="dxa"/>
            <w:vAlign w:val="bottom"/>
          </w:tcPr>
          <w:p>
            <w:pPr>
              <w:spacing w:after="0"/>
              <w:rPr>
                <w:sz w:val="24"/>
                <w:szCs w:val="24"/>
                <w:color w:val="auto"/>
              </w:rPr>
            </w:pPr>
          </w:p>
        </w:tc>
        <w:tc>
          <w:tcPr>
            <w:tcW w:w="5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 Act of 2002.</w:t>
            </w:r>
          </w:p>
        </w:tc>
        <w:tc>
          <w:tcPr>
            <w:tcW w:w="3940" w:type="dxa"/>
            <w:vAlign w:val="bottom"/>
            <w:gridSpan w:val="6"/>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32.2*</w:t>
            </w:r>
          </w:p>
        </w:tc>
        <w:tc>
          <w:tcPr>
            <w:tcW w:w="1100" w:type="dxa"/>
            <w:vAlign w:val="bottom"/>
          </w:tcPr>
          <w:p>
            <w:pPr>
              <w:spacing w:after="0"/>
              <w:rPr>
                <w:sz w:val="24"/>
                <w:szCs w:val="24"/>
                <w:color w:val="auto"/>
              </w:rPr>
            </w:pPr>
          </w:p>
        </w:tc>
        <w:tc>
          <w:tcPr>
            <w:tcW w:w="5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 Act of 2002.</w:t>
            </w:r>
          </w:p>
        </w:tc>
        <w:tc>
          <w:tcPr>
            <w:tcW w:w="3980" w:type="dxa"/>
            <w:vAlign w:val="bottom"/>
            <w:gridSpan w:val="7"/>
          </w:tcPr>
          <w:p>
            <w:pPr>
              <w:spacing w:after="0"/>
              <w:rPr>
                <w:sz w:val="24"/>
                <w:szCs w:val="24"/>
                <w:color w:val="auto"/>
              </w:rPr>
            </w:pPr>
          </w:p>
        </w:tc>
      </w:tr>
      <w:tr>
        <w:trPr>
          <w:trHeight w:val="331"/>
        </w:trPr>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7"/>
              </w:rPr>
              <w:t>99.1</w:t>
            </w:r>
          </w:p>
        </w:tc>
        <w:tc>
          <w:tcPr>
            <w:tcW w:w="1100" w:type="dxa"/>
            <w:vAlign w:val="bottom"/>
          </w:tcPr>
          <w:p>
            <w:pPr>
              <w:spacing w:after="0"/>
              <w:rPr>
                <w:sz w:val="24"/>
                <w:szCs w:val="24"/>
                <w:color w:val="auto"/>
              </w:rPr>
            </w:pPr>
          </w:p>
        </w:tc>
        <w:tc>
          <w:tcPr>
            <w:tcW w:w="9720" w:type="dxa"/>
            <w:vAlign w:val="bottom"/>
            <w:gridSpan w:val="13"/>
          </w:tcPr>
          <w:p>
            <w:pPr>
              <w:spacing w:after="0"/>
              <w:rPr>
                <w:rFonts w:ascii="Times New Roman" w:cs="Times New Roman" w:eastAsia="Times New Roman" w:hAnsi="Times New Roman"/>
                <w:sz w:val="14"/>
                <w:szCs w:val="14"/>
                <w:color w:val="0000FF"/>
              </w:rPr>
            </w:pPr>
            <w:hyperlink r:id="rId504">
              <w:r>
                <w:rPr>
                  <w:rFonts w:ascii="Times New Roman" w:cs="Times New Roman" w:eastAsia="Times New Roman" w:hAnsi="Times New Roman"/>
                  <w:sz w:val="14"/>
                  <w:szCs w:val="14"/>
                  <w:color w:val="0000FF"/>
                </w:rPr>
                <w:t>Privacy Policy of the Registrant (Incorporated by reference to Exhibit 99.1 to the Registrant’s Annual Report on Form 10-K (File No. 814-00736), filed on November</w:t>
              </w:r>
            </w:hyperlink>
          </w:p>
        </w:tc>
      </w:tr>
      <w:tr>
        <w:trPr>
          <w:trHeight w:val="142"/>
        </w:trPr>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4"/>
                <w:szCs w:val="14"/>
                <w:color w:val="0000FF"/>
                <w:w w:val="97"/>
              </w:rPr>
            </w:pPr>
            <w:hyperlink r:id="rId504">
              <w:r>
                <w:rPr>
                  <w:rFonts w:ascii="Times New Roman" w:cs="Times New Roman" w:eastAsia="Times New Roman" w:hAnsi="Times New Roman"/>
                  <w:sz w:val="14"/>
                  <w:szCs w:val="14"/>
                  <w:color w:val="0000FF"/>
                  <w:w w:val="97"/>
                </w:rPr>
                <w:t>16, 2011).</w:t>
              </w:r>
            </w:hyperlink>
          </w:p>
        </w:tc>
        <w:tc>
          <w:tcPr>
            <w:tcW w:w="12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30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6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1912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317" w:right="3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Date: </w:t>
      </w:r>
      <w:r>
        <w:rPr>
          <w:rFonts w:ascii="Times New Roman" w:cs="Times New Roman" w:eastAsia="Times New Roman" w:hAnsi="Times New Roman"/>
          <w:sz w:val="16"/>
          <w:szCs w:val="16"/>
          <w:color w:val="auto"/>
        </w:rPr>
        <w:t>May 4, 2022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Date: </w:t>
      </w:r>
      <w:r>
        <w:rPr>
          <w:rFonts w:ascii="Times New Roman" w:cs="Times New Roman" w:eastAsia="Times New Roman" w:hAnsi="Times New Roman"/>
          <w:sz w:val="16"/>
          <w:szCs w:val="16"/>
          <w:color w:val="auto"/>
        </w:rPr>
        <w:t>May 4,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PENNANTPARK INVESTMENT CORPORATION</w:t>
      </w:r>
    </w:p>
    <w:p>
      <w:pPr>
        <w:spacing w:after="0" w:line="2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15240</wp:posOffset>
            </wp:positionV>
            <wp:extent cx="334327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Arthur H. Penn</w:t>
      </w:r>
    </w:p>
    <w:p>
      <w:pPr>
        <w:spacing w:after="0" w:line="1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 of the Board of Directors</w:t>
      </w: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15240</wp:posOffset>
            </wp:positionV>
            <wp:extent cx="334327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Richard Cheung</w:t>
      </w:r>
    </w:p>
    <w:p>
      <w:pPr>
        <w:spacing w:after="0" w:line="8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4820" w:space="720"/>
            <w:col w:w="380" w:space="720"/>
            <w:col w:w="4580"/>
          </w:cols>
          <w:pgMar w:left="320" w:top="317" w:right="359" w:bottom="1440" w:gutter="0" w:footer="0" w:header="0"/>
          <w:type w:val="continuous"/>
        </w:sectPr>
      </w:pP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type w:val="continuous"/>
        </w:sectPr>
      </w:pPr>
    </w:p>
    <w:bookmarkStart w:id="53" w:name="page54"/>
    <w:bookmarkEnd w:id="53"/>
    <w:p>
      <w:pPr>
        <w:ind w:left="10120"/>
        <w:spacing w:after="0"/>
        <w:rPr>
          <w:sz w:val="20"/>
          <w:szCs w:val="20"/>
          <w:color w:val="auto"/>
        </w:rPr>
      </w:pPr>
      <w:r>
        <w:rPr>
          <w:rFonts w:ascii="Times New Roman" w:cs="Times New Roman" w:eastAsia="Times New Roman" w:hAnsi="Times New Roman"/>
          <w:sz w:val="21"/>
          <w:szCs w:val="21"/>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JOINT CODE OF ETHICS</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FOR</w:t>
      </w:r>
    </w:p>
    <w:p>
      <w:pPr>
        <w:jc w:val="center"/>
        <w:ind w:right="60"/>
        <w:spacing w:after="0" w:line="230" w:lineRule="auto"/>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4" w:lineRule="exact"/>
        <w:rPr>
          <w:sz w:val="20"/>
          <w:szCs w:val="20"/>
          <w:color w:val="auto"/>
        </w:rPr>
      </w:pPr>
    </w:p>
    <w:p>
      <w:pPr>
        <w:ind w:right="3200" w:firstLine="3194"/>
        <w:spacing w:after="0" w:line="379" w:lineRule="auto"/>
        <w:rPr>
          <w:sz w:val="20"/>
          <w:szCs w:val="20"/>
          <w:color w:val="auto"/>
        </w:rPr>
      </w:pPr>
      <w:r>
        <w:rPr>
          <w:rFonts w:ascii="Times New Roman" w:cs="Times New Roman" w:eastAsia="Times New Roman" w:hAnsi="Times New Roman"/>
          <w:sz w:val="22"/>
          <w:szCs w:val="22"/>
          <w:b w:val="1"/>
          <w:bCs w:val="1"/>
          <w:color w:val="auto"/>
        </w:rPr>
        <w:t>PENNANTPARK INVESTMENT ADVISERS, LLC Section IStatement of General Fiduciary Principles</w:t>
      </w:r>
    </w:p>
    <w:p>
      <w:pPr>
        <w:spacing w:after="0" w:line="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under the Act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7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8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All Covered Personnel must read and retain this Code.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IIDefinitions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ind w:left="860" w:hanging="478"/>
        <w:spacing w:after="0" w:line="259" w:lineRule="auto"/>
        <w:tabs>
          <w:tab w:leader="none" w:pos="8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Person” means any director, officer, general partner or Advisory Person (as defined below) of the Corporations or the Adviser.</w:t>
      </w:r>
    </w:p>
    <w:p>
      <w:pPr>
        <w:spacing w:after="0" w:line="62" w:lineRule="exact"/>
        <w:rPr>
          <w:rFonts w:ascii="Times New Roman" w:cs="Times New Roman" w:eastAsia="Times New Roman" w:hAnsi="Times New Roman"/>
          <w:sz w:val="22"/>
          <w:szCs w:val="22"/>
          <w:color w:val="auto"/>
        </w:rPr>
      </w:pPr>
    </w:p>
    <w:p>
      <w:pPr>
        <w:jc w:val="both"/>
        <w:ind w:left="860" w:hanging="478"/>
        <w:spacing w:after="0" w:line="239" w:lineRule="auto"/>
        <w:tabs>
          <w:tab w:leader="none" w:pos="8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86" w:lineRule="exact"/>
        <w:rPr>
          <w:rFonts w:ascii="Times New Roman" w:cs="Times New Roman" w:eastAsia="Times New Roman" w:hAnsi="Times New Roman"/>
          <w:sz w:val="22"/>
          <w:szCs w:val="22"/>
          <w:color w:val="auto"/>
        </w:rPr>
      </w:pPr>
    </w:p>
    <w:p>
      <w:pPr>
        <w:jc w:val="both"/>
        <w:ind w:left="860" w:hanging="478"/>
        <w:spacing w:after="0" w:line="244" w:lineRule="auto"/>
        <w:tabs>
          <w:tab w:leader="none" w:pos="8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78" w:lineRule="exact"/>
        <w:rPr>
          <w:rFonts w:ascii="Times New Roman" w:cs="Times New Roman" w:eastAsia="Times New Roman" w:hAnsi="Times New Roman"/>
          <w:sz w:val="22"/>
          <w:szCs w:val="22"/>
          <w:color w:val="auto"/>
        </w:rPr>
      </w:pPr>
    </w:p>
    <w:p>
      <w:pPr>
        <w:ind w:left="860" w:hanging="478"/>
        <w:spacing w:after="0" w:line="258" w:lineRule="auto"/>
        <w:tabs>
          <w:tab w:leader="none" w:pos="8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Compliance Officer” means the Chief Compliance Officer of the Corporation (who also may serve as the compliance officer of the Adviser and/or one or more affiliates of the Adviser).</w:t>
      </w:r>
    </w:p>
    <w:p>
      <w:pPr>
        <w:spacing w:after="0" w:line="50"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 shall have the same meaning as that set forth in Section 2(a)(9) of the Act.</w:t>
      </w:r>
    </w:p>
    <w:p>
      <w:pPr>
        <w:spacing w:after="0" w:line="111" w:lineRule="exact"/>
        <w:rPr>
          <w:rFonts w:ascii="Times New Roman" w:cs="Times New Roman" w:eastAsia="Times New Roman" w:hAnsi="Times New Roman"/>
          <w:sz w:val="22"/>
          <w:szCs w:val="22"/>
          <w:color w:val="auto"/>
        </w:rPr>
      </w:pPr>
    </w:p>
    <w:p>
      <w:pPr>
        <w:jc w:val="both"/>
        <w:ind w:left="860" w:hanging="478"/>
        <w:spacing w:after="0" w:line="237" w:lineRule="auto"/>
        <w:tabs>
          <w:tab w:leader="none" w:pos="8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 However, a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both"/>
        <w:ind w:left="860"/>
        <w:spacing w:after="0" w:line="251" w:lineRule="auto"/>
        <w:rPr>
          <w:sz w:val="20"/>
          <w:szCs w:val="20"/>
          <w:color w:val="auto"/>
        </w:rPr>
      </w:pPr>
      <w:r>
        <w:rPr>
          <w:rFonts w:ascii="Times New Roman" w:cs="Times New Roman" w:eastAsia="Times New Roman" w:hAnsi="Times New Roman"/>
          <w:sz w:val="22"/>
          <w:szCs w:val="22"/>
          <w:color w:val="auto"/>
        </w:rPr>
        <w:t>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57" w:lineRule="exact"/>
        <w:rPr>
          <w:sz w:val="20"/>
          <w:szCs w:val="20"/>
          <w:color w:val="auto"/>
        </w:rPr>
      </w:pPr>
    </w:p>
    <w:p>
      <w:pPr>
        <w:ind w:left="860" w:hanging="478"/>
        <w:spacing w:after="0" w:line="271" w:lineRule="auto"/>
        <w:tabs>
          <w:tab w:leader="none" w:pos="8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 means a director of the Corporation who is not an “interested person” of the Corporation within the meaning of Section 2(a)(19) of the Act.</w:t>
      </w:r>
    </w:p>
    <w:p>
      <w:pPr>
        <w:spacing w:after="0" w:line="36" w:lineRule="exact"/>
        <w:rPr>
          <w:rFonts w:ascii="Times New Roman" w:cs="Times New Roman" w:eastAsia="Times New Roman" w:hAnsi="Times New Roman"/>
          <w:sz w:val="22"/>
          <w:szCs w:val="22"/>
          <w:color w:val="auto"/>
        </w:rPr>
      </w:pPr>
    </w:p>
    <w:p>
      <w:pPr>
        <w:jc w:val="both"/>
        <w:ind w:left="860" w:hanging="478"/>
        <w:spacing w:after="0" w:line="250" w:lineRule="auto"/>
        <w:tabs>
          <w:tab w:leader="none" w:pos="8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Public Offering” means an offering of securities registered under the Securities Act of 1933, as amended (the “1933 Act”), the issuer of which, immediately before the registration, was not subject to the reporting requirements of Sections 13 or 15(d) of the 1934 Act.</w:t>
      </w:r>
    </w:p>
    <w:p>
      <w:pPr>
        <w:spacing w:after="0" w:line="59" w:lineRule="exact"/>
        <w:rPr>
          <w:rFonts w:ascii="Times New Roman" w:cs="Times New Roman" w:eastAsia="Times New Roman" w:hAnsi="Times New Roman"/>
          <w:sz w:val="22"/>
          <w:szCs w:val="22"/>
          <w:color w:val="auto"/>
        </w:rPr>
      </w:pPr>
    </w:p>
    <w:p>
      <w:pPr>
        <w:ind w:left="860" w:hanging="478"/>
        <w:spacing w:after="0" w:line="271" w:lineRule="auto"/>
        <w:tabs>
          <w:tab w:leader="none" w:pos="8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Offering” means an offering that is exempt from registration under the 1933 Act pursuant to Section 4(2) or Section 4(6) thereof or pursuant to Rule 504, Rule 505, or Rule 506 thereunder.</w:t>
      </w:r>
    </w:p>
    <w:p>
      <w:pPr>
        <w:spacing w:after="0" w:line="36" w:lineRule="exact"/>
        <w:rPr>
          <w:rFonts w:ascii="Times New Roman" w:cs="Times New Roman" w:eastAsia="Times New Roman" w:hAnsi="Times New Roman"/>
          <w:sz w:val="22"/>
          <w:szCs w:val="22"/>
          <w:color w:val="auto"/>
        </w:rPr>
      </w:pPr>
    </w:p>
    <w:p>
      <w:pPr>
        <w:ind w:left="860" w:hanging="478"/>
        <w:spacing w:after="0" w:line="258" w:lineRule="auto"/>
        <w:tabs>
          <w:tab w:leader="none" w:pos="8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List” means the “Pipeline” report of potential investments combined with the current holdings of the clients. PennantPark Access Persons are restricted from trading any security on the Restricted List.</w:t>
      </w:r>
    </w:p>
    <w:p>
      <w:pPr>
        <w:spacing w:after="0" w:line="63"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“Security Held or to be Acquired” by the Corporation means: (i) any Covered Security which, within the most recent 15</w:t>
      </w:r>
    </w:p>
    <w:p>
      <w:pPr>
        <w:spacing w:after="0" w:line="25" w:lineRule="exact"/>
        <w:rPr>
          <w:rFonts w:ascii="Times New Roman" w:cs="Times New Roman" w:eastAsia="Times New Roman" w:hAnsi="Times New Roman"/>
          <w:sz w:val="21"/>
          <w:szCs w:val="21"/>
          <w:color w:val="auto"/>
        </w:rPr>
      </w:pPr>
    </w:p>
    <w:p>
      <w:pPr>
        <w:jc w:val="both"/>
        <w:ind w:left="86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 of this Code.</w:t>
      </w:r>
    </w:p>
    <w:p>
      <w:pPr>
        <w:spacing w:after="0" w:line="70" w:lineRule="exact"/>
        <w:rPr>
          <w:rFonts w:ascii="Times New Roman" w:cs="Times New Roman" w:eastAsia="Times New Roman" w:hAnsi="Times New Roman"/>
          <w:sz w:val="21"/>
          <w:szCs w:val="21"/>
          <w:color w:val="auto"/>
        </w:rPr>
      </w:pPr>
    </w:p>
    <w:p>
      <w:pPr>
        <w:ind w:left="860" w:hanging="478"/>
        <w:spacing w:after="0"/>
        <w:tabs>
          <w:tab w:leader="none" w:pos="8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“17j-1 Organization” means the Corporation or the Adviser, as the context requires.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IIIObjective and General Prohibitions</w:t>
      </w:r>
    </w:p>
    <w:p>
      <w:pPr>
        <w:spacing w:after="0" w:line="102"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2"/>
          <w:szCs w:val="22"/>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6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69" w:lineRule="exact"/>
        <w:rPr>
          <w:sz w:val="20"/>
          <w:szCs w:val="20"/>
          <w:color w:val="auto"/>
        </w:rPr>
      </w:pPr>
    </w:p>
    <w:p>
      <w:pPr>
        <w:ind w:left="5580" w:right="4420" w:hanging="4823"/>
        <w:spacing w:after="0" w:line="389" w:lineRule="auto"/>
        <w:tabs>
          <w:tab w:leader="none" w:pos="114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 any device, scheme or artifice to defraud the Corporation; 3</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jc w:val="both"/>
        <w:ind w:left="1140" w:hanging="383"/>
        <w:spacing w:after="0" w:line="251" w:lineRule="auto"/>
        <w:tabs>
          <w:tab w:leader="none" w:pos="11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57" w:lineRule="exact"/>
        <w:rPr>
          <w:rFonts w:ascii="Times New Roman" w:cs="Times New Roman" w:eastAsia="Times New Roman" w:hAnsi="Times New Roman"/>
          <w:sz w:val="22"/>
          <w:szCs w:val="22"/>
          <w:color w:val="auto"/>
        </w:rPr>
      </w:pPr>
    </w:p>
    <w:p>
      <w:pPr>
        <w:ind w:left="1320" w:right="580" w:hanging="563"/>
        <w:spacing w:after="0" w:line="271" w:lineRule="auto"/>
        <w:tabs>
          <w:tab w:leader="none" w:pos="13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act, practice or course of business that operates or would operate as a fraud or deceit upon the Corporation; or</w:t>
      </w:r>
    </w:p>
    <w:p>
      <w:pPr>
        <w:spacing w:after="0" w:line="36"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manipulative practice with respect to the Corporation.</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Covered Personnel should also recognize that a violation of this Code or of Rule 17j-1 may result in the imposition of:</w:t>
      </w:r>
    </w:p>
    <w:p>
      <w:pPr>
        <w:spacing w:after="0" w:line="28" w:lineRule="exact"/>
        <w:rPr>
          <w:sz w:val="20"/>
          <w:szCs w:val="20"/>
          <w:color w:val="auto"/>
        </w:rPr>
      </w:pPr>
    </w:p>
    <w:p>
      <w:pPr>
        <w:ind w:firstLine="8"/>
        <w:spacing w:after="0" w:line="237" w:lineRule="auto"/>
        <w:tabs>
          <w:tab w:leader="none" w:pos="31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sanctions as provided by Section VIII of this Code; or (2) administrative, civil and, in certain cases, criminal fines, sanctions or penalties.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IVPre-Clearance of Personal Account Transactions; Window Period to Trade PennantPark shares</w:t>
      </w:r>
    </w:p>
    <w:p>
      <w:pPr>
        <w:spacing w:after="0" w:line="10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 and a statement that the Access Person has reviewed the Pipeline Report for any conflicts.</w:t>
      </w:r>
    </w:p>
    <w:p>
      <w:pPr>
        <w:spacing w:after="0" w:line="86" w:lineRule="exact"/>
        <w:rPr>
          <w:sz w:val="20"/>
          <w:szCs w:val="20"/>
          <w:color w:val="auto"/>
        </w:rPr>
      </w:pPr>
    </w:p>
    <w:p>
      <w:pPr>
        <w:ind w:left="760" w:right="1320"/>
        <w:spacing w:after="0" w:line="332" w:lineRule="auto"/>
        <w:rPr>
          <w:sz w:val="20"/>
          <w:szCs w:val="20"/>
          <w:color w:val="auto"/>
        </w:rPr>
      </w:pPr>
      <w:r>
        <w:rPr>
          <w:rFonts w:ascii="Times New Roman" w:cs="Times New Roman" w:eastAsia="Times New Roman" w:hAnsi="Times New Roman"/>
          <w:sz w:val="22"/>
          <w:szCs w:val="22"/>
          <w:color w:val="auto"/>
        </w:rPr>
        <w:t xml:space="preserve">Any approval given under this paragraph will be provided by email and will remain in effect for 72 hours. </w:t>
      </w:r>
      <w:r>
        <w:rPr>
          <w:rFonts w:ascii="Times New Roman" w:cs="Times New Roman" w:eastAsia="Times New Roman" w:hAnsi="Times New Roman"/>
          <w:sz w:val="22"/>
          <w:szCs w:val="22"/>
          <w:u w:val="single" w:color="auto"/>
          <w:color w:val="auto"/>
        </w:rPr>
        <w:t>Exceptions to the Pre-Clearance Requirement Policy,</w:t>
      </w:r>
    </w:p>
    <w:p>
      <w:pPr>
        <w:spacing w:after="0" w:line="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(i) 30 calendar days after the release of results (29 calendar days in all) or (ii) in the case of either Corporation’s and the Adviser’s decision to buy or sell the applicable Corporation’s equity securities, the end of the quarterly period during which such financial results of such Corporation have been publicly released.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about the Corporation, including any decision by the Corporation to buy or sell its own shares. Further, the window period may not open in a particular quarter, and it may be closed, as the case may be, prior to the expiration of 30 days or the applicable quarter end, in each case as events require.</w:t>
      </w:r>
    </w:p>
    <w:p>
      <w:pPr>
        <w:spacing w:after="0" w:line="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Additionally, Independent Directors are not required to seek preapproval for any transactions other than those which would trigger reporting requirements as set forth in Section VI (C) of this Code.</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b w:val="1"/>
          <w:bCs w:val="1"/>
          <w:color w:val="auto"/>
        </w:rPr>
        <w:t>Section VProhibited Transactions</w:t>
      </w:r>
    </w:p>
    <w:p>
      <w:pPr>
        <w:spacing w:after="0" w:line="116" w:lineRule="exact"/>
        <w:rPr>
          <w:sz w:val="20"/>
          <w:szCs w:val="20"/>
          <w:color w:val="auto"/>
        </w:rPr>
      </w:pPr>
    </w:p>
    <w:p>
      <w:pPr>
        <w:jc w:val="both"/>
        <w:ind w:left="860" w:hanging="478"/>
        <w:spacing w:after="0"/>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68" w:lineRule="exact"/>
        <w:rPr>
          <w:rFonts w:ascii="Times New Roman" w:cs="Times New Roman" w:eastAsia="Times New Roman" w:hAnsi="Times New Roman"/>
          <w:sz w:val="22"/>
          <w:szCs w:val="22"/>
          <w:color w:val="auto"/>
        </w:rPr>
      </w:pPr>
    </w:p>
    <w:p>
      <w:pPr>
        <w:jc w:val="both"/>
        <w:ind w:left="860" w:hanging="478"/>
        <w:spacing w:after="0" w:line="244"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64" w:lineRule="exact"/>
        <w:rPr>
          <w:rFonts w:ascii="Times New Roman" w:cs="Times New Roman" w:eastAsia="Times New Roman" w:hAnsi="Times New Roman"/>
          <w:sz w:val="22"/>
          <w:szCs w:val="22"/>
          <w:color w:val="auto"/>
        </w:rPr>
      </w:pPr>
    </w:p>
    <w:p>
      <w:pPr>
        <w:jc w:val="both"/>
        <w:ind w:left="860" w:hanging="478"/>
        <w:spacing w:after="0" w:line="241"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VIReports by Access Persons</w:t>
      </w:r>
    </w:p>
    <w:p>
      <w:pPr>
        <w:spacing w:after="0" w:line="116"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Personal Securities Holdings Reports.</w:t>
      </w:r>
    </w:p>
    <w:p>
      <w:pPr>
        <w:spacing w:after="0" w:line="98"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hereto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69"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Quarterly Transaction Reports.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58" w:name="page59"/>
    <w:bookmarkEnd w:id="58"/>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hereto as Schedule B.</w:t>
      </w:r>
    </w:p>
    <w:p>
      <w:pPr>
        <w:spacing w:after="0" w:line="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50" w:lineRule="exact"/>
        <w:rPr>
          <w:sz w:val="20"/>
          <w:szCs w:val="20"/>
          <w:color w:val="auto"/>
        </w:rPr>
      </w:pPr>
    </w:p>
    <w:p>
      <w:pPr>
        <w:ind w:left="1140" w:hanging="383"/>
        <w:spacing w:after="0"/>
        <w:tabs>
          <w:tab w:leader="none" w:pos="11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and nature of the transaction (purchase, sale or any other type of acquisition or disposition);</w:t>
      </w:r>
    </w:p>
    <w:p>
      <w:pPr>
        <w:spacing w:after="0" w:line="111"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interest rate and maturity date (if applicable), number of shares and principal amount of each Covered Security involved and the price of the Covered Security at which the transaction was effected;</w:t>
      </w:r>
    </w:p>
    <w:p>
      <w:pPr>
        <w:spacing w:after="0" w:line="6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the broker, dealer or bank with or through whom the transaction was effected; and</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report is submitted by the Access Person.</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Directors.</w:t>
      </w:r>
    </w:p>
    <w:p>
      <w:pPr>
        <w:spacing w:after="0" w:line="9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75"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Access Persons of the Adviser.</w:t>
      </w:r>
    </w:p>
    <w:p>
      <w:pPr>
        <w:spacing w:after="0" w:line="9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An Access Person of the Adviser need not make a Quarterly Transaction Report if all of the information in the report would duplicate information required to be recorded pursuant to Rules 204-2(a)(12) or (13) under the Advisers Act.</w:t>
      </w:r>
    </w:p>
    <w:p>
      <w:pPr>
        <w:spacing w:after="0" w:line="36"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Brokerage Accounts and Statements.</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Access Persons, except Independent Directors, shall:</w:t>
      </w:r>
    </w:p>
    <w:p>
      <w:pPr>
        <w:spacing w:after="0" w:line="112" w:lineRule="exact"/>
        <w:rPr>
          <w:sz w:val="20"/>
          <w:szCs w:val="20"/>
          <w:color w:val="auto"/>
        </w:rPr>
      </w:pPr>
    </w:p>
    <w:p>
      <w:pPr>
        <w:jc w:val="both"/>
        <w:ind w:left="1140" w:hanging="383"/>
        <w:spacing w:after="0" w:line="244" w:lineRule="auto"/>
        <w:tabs>
          <w:tab w:leader="none" w:pos="11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ind w:left="1140" w:hanging="383"/>
        <w:spacing w:after="0" w:line="259" w:lineRule="auto"/>
        <w:tabs>
          <w:tab w:leader="none" w:pos="11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brokers, dealers or banks with whom they maintain such an account to provide duplicate account statements to the Chief Compliance Officer.</w:t>
      </w:r>
    </w:p>
    <w:p>
      <w:pPr>
        <w:spacing w:after="0" w:line="62"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annual basis, certify that they have complied with the requirements of (1) and (2) above.</w:t>
      </w:r>
    </w:p>
    <w:p>
      <w:pPr>
        <w:spacing w:after="0" w:line="98"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Reports.</w:t>
      </w:r>
    </w:p>
    <w:p>
      <w:pPr>
        <w:spacing w:after="0" w:line="112"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79"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1"/>
          <w:szCs w:val="21"/>
          <w:color w:val="auto"/>
        </w:rPr>
        <w:t>Responsibility to Report.</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It is the responsibility of each Access Person to take the initiative to comply with the requirements of this Section VI.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78"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1"/>
          <w:szCs w:val="21"/>
          <w:color w:val="auto"/>
        </w:rPr>
        <w:t>Where to File Reports.</w:t>
      </w:r>
    </w:p>
    <w:p>
      <w:pPr>
        <w:spacing w:after="0" w:line="9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All Quarterly Securities Transaction Reports and Personal Securities Holdings Reports must be filed with the Chief Compliance Officer.</w:t>
      </w:r>
    </w:p>
    <w:p>
      <w:pPr>
        <w:spacing w:after="0" w:line="64" w:lineRule="exact"/>
        <w:rPr>
          <w:sz w:val="20"/>
          <w:szCs w:val="20"/>
          <w:color w:val="auto"/>
        </w:rPr>
      </w:pPr>
    </w:p>
    <w:p>
      <w:pPr>
        <w:ind w:left="860" w:hanging="478"/>
        <w:spacing w:after="0"/>
        <w:tabs>
          <w:tab w:leader="none" w:pos="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Disclaimers.</w:t>
      </w:r>
    </w:p>
    <w:p>
      <w:pPr>
        <w:spacing w:after="0" w:line="98"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1"/>
          <w:szCs w:val="21"/>
          <w:color w:val="auto"/>
        </w:rPr>
        <w:t>Any report required by this Section VI may contain a statement that the report will not be construed as an admission that the person making the report has any direct or indirect Beneficial Ownership in the Covered, Security to which the report relates.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VIIAdditional Prohibitions</w:t>
      </w:r>
    </w:p>
    <w:p>
      <w:pPr>
        <w:spacing w:after="0" w:line="116"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Confidentiality of the Corporation’s Transactions.</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Until disclosed in a public report to shareholders or to the Securities and Exchange Commission (the “SEC”)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78"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Outside Business Activities and Directorships.</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78"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Gratuities.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ind w:firstLine="749"/>
        <w:spacing w:after="0" w:line="251" w:lineRule="auto"/>
        <w:rPr>
          <w:sz w:val="20"/>
          <w:szCs w:val="20"/>
          <w:color w:val="auto"/>
        </w:rPr>
      </w:pPr>
      <w:r>
        <w:rPr>
          <w:rFonts w:ascii="Times New Roman" w:cs="Times New Roman" w:eastAsia="Times New Roman" w:hAnsi="Times New Roman"/>
          <w:sz w:val="22"/>
          <w:szCs w:val="22"/>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VIIIProhibition Against Insider Trading</w:t>
      </w:r>
    </w:p>
    <w:p>
      <w:pPr>
        <w:spacing w:after="0" w:line="10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69" w:lineRule="exact"/>
        <w:rPr>
          <w:sz w:val="20"/>
          <w:szCs w:val="20"/>
          <w:color w:val="auto"/>
        </w:rPr>
      </w:pPr>
    </w:p>
    <w:p>
      <w:pPr>
        <w:jc w:val="both"/>
        <w:ind w:left="860" w:hanging="478"/>
        <w:spacing w:after="0" w:line="250"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59" w:lineRule="exact"/>
        <w:rPr>
          <w:rFonts w:ascii="Times New Roman" w:cs="Times New Roman" w:eastAsia="Times New Roman" w:hAnsi="Times New Roman"/>
          <w:sz w:val="22"/>
          <w:szCs w:val="22"/>
          <w:color w:val="auto"/>
        </w:rPr>
      </w:pPr>
    </w:p>
    <w:p>
      <w:pPr>
        <w:jc w:val="both"/>
        <w:ind w:left="860" w:hanging="478"/>
        <w:spacing w:after="0" w:line="239"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72" w:lineRule="exact"/>
        <w:rPr>
          <w:rFonts w:ascii="Times New Roman" w:cs="Times New Roman" w:eastAsia="Times New Roman" w:hAnsi="Times New Roman"/>
          <w:sz w:val="22"/>
          <w:szCs w:val="22"/>
          <w:color w:val="auto"/>
        </w:rPr>
      </w:pPr>
    </w:p>
    <w:p>
      <w:pPr>
        <w:jc w:val="both"/>
        <w:ind w:left="860" w:hanging="478"/>
        <w:spacing w:after="0" w:line="244"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is “public” when it has been disseminated broadly to investors in the marketplace. For example, information is public after it has become available to the general public through a public filing with the SEC or some other government agency, the Dow Jones “tape” or The Wall Street Journal or some other publication of general circulation, and after sufficient time has passed so that the information has been disseminated widely.</w:t>
      </w:r>
    </w:p>
    <w:p>
      <w:pPr>
        <w:spacing w:after="0" w:line="78" w:lineRule="exact"/>
        <w:rPr>
          <w:rFonts w:ascii="Times New Roman" w:cs="Times New Roman" w:eastAsia="Times New Roman" w:hAnsi="Times New Roman"/>
          <w:sz w:val="22"/>
          <w:szCs w:val="22"/>
          <w:color w:val="auto"/>
        </w:rPr>
      </w:pPr>
    </w:p>
    <w:p>
      <w:pPr>
        <w:jc w:val="both"/>
        <w:ind w:left="860" w:hanging="478"/>
        <w:spacing w:after="0" w:line="250"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Person, before executing any trade for himself or herself, or others, including the Corporation or other accounts managed by the Adviser or by a stockholder of the Adviser, or any affiliate of the stockholder (collectively, “Client Accounts”), must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ind w:left="860"/>
        <w:spacing w:after="0" w:line="259" w:lineRule="auto"/>
        <w:rPr>
          <w:sz w:val="20"/>
          <w:szCs w:val="20"/>
          <w:color w:val="auto"/>
        </w:rPr>
      </w:pPr>
      <w:r>
        <w:rPr>
          <w:rFonts w:ascii="Times New Roman" w:cs="Times New Roman" w:eastAsia="Times New Roman" w:hAnsi="Times New Roman"/>
          <w:sz w:val="22"/>
          <w:szCs w:val="22"/>
          <w:color w:val="auto"/>
        </w:rPr>
        <w:t>determine whether he or she has material, non-public information. Any Advisory Person who believes he or she is in possession of material, non-public information must take the following steps:</w:t>
      </w:r>
    </w:p>
    <w:p>
      <w:pPr>
        <w:spacing w:after="0" w:line="62" w:lineRule="exact"/>
        <w:rPr>
          <w:sz w:val="20"/>
          <w:szCs w:val="20"/>
          <w:color w:val="auto"/>
        </w:rPr>
      </w:pPr>
    </w:p>
    <w:p>
      <w:pPr>
        <w:ind w:left="1140" w:hanging="383"/>
        <w:spacing w:after="0"/>
        <w:tabs>
          <w:tab w:leader="none" w:pos="11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 the information and proposed trade immediately to the Chief Compliance Officer.</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purchase or sell the securities on behalf of anyone, including Client Accounts.</w:t>
      </w:r>
    </w:p>
    <w:p>
      <w:pPr>
        <w:spacing w:after="0" w:line="11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communicate the information to any person, other than to the Chief Compliance Officer.</w:t>
      </w:r>
    </w:p>
    <w:p>
      <w:pPr>
        <w:spacing w:after="0" w:line="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78" w:lineRule="exact"/>
        <w:rPr>
          <w:sz w:val="20"/>
          <w:szCs w:val="20"/>
          <w:color w:val="auto"/>
        </w:rPr>
      </w:pPr>
    </w:p>
    <w:p>
      <w:pPr>
        <w:jc w:val="both"/>
        <w:ind w:left="860" w:hanging="478"/>
        <w:spacing w:after="0" w:line="238" w:lineRule="auto"/>
        <w:tabs>
          <w:tab w:leader="none" w:pos="8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69" w:lineRule="exact"/>
        <w:rPr>
          <w:rFonts w:ascii="Times New Roman" w:cs="Times New Roman" w:eastAsia="Times New Roman" w:hAnsi="Times New Roman"/>
          <w:sz w:val="22"/>
          <w:szCs w:val="22"/>
          <w:color w:val="auto"/>
        </w:rPr>
      </w:pPr>
    </w:p>
    <w:p>
      <w:pPr>
        <w:jc w:val="both"/>
        <w:ind w:left="860" w:hanging="478"/>
        <w:spacing w:after="0" w:line="253" w:lineRule="auto"/>
        <w:tabs>
          <w:tab w:leader="none" w:pos="86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IXAnnual Certification</w:t>
      </w:r>
    </w:p>
    <w:p>
      <w:pPr>
        <w:spacing w:after="0" w:line="102"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Access Persons.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jc w:val="both"/>
        <w:ind w:firstLine="749"/>
        <w:spacing w:after="0" w:line="251" w:lineRule="auto"/>
        <w:rPr>
          <w:sz w:val="20"/>
          <w:szCs w:val="20"/>
          <w:color w:val="auto"/>
        </w:rPr>
      </w:pPr>
      <w:r>
        <w:rPr>
          <w:rFonts w:ascii="Times New Roman" w:cs="Times New Roman" w:eastAsia="Times New Roman" w:hAnsi="Times New Roman"/>
          <w:sz w:val="22"/>
          <w:szCs w:val="22"/>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57"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Board Review.</w:t>
      </w:r>
    </w:p>
    <w:p>
      <w:pPr>
        <w:spacing w:after="0" w:line="11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No less frequently than annually, the Corporation and the Adviser must furnish to the Corporation’s board of directors, and the board must consider, a written report that: (1) describes any issues arising under this Code or procedures since the last report to the board, including, but not limited to, information about material violations of this Code or procedures and sanctions imposed in response to material violations; and (2) certifies that the Corporation or the Adviser, as applicable, has adopted procedures reasonably necessary to prevent Access Persons from violating this Code.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XSanctions</w:t>
      </w:r>
    </w:p>
    <w:p>
      <w:pPr>
        <w:spacing w:after="0" w:line="10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XIAdministration and Construction</w:t>
      </w:r>
    </w:p>
    <w:p>
      <w:pPr>
        <w:spacing w:after="0" w:line="102" w:lineRule="exact"/>
        <w:rPr>
          <w:sz w:val="20"/>
          <w:szCs w:val="20"/>
          <w:color w:val="auto"/>
        </w:rPr>
      </w:pPr>
    </w:p>
    <w:p>
      <w:pPr>
        <w:ind w:left="860" w:hanging="478"/>
        <w:spacing w:after="0"/>
        <w:tabs>
          <w:tab w:leader="none" w:pos="8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administration of this Code shall be the responsibility of the Chief Compliance Officer.</w:t>
      </w:r>
    </w:p>
    <w:p>
      <w:pPr>
        <w:spacing w:after="0" w:line="111"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Chief Compliance Officer are as follows:</w:t>
      </w:r>
    </w:p>
    <w:p>
      <w:pPr>
        <w:spacing w:after="0" w:line="9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7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annual basis, providing all Covered Personnel a copy of this Code and informing such persons of their duties and obligations hereunder including any supplemental training that may be required from time to time;</w:t>
      </w:r>
    </w:p>
    <w:p>
      <w:pPr>
        <w:spacing w:after="0" w:line="50"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or supervising the maintenance of all records and reports required by this Code;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jc w:val="both"/>
        <w:ind w:left="1140" w:hanging="383"/>
        <w:spacing w:after="0" w:line="251" w:lineRule="auto"/>
        <w:tabs>
          <w:tab w:leader="none" w:pos="11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57"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either personally or with the assistance of counsel as may be appropriate, of any interpretation of this Code that may appear consistent with the objectives of Rule 17j-1 and this Code;</w:t>
      </w:r>
    </w:p>
    <w:p>
      <w:pPr>
        <w:spacing w:after="0" w:line="3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such inspections or investigations as shall reasonably be required to detect and report, with recommendations, any apparent violations of this Code to the board of directors of the Corporation;</w:t>
      </w:r>
    </w:p>
    <w:p>
      <w:pPr>
        <w:spacing w:after="0" w:line="63"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 (B); and</w:t>
      </w:r>
    </w:p>
    <w:p>
      <w:pPr>
        <w:spacing w:after="0" w:line="59" w:lineRule="exact"/>
        <w:rPr>
          <w:rFonts w:ascii="Times New Roman" w:cs="Times New Roman" w:eastAsia="Times New Roman" w:hAnsi="Times New Roman"/>
          <w:sz w:val="22"/>
          <w:szCs w:val="22"/>
          <w:color w:val="auto"/>
        </w:rPr>
      </w:pPr>
    </w:p>
    <w:p>
      <w:pPr>
        <w:ind w:left="860" w:right="20" w:hanging="478"/>
        <w:spacing w:after="0" w:line="258" w:lineRule="auto"/>
        <w:tabs>
          <w:tab w:leader="none" w:pos="8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Financial Officer shall maintain and cause to be maintained in an easily accessible place at the principal place of business of the 17j-1 Organization, the following records:</w:t>
      </w:r>
    </w:p>
    <w:p>
      <w:pPr>
        <w:spacing w:after="0" w:line="63"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all codes of ethics adopted by the Corporation or the Adviser and its affiliates, as the case may be, pursuant to Rule 17j-1 that have been in effect at any time during the past five (5) years;</w:t>
      </w:r>
    </w:p>
    <w:p>
      <w:pPr>
        <w:spacing w:after="0" w:line="50" w:lineRule="exact"/>
        <w:rPr>
          <w:rFonts w:ascii="Times New Roman" w:cs="Times New Roman" w:eastAsia="Times New Roman" w:hAnsi="Times New Roman"/>
          <w:sz w:val="22"/>
          <w:szCs w:val="22"/>
          <w:color w:val="auto"/>
        </w:rPr>
      </w:pPr>
    </w:p>
    <w:p>
      <w:pPr>
        <w:ind w:left="1140" w:right="20" w:hanging="383"/>
        <w:spacing w:after="0" w:line="271" w:lineRule="auto"/>
        <w:tabs>
          <w:tab w:leader="none" w:pos="11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of each violation of such codes of ethics and of any action taken as a result of such violation for at least five (5) years after the end of the fiscal year in which the violation occurs;</w:t>
      </w:r>
    </w:p>
    <w:p>
      <w:pPr>
        <w:spacing w:after="0" w:line="36"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made by an Access Person for at least two (2) years after the end of the fiscal year in which the report is made, and for an additional three (3) years in a place that need not be easily accessible;</w:t>
      </w:r>
    </w:p>
    <w:p>
      <w:pPr>
        <w:spacing w:after="0" w:line="36"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59"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list of all persons who are, or within the past five (5) years have been, required to make reports pursuant to Rule 17j-1 and this Code, or who are or were responsible for reviewing such reports;</w:t>
      </w:r>
    </w:p>
    <w:p>
      <w:pPr>
        <w:spacing w:after="0" w:line="36"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required by Section VII (B) of this Code for at least two (2) years after the end of the fiscal year in which it is made, and for an additional three (3) years in a place that need not be easily accessible; and</w:t>
      </w:r>
    </w:p>
    <w:p>
      <w:pPr>
        <w:spacing w:after="0" w:line="63"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ind w:left="860" w:hanging="478"/>
        <w:spacing w:after="0" w:line="259" w:lineRule="auto"/>
        <w:tabs>
          <w:tab w:leader="none" w:pos="8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Code may not be amended or modified except in a written form that is specifically approved by majority vote of the Independent Directors.</w:t>
      </w:r>
    </w:p>
    <w:p>
      <w:pPr>
        <w:spacing w:after="0" w:line="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Joint Code of Ethics, originally adopted December 12, 2007 and amended as of May 3, 2022, is annually reviewed and approved by the Board of Directors of the Corporation, including a majority of the Independent Directors.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1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CHIEF EXECUTIVE OFFICER CERTIFICATION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Arthur H. Penn, Chief Executive Officer of PennantPark Investment Corporation, certify that:</w:t>
      </w:r>
    </w:p>
    <w:p>
      <w:pPr>
        <w:spacing w:after="0" w:line="177" w:lineRule="exact"/>
        <w:rPr>
          <w:sz w:val="20"/>
          <w:szCs w:val="20"/>
          <w:color w:val="auto"/>
        </w:rPr>
      </w:pPr>
    </w:p>
    <w:p>
      <w:pPr>
        <w:ind w:left="620" w:hanging="143"/>
        <w:spacing w:after="0"/>
        <w:tabs>
          <w:tab w:leader="none" w:pos="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Investment Corporation;</w:t>
      </w:r>
    </w:p>
    <w:p>
      <w:pPr>
        <w:spacing w:after="0" w:line="163" w:lineRule="exact"/>
        <w:rPr>
          <w:rFonts w:ascii="Times New Roman" w:cs="Times New Roman" w:eastAsia="Times New Roman" w:hAnsi="Times New Roman"/>
          <w:sz w:val="14"/>
          <w:szCs w:val="14"/>
          <w:color w:val="auto"/>
        </w:rPr>
      </w:pPr>
    </w:p>
    <w:p>
      <w:pPr>
        <w:ind w:right="580" w:firstLine="477"/>
        <w:spacing w:after="0" w:line="302" w:lineRule="auto"/>
        <w:tabs>
          <w:tab w:leader="none" w:pos="61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4"/>
          <w:szCs w:val="14"/>
          <w:color w:val="auto"/>
        </w:rPr>
      </w:pPr>
    </w:p>
    <w:p>
      <w:pPr>
        <w:ind w:right="460" w:firstLine="477"/>
        <w:spacing w:after="0" w:line="282" w:lineRule="auto"/>
        <w:tabs>
          <w:tab w:leader="none" w:pos="61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4"/>
          <w:szCs w:val="14"/>
          <w:color w:val="auto"/>
        </w:rPr>
      </w:pPr>
    </w:p>
    <w:p>
      <w:pPr>
        <w:ind w:right="60" w:firstLine="477"/>
        <w:spacing w:after="0" w:line="282" w:lineRule="auto"/>
        <w:tabs>
          <w:tab w:leader="none" w:pos="61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4"/>
          <w:szCs w:val="14"/>
          <w:color w:val="auto"/>
        </w:rPr>
      </w:pPr>
    </w:p>
    <w:p>
      <w:pPr>
        <w:jc w:val="both"/>
        <w:ind w:right="480" w:firstLine="757"/>
        <w:spacing w:after="0" w:line="269" w:lineRule="auto"/>
        <w:tabs>
          <w:tab w:leader="none" w:pos="919"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0" w:lineRule="exact"/>
        <w:rPr>
          <w:rFonts w:ascii="Times New Roman" w:cs="Times New Roman" w:eastAsia="Times New Roman" w:hAnsi="Times New Roman"/>
          <w:sz w:val="14"/>
          <w:szCs w:val="14"/>
          <w:color w:val="auto"/>
        </w:rPr>
      </w:pPr>
    </w:p>
    <w:p>
      <w:pPr>
        <w:ind w:left="920" w:hanging="163"/>
        <w:spacing w:after="0"/>
        <w:tabs>
          <w:tab w:leader="none" w:pos="9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w:t>
      </w:r>
    </w:p>
    <w:p>
      <w:pPr>
        <w:spacing w:after="0" w:line="17"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14"/>
          <w:szCs w:val="14"/>
          <w:color w:val="auto"/>
        </w:rPr>
        <w:t>reasonable assurance regarding the reliability of financial reporting and the preparation of financial statements for external purposes in accordance with generally accepted accounting principles;</w:t>
      </w:r>
    </w:p>
    <w:p>
      <w:pPr>
        <w:spacing w:after="0" w:line="137" w:lineRule="exact"/>
        <w:rPr>
          <w:sz w:val="20"/>
          <w:szCs w:val="20"/>
          <w:color w:val="auto"/>
        </w:rPr>
      </w:pPr>
    </w:p>
    <w:p>
      <w:pPr>
        <w:ind w:right="260" w:firstLine="757"/>
        <w:spacing w:after="0" w:line="282" w:lineRule="auto"/>
        <w:tabs>
          <w:tab w:leader="none" w:pos="897"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4"/>
          <w:szCs w:val="14"/>
          <w:color w:val="auto"/>
        </w:rPr>
      </w:pPr>
    </w:p>
    <w:p>
      <w:pPr>
        <w:ind w:right="380" w:firstLine="757"/>
        <w:spacing w:after="0" w:line="302" w:lineRule="auto"/>
        <w:tabs>
          <w:tab w:leader="none" w:pos="905"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4"/>
          <w:szCs w:val="14"/>
          <w:color w:val="auto"/>
        </w:rPr>
      </w:pPr>
    </w:p>
    <w:p>
      <w:pPr>
        <w:ind w:right="540" w:firstLine="477"/>
        <w:spacing w:after="0" w:line="282" w:lineRule="auto"/>
        <w:tabs>
          <w:tab w:leader="none" w:pos="61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4"/>
          <w:szCs w:val="14"/>
          <w:color w:val="auto"/>
        </w:rPr>
      </w:pPr>
    </w:p>
    <w:p>
      <w:pPr>
        <w:ind w:right="420" w:firstLine="757"/>
        <w:spacing w:after="0" w:line="282" w:lineRule="auto"/>
        <w:tabs>
          <w:tab w:leader="none" w:pos="897"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4"/>
          <w:szCs w:val="14"/>
          <w:color w:val="auto"/>
        </w:rPr>
      </w:pPr>
    </w:p>
    <w:p>
      <w:pPr>
        <w:ind w:right="620" w:firstLine="757"/>
        <w:spacing w:after="0" w:line="503" w:lineRule="auto"/>
        <w:tabs>
          <w:tab w:leader="none" w:pos="904"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Dated: May 4, 2022</w:t>
      </w:r>
    </w:p>
    <w:p>
      <w:pPr>
        <w:ind w:left="2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460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Arthur H. Penn</w:t>
      </w:r>
    </w:p>
    <w:p>
      <w:pPr>
        <w:spacing w:after="0" w:line="2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CHIEF FINANCIAL OFFICER CERTIFICATION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Cheung, Chief Financial Officer of PennantPark Investment Corporation, certify that:</w:t>
      </w:r>
    </w:p>
    <w:p>
      <w:pPr>
        <w:spacing w:after="0" w:line="177" w:lineRule="exact"/>
        <w:rPr>
          <w:sz w:val="20"/>
          <w:szCs w:val="20"/>
          <w:color w:val="auto"/>
        </w:rPr>
      </w:pPr>
    </w:p>
    <w:p>
      <w:pPr>
        <w:ind w:left="620" w:hanging="143"/>
        <w:spacing w:after="0"/>
        <w:tabs>
          <w:tab w:leader="none" w:pos="6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Investment Corporation;</w:t>
      </w:r>
    </w:p>
    <w:p>
      <w:pPr>
        <w:spacing w:after="0" w:line="163" w:lineRule="exact"/>
        <w:rPr>
          <w:rFonts w:ascii="Times New Roman" w:cs="Times New Roman" w:eastAsia="Times New Roman" w:hAnsi="Times New Roman"/>
          <w:sz w:val="14"/>
          <w:szCs w:val="14"/>
          <w:color w:val="auto"/>
        </w:rPr>
      </w:pPr>
    </w:p>
    <w:p>
      <w:pPr>
        <w:ind w:right="580" w:firstLine="477"/>
        <w:spacing w:after="0" w:line="302" w:lineRule="auto"/>
        <w:tabs>
          <w:tab w:leader="none" w:pos="61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4"/>
          <w:szCs w:val="14"/>
          <w:color w:val="auto"/>
        </w:rPr>
      </w:pPr>
    </w:p>
    <w:p>
      <w:pPr>
        <w:ind w:right="460" w:firstLine="477"/>
        <w:spacing w:after="0" w:line="282" w:lineRule="auto"/>
        <w:tabs>
          <w:tab w:leader="none" w:pos="61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4"/>
          <w:szCs w:val="14"/>
          <w:color w:val="auto"/>
        </w:rPr>
      </w:pPr>
    </w:p>
    <w:p>
      <w:pPr>
        <w:ind w:right="600" w:firstLine="476"/>
        <w:spacing w:after="0" w:line="282" w:lineRule="auto"/>
        <w:tabs>
          <w:tab w:leader="none" w:pos="61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4"/>
          <w:szCs w:val="14"/>
          <w:color w:val="auto"/>
        </w:rPr>
      </w:pPr>
    </w:p>
    <w:p>
      <w:pPr>
        <w:jc w:val="both"/>
        <w:ind w:right="480" w:firstLine="757"/>
        <w:spacing w:after="0" w:line="269" w:lineRule="auto"/>
        <w:tabs>
          <w:tab w:leader="none" w:pos="919"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0" w:lineRule="exact"/>
        <w:rPr>
          <w:rFonts w:ascii="Times New Roman" w:cs="Times New Roman" w:eastAsia="Times New Roman" w:hAnsi="Times New Roman"/>
          <w:sz w:val="14"/>
          <w:szCs w:val="14"/>
          <w:color w:val="auto"/>
        </w:rPr>
      </w:pPr>
    </w:p>
    <w:p>
      <w:pPr>
        <w:ind w:right="740" w:firstLine="757"/>
        <w:spacing w:after="0" w:line="269" w:lineRule="auto"/>
        <w:tabs>
          <w:tab w:leader="none" w:pos="905"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0" w:lineRule="exact"/>
        <w:rPr>
          <w:rFonts w:ascii="Times New Roman" w:cs="Times New Roman" w:eastAsia="Times New Roman" w:hAnsi="Times New Roman"/>
          <w:sz w:val="14"/>
          <w:szCs w:val="14"/>
          <w:color w:val="auto"/>
        </w:rPr>
      </w:pPr>
    </w:p>
    <w:p>
      <w:pPr>
        <w:ind w:right="260" w:firstLine="757"/>
        <w:spacing w:after="0" w:line="282" w:lineRule="auto"/>
        <w:tabs>
          <w:tab w:leader="none" w:pos="897"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4"/>
          <w:szCs w:val="14"/>
          <w:color w:val="auto"/>
        </w:rPr>
      </w:pPr>
    </w:p>
    <w:p>
      <w:pPr>
        <w:ind w:right="380" w:firstLine="757"/>
        <w:spacing w:after="0" w:line="302" w:lineRule="auto"/>
        <w:tabs>
          <w:tab w:leader="none" w:pos="905"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4"/>
          <w:szCs w:val="14"/>
          <w:color w:val="auto"/>
        </w:rPr>
      </w:pPr>
    </w:p>
    <w:p>
      <w:pPr>
        <w:ind w:right="540" w:firstLine="477"/>
        <w:spacing w:after="0" w:line="282" w:lineRule="auto"/>
        <w:tabs>
          <w:tab w:leader="none" w:pos="61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4"/>
          <w:szCs w:val="14"/>
          <w:color w:val="auto"/>
        </w:rPr>
      </w:pPr>
    </w:p>
    <w:p>
      <w:pPr>
        <w:ind w:right="420" w:firstLine="757"/>
        <w:spacing w:after="0" w:line="282" w:lineRule="auto"/>
        <w:tabs>
          <w:tab w:leader="none" w:pos="897"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4"/>
          <w:szCs w:val="14"/>
          <w:color w:val="auto"/>
        </w:rPr>
      </w:pPr>
    </w:p>
    <w:p>
      <w:pPr>
        <w:ind w:right="620" w:firstLine="757"/>
        <w:spacing w:after="0" w:line="503" w:lineRule="auto"/>
        <w:tabs>
          <w:tab w:leader="none" w:pos="904"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Dated: May 4, 2022</w:t>
      </w:r>
    </w:p>
    <w:p>
      <w:pPr>
        <w:ind w:left="20"/>
        <w:spacing w:after="0"/>
        <w:rPr>
          <w:sz w:val="20"/>
          <w:szCs w:val="20"/>
          <w:color w:val="auto"/>
        </w:rPr>
      </w:pPr>
      <w:r>
        <w:rPr>
          <w:rFonts w:ascii="Times New Roman" w:cs="Times New Roman" w:eastAsia="Times New Roman" w:hAnsi="Times New Roman"/>
          <w:sz w:val="14"/>
          <w:szCs w:val="14"/>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460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Richard Cheung</w:t>
      </w:r>
    </w:p>
    <w:p>
      <w:pPr>
        <w:spacing w:after="0" w:line="2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34" w:lineRule="exact"/>
        <w:rPr>
          <w:sz w:val="20"/>
          <w:szCs w:val="20"/>
          <w:color w:val="auto"/>
        </w:rPr>
      </w:pPr>
    </w:p>
    <w:p>
      <w:pPr>
        <w:ind w:right="120" w:firstLine="488"/>
        <w:spacing w:after="0" w:line="302" w:lineRule="auto"/>
        <w:rPr>
          <w:sz w:val="20"/>
          <w:szCs w:val="20"/>
          <w:color w:val="auto"/>
        </w:rPr>
      </w:pPr>
      <w:r>
        <w:rPr>
          <w:rFonts w:ascii="Times New Roman" w:cs="Times New Roman" w:eastAsia="Times New Roman" w:hAnsi="Times New Roman"/>
          <w:sz w:val="14"/>
          <w:szCs w:val="14"/>
          <w:color w:val="auto"/>
        </w:rPr>
        <w:t>In connection with this Report on Form 10-Q for the three and six months ended March 31, 2022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67" w:lineRule="exact"/>
        <w:rPr>
          <w:sz w:val="20"/>
          <w:szCs w:val="20"/>
          <w:color w:val="auto"/>
        </w:rPr>
      </w:pPr>
    </w:p>
    <w:p>
      <w:pPr>
        <w:ind w:left="780" w:hanging="284"/>
        <w:spacing w:after="0"/>
        <w:tabs>
          <w:tab w:leader="none" w:pos="7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49" w:lineRule="exact"/>
        <w:rPr>
          <w:rFonts w:ascii="Times New Roman" w:cs="Times New Roman" w:eastAsia="Times New Roman" w:hAnsi="Times New Roman"/>
          <w:sz w:val="14"/>
          <w:szCs w:val="14"/>
          <w:color w:val="auto"/>
        </w:rPr>
      </w:pPr>
    </w:p>
    <w:p>
      <w:pPr>
        <w:ind w:left="780" w:hanging="284"/>
        <w:spacing w:after="0"/>
        <w:tabs>
          <w:tab w:leader="none" w:pos="7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980" w:type="dxa"/>
            <w:vAlign w:val="bottom"/>
            <w:tcBorders>
              <w:top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Arthur H. Penn</w:t>
            </w:r>
          </w:p>
        </w:tc>
        <w:tc>
          <w:tcPr>
            <w:tcW w:w="6760" w:type="dxa"/>
            <w:vAlign w:val="bottom"/>
          </w:tcPr>
          <w:p>
            <w:pPr>
              <w:spacing w:after="0"/>
              <w:rPr>
                <w:sz w:val="13"/>
                <w:szCs w:val="13"/>
                <w:color w:val="auto"/>
              </w:rPr>
            </w:pPr>
          </w:p>
        </w:tc>
      </w:tr>
      <w:tr>
        <w:trPr>
          <w:trHeight w:val="176"/>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c>
          <w:tcPr>
            <w:tcW w:w="6760" w:type="dxa"/>
            <w:vAlign w:val="bottom"/>
          </w:tcPr>
          <w:p>
            <w:pPr>
              <w:spacing w:after="0"/>
              <w:rPr>
                <w:sz w:val="15"/>
                <w:szCs w:val="15"/>
                <w:color w:val="auto"/>
              </w:rPr>
            </w:pPr>
          </w:p>
        </w:tc>
      </w:tr>
      <w:tr>
        <w:trPr>
          <w:trHeight w:val="188"/>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4, 2022</w:t>
            </w:r>
          </w:p>
        </w:tc>
        <w:tc>
          <w:tcPr>
            <w:tcW w:w="6760" w:type="dxa"/>
            <w:vAlign w:val="bottom"/>
          </w:tcPr>
          <w:p>
            <w:pPr>
              <w:spacing w:after="0"/>
              <w:rPr>
                <w:sz w:val="16"/>
                <w:szCs w:val="16"/>
                <w:color w:val="auto"/>
              </w:rPr>
            </w:pPr>
          </w:p>
        </w:tc>
      </w:tr>
      <w:tr>
        <w:trPr>
          <w:trHeight w:val="462"/>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34" w:lineRule="exact"/>
        <w:rPr>
          <w:sz w:val="20"/>
          <w:szCs w:val="20"/>
          <w:color w:val="auto"/>
        </w:rPr>
      </w:pPr>
    </w:p>
    <w:p>
      <w:pPr>
        <w:ind w:right="120" w:firstLine="488"/>
        <w:spacing w:after="0" w:line="302" w:lineRule="auto"/>
        <w:rPr>
          <w:sz w:val="20"/>
          <w:szCs w:val="20"/>
          <w:color w:val="auto"/>
        </w:rPr>
      </w:pPr>
      <w:r>
        <w:rPr>
          <w:rFonts w:ascii="Times New Roman" w:cs="Times New Roman" w:eastAsia="Times New Roman" w:hAnsi="Times New Roman"/>
          <w:sz w:val="14"/>
          <w:szCs w:val="14"/>
          <w:color w:val="auto"/>
        </w:rPr>
        <w:t>In connection with this Report on Form 10-Q for the three and six months ended March 31, 2022 (the “Report”) of PennantPark Investment Corporation (the “Registrant”), as filed with the Securities and Exchange Commission on the date hereof, I, Richard Cheung, Chief Financial Officer of the Registrant, hereby certify, to the best of my knowledge, that:</w:t>
      </w:r>
    </w:p>
    <w:p>
      <w:pPr>
        <w:spacing w:after="0" w:line="67" w:lineRule="exact"/>
        <w:rPr>
          <w:sz w:val="20"/>
          <w:szCs w:val="20"/>
          <w:color w:val="auto"/>
        </w:rPr>
      </w:pPr>
    </w:p>
    <w:p>
      <w:pPr>
        <w:ind w:left="780" w:hanging="284"/>
        <w:spacing w:after="0"/>
        <w:tabs>
          <w:tab w:leader="none" w:pos="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49" w:lineRule="exact"/>
        <w:rPr>
          <w:rFonts w:ascii="Times New Roman" w:cs="Times New Roman" w:eastAsia="Times New Roman" w:hAnsi="Times New Roman"/>
          <w:sz w:val="14"/>
          <w:szCs w:val="14"/>
          <w:color w:val="auto"/>
        </w:rPr>
      </w:pPr>
    </w:p>
    <w:p>
      <w:pPr>
        <w:ind w:left="780" w:hanging="284"/>
        <w:spacing w:after="0"/>
        <w:tabs>
          <w:tab w:leader="none" w:pos="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Richard Cheung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980" w:type="dxa"/>
            <w:vAlign w:val="bottom"/>
            <w:tcBorders>
              <w:top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Richard Cheung</w:t>
            </w:r>
          </w:p>
        </w:tc>
        <w:tc>
          <w:tcPr>
            <w:tcW w:w="6760" w:type="dxa"/>
            <w:vAlign w:val="bottom"/>
          </w:tcPr>
          <w:p>
            <w:pPr>
              <w:spacing w:after="0"/>
              <w:rPr>
                <w:sz w:val="13"/>
                <w:szCs w:val="13"/>
                <w:color w:val="auto"/>
              </w:rPr>
            </w:pPr>
          </w:p>
        </w:tc>
      </w:tr>
      <w:tr>
        <w:trPr>
          <w:trHeight w:val="176"/>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6760" w:type="dxa"/>
            <w:vAlign w:val="bottom"/>
          </w:tcPr>
          <w:p>
            <w:pPr>
              <w:spacing w:after="0"/>
              <w:rPr>
                <w:sz w:val="15"/>
                <w:szCs w:val="15"/>
                <w:color w:val="auto"/>
              </w:rPr>
            </w:pPr>
          </w:p>
        </w:tc>
      </w:tr>
      <w:tr>
        <w:trPr>
          <w:trHeight w:val="188"/>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4, 2022</w:t>
            </w:r>
          </w:p>
        </w:tc>
        <w:tc>
          <w:tcPr>
            <w:tcW w:w="6760" w:type="dxa"/>
            <w:vAlign w:val="bottom"/>
          </w:tcPr>
          <w:p>
            <w:pPr>
              <w:spacing w:after="0"/>
              <w:rPr>
                <w:sz w:val="16"/>
                <w:szCs w:val="16"/>
                <w:color w:val="auto"/>
              </w:rPr>
            </w:pPr>
          </w:p>
        </w:tc>
      </w:tr>
      <w:tr>
        <w:trPr>
          <w:trHeight w:val="476"/>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lowerLetter"/>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lowerLetter"/>
      <w:start w:val="2"/>
    </w:lvl>
  </w:abstractNum>
  <w:abstractNum w:abstractNumId="7">
    <w:nsid w:val="3804823E"/>
    <w:multiLevelType w:val="hybridMultilevel"/>
    <w:lvl w:ilvl="0">
      <w:lvlJc w:val="left"/>
      <w:lvlText w:val="(%1)"/>
      <w:numFmt w:val="lowerLetter"/>
      <w:start w:val="3"/>
    </w:lvl>
  </w:abstractNum>
  <w:abstractNum w:abstractNumId="8">
    <w:nsid w:val="77465F01"/>
    <w:multiLevelType w:val="hybridMultilevel"/>
    <w:lvl w:ilvl="0">
      <w:lvlJc w:val="left"/>
      <w:lvlText w:val="(%1)"/>
      <w:numFmt w:val="lowerLetter"/>
      <w:start w:val="4"/>
    </w:lvl>
  </w:abstractNum>
  <w:abstractNum w:abstractNumId="9">
    <w:nsid w:val="7724C67E"/>
    <w:multiLevelType w:val="hybridMultilevel"/>
    <w:lvl w:ilvl="0">
      <w:lvlJc w:val="left"/>
      <w:lvlText w:val="(%1)"/>
      <w:numFmt w:val="lowerLetter"/>
      <w:start w:val="5"/>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lowerLetter"/>
      <w:start w:val="6"/>
    </w:lvl>
  </w:abstractNum>
  <w:abstractNum w:abstractNumId="12">
    <w:nsid w:val="5E884ADC"/>
    <w:multiLevelType w:val="hybridMultilevel"/>
    <w:lvl w:ilvl="0">
      <w:lvlJc w:val="left"/>
      <w:lvlText w:val="(%1)"/>
      <w:numFmt w:val="lowerLetter"/>
      <w:start w:val="7"/>
    </w:lvl>
  </w:abstractNum>
  <w:abstractNum w:abstractNumId="13">
    <w:nsid w:val="51EAD36B"/>
    <w:multiLevelType w:val="hybridMultilevel"/>
    <w:lvl w:ilvl="0">
      <w:lvlJc w:val="left"/>
      <w:lvlText w:val="(%1)"/>
      <w:numFmt w:val="lowerLetter"/>
      <w:start w:val="8"/>
    </w:lvl>
  </w:abstractNum>
  <w:abstractNum w:abstractNumId="14">
    <w:nsid w:val="2D517796"/>
    <w:multiLevelType w:val="hybridMultilevel"/>
    <w:lvl w:ilvl="0">
      <w:lvlJc w:val="left"/>
      <w:lvlText w:val="(%1)"/>
      <w:numFmt w:val="lowerLetter"/>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upperLetter"/>
      <w:start w:val="1"/>
    </w:lvl>
  </w:abstractNum>
  <w:abstractNum w:abstractNumId="41">
    <w:nsid w:val="520EEDD1"/>
    <w:multiLevelType w:val="hybridMultilevel"/>
    <w:lvl w:ilvl="0">
      <w:lvlJc w:val="left"/>
      <w:lvlText w:val="(%1)"/>
      <w:numFmt w:val="upperLetter"/>
      <w:start w:val="7"/>
    </w:lvl>
  </w:abstractNum>
  <w:abstractNum w:abstractNumId="42">
    <w:nsid w:val="374A3FE6"/>
    <w:multiLevelType w:val="hybridMultilevel"/>
    <w:lvl w:ilvl="0">
      <w:lvlJc w:val="left"/>
      <w:lvlText w:val="(%1)"/>
      <w:numFmt w:val="lowerRoman"/>
      <w:start w:val="1"/>
    </w:lvl>
  </w:abstractNum>
  <w:abstractNum w:abstractNumId="43">
    <w:nsid w:val="4F4EF005"/>
    <w:multiLevelType w:val="hybridMultilevel"/>
    <w:lvl w:ilvl="0">
      <w:lvlJc w:val="left"/>
      <w:lvlText w:val="(%1)"/>
      <w:numFmt w:val="lowerRoman"/>
      <w:start w:val="2"/>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upperLetter"/>
      <w:start w:val="1"/>
    </w:lvl>
  </w:abstractNum>
  <w:abstractNum w:abstractNumId="46">
    <w:nsid w:val="275AC794"/>
    <w:multiLevelType w:val="hybridMultilevel"/>
    <w:lvl w:ilvl="0">
      <w:lvlJc w:val="left"/>
      <w:lvlText w:val="%1"/>
      <w:numFmt w:val="upperLetter"/>
      <w:start w:val="1"/>
    </w:lvl>
    <w:lvl w:ilvl="1">
      <w:lvlJc w:val="left"/>
      <w:lvlText w:val="(%2)"/>
      <w:numFmt w:val="decimal"/>
      <w:start w:val="1"/>
    </w:lvl>
  </w:abstractNum>
  <w:abstractNum w:abstractNumId="47">
    <w:nsid w:val="39386575"/>
    <w:multiLevelType w:val="hybridMultilevel"/>
    <w:lvl w:ilvl="0">
      <w:lvlJc w:val="left"/>
      <w:lvlText w:val="(%1)"/>
      <w:numFmt w:val="upperLetter"/>
      <w:start w:val="3"/>
    </w:lvl>
    <w:lvl w:ilvl="1">
      <w:lvlJc w:val="left"/>
      <w:lvlText w:val="%2"/>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upperLetter"/>
      <w:start w:val="1"/>
    </w:lvl>
    <w:lvl w:ilvl="1">
      <w:lvlJc w:val="left"/>
      <w:lvlText w:val="(%2)"/>
      <w:numFmt w:val="decimal"/>
      <w:start w:val="2"/>
    </w:lvl>
  </w:abstractNum>
  <w:abstractNum w:abstractNumId="50">
    <w:nsid w:val="235BA861"/>
    <w:multiLevelType w:val="hybridMultilevel"/>
    <w:lvl w:ilvl="0">
      <w:lvlJc w:val="left"/>
      <w:lvlText w:val="(%1)"/>
      <w:numFmt w:val="upperLetter"/>
      <w:start w:val="6"/>
    </w:lvl>
    <w:lvl w:ilvl="1">
      <w:lvlJc w:val="left"/>
      <w:lvlText w:val="%2"/>
      <w:numFmt w:val="decimal"/>
      <w:start w:val="1"/>
    </w:lvl>
  </w:abstractNum>
  <w:abstractNum w:abstractNumId="51">
    <w:nsid w:val="47398C89"/>
    <w:multiLevelType w:val="hybridMultilevel"/>
    <w:lvl w:ilvl="0">
      <w:lvlJc w:val="left"/>
      <w:lvlText w:val="(%1)"/>
      <w:numFmt w:val="upperLetter"/>
      <w:start w:val="9"/>
    </w:lvl>
  </w:abstractNum>
  <w:abstractNum w:abstractNumId="52">
    <w:nsid w:val="354FE9F9"/>
    <w:multiLevelType w:val="hybridMultilevel"/>
    <w:lvl w:ilvl="0">
      <w:lvlJc w:val="left"/>
      <w:lvlText w:val="(%1)"/>
      <w:numFmt w:val="upperLetter"/>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upperLetter"/>
      <w:start w:val="5"/>
    </w:lvl>
  </w:abstractNum>
  <w:abstractNum w:abstractNumId="55">
    <w:nsid w:val="D34B6A8"/>
    <w:multiLevelType w:val="hybridMultilevel"/>
    <w:lvl w:ilvl="0">
      <w:lvlJc w:val="left"/>
      <w:lvlText w:val="(%1)"/>
      <w:numFmt w:val="upperLetter"/>
      <w:start w:val="1"/>
    </w:lvl>
    <w:lvl w:ilvl="1">
      <w:lvlJc w:val="left"/>
      <w:lvlText w:val="(%2)"/>
      <w:numFmt w:val="decimal"/>
      <w:start w:val="1"/>
    </w:lvl>
  </w:abstractNum>
  <w:abstractNum w:abstractNumId="56">
    <w:nsid w:val="10233C99"/>
    <w:multiLevelType w:val="hybridMultilevel"/>
    <w:lvl w:ilvl="0">
      <w:lvlJc w:val="left"/>
      <w:lvlText w:val="%1"/>
      <w:numFmt w:val="upperLetter"/>
      <w:start w:val="1"/>
    </w:lvl>
    <w:lvl w:ilvl="1">
      <w:lvlJc w:val="left"/>
      <w:lvlText w:val="(%2)"/>
      <w:numFmt w:val="decimal"/>
      <w:start w:val="4"/>
    </w:lvl>
  </w:abstractNum>
  <w:abstractNum w:abstractNumId="57">
    <w:nsid w:val="3F6AB60F"/>
    <w:multiLevelType w:val="hybridMultilevel"/>
    <w:lvl w:ilvl="0">
      <w:lvlJc w:val="left"/>
      <w:lvlText w:val="(%1)"/>
      <w:numFmt w:val="upperLetter"/>
      <w:start w:val="3"/>
    </w:lvl>
    <w:lvl w:ilvl="1">
      <w:lvlJc w:val="left"/>
      <w:lvlText w:val="(%2)"/>
      <w:numFmt w:val="decimal"/>
      <w:start w:val="1"/>
    </w:lvl>
  </w:abstractNum>
  <w:abstractNum w:abstractNumId="58">
    <w:nsid w:val="61574095"/>
    <w:multiLevelType w:val="hybridMultilevel"/>
    <w:lvl w:ilvl="0">
      <w:lvlJc w:val="left"/>
      <w:lvlText w:val="(%1)"/>
      <w:numFmt w:val="upperLetter"/>
      <w:start w:val="4"/>
    </w:lvl>
  </w:abstractNum>
  <w:abstractNum w:abstractNumId="59">
    <w:nsid w:val="7E0C57B1"/>
    <w:multiLevelType w:val="hybridMultilevel"/>
    <w:lvl w:ilvl="0">
      <w:lvlJc w:val="left"/>
      <w:lvlText w:val="%1."/>
      <w:numFmt w:val="decimal"/>
      <w:start w:val="1"/>
    </w:lvl>
    <w:lvl w:ilvl="1">
      <w:lvlJc w:val="left"/>
      <w:lvlText w:val="%2)"/>
      <w:numFmt w:val="lowerLetter"/>
      <w:start w:val="1"/>
    </w:lvl>
  </w:abstractNum>
  <w:abstractNum w:abstractNumId="60">
    <w:nsid w:val="77AE35EB"/>
    <w:multiLevelType w:val="hybridMultilevel"/>
    <w:lvl w:ilvl="0">
      <w:lvlJc w:val="left"/>
      <w:lvlText w:val="%1"/>
      <w:numFmt w:val="decimal"/>
      <w:start w:val="1"/>
    </w:lvl>
    <w:lvl w:ilvl="1">
      <w:lvlJc w:val="left"/>
      <w:lvlText w:val="%2)"/>
      <w:numFmt w:val="lowerLetter"/>
      <w:start w:val="3"/>
    </w:lvl>
  </w:abstractNum>
  <w:abstractNum w:abstractNumId="61">
    <w:nsid w:val="579BE4F1"/>
    <w:multiLevelType w:val="hybridMultilevel"/>
    <w:lvl w:ilvl="0">
      <w:lvlJc w:val="left"/>
      <w:lvlText w:val="%1."/>
      <w:numFmt w:val="decimal"/>
      <w:start w:val="5"/>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5" Type="http://schemas.openxmlformats.org/officeDocument/2006/relationships/image" Target="media/image494.png"/><Relationship Id="rId506" Type="http://schemas.openxmlformats.org/officeDocument/2006/relationships/image" Target="media/image495.png"/><Relationship Id="rId507" Type="http://schemas.openxmlformats.org/officeDocument/2006/relationships/image" Target="media/image496.png"/><Relationship Id="rId508" Type="http://schemas.openxmlformats.org/officeDocument/2006/relationships/image" Target="media/image497.png"/><Relationship Id="rId509" Type="http://schemas.openxmlformats.org/officeDocument/2006/relationships/image" Target="media/image498.png"/><Relationship Id="rId510" Type="http://schemas.openxmlformats.org/officeDocument/2006/relationships/image" Target="media/image499.png"/><Relationship Id="rId511" Type="http://schemas.openxmlformats.org/officeDocument/2006/relationships/image" Target="media/image500.png"/><Relationship Id="rId512" Type="http://schemas.openxmlformats.org/officeDocument/2006/relationships/image" Target="media/image501.png"/><Relationship Id="rId513" Type="http://schemas.openxmlformats.org/officeDocument/2006/relationships/image" Target="media/image502.png"/><Relationship Id="rId514" Type="http://schemas.openxmlformats.org/officeDocument/2006/relationships/image" Target="media/image503.png"/><Relationship Id="rId515" Type="http://schemas.openxmlformats.org/officeDocument/2006/relationships/image" Target="media/image504.png"/><Relationship Id="rId516" Type="http://schemas.openxmlformats.org/officeDocument/2006/relationships/image" Target="media/image505.png"/><Relationship Id="rId517" Type="http://schemas.openxmlformats.org/officeDocument/2006/relationships/image" Target="media/image506.png"/><Relationship Id="rId518" Type="http://schemas.openxmlformats.org/officeDocument/2006/relationships/image" Target="media/image507.png"/><Relationship Id="rId519" Type="http://schemas.openxmlformats.org/officeDocument/2006/relationships/image" Target="media/image508.png"/><Relationship Id="rId520" Type="http://schemas.openxmlformats.org/officeDocument/2006/relationships/image" Target="media/image509.png"/><Relationship Id="rId521" Type="http://schemas.openxmlformats.org/officeDocument/2006/relationships/image" Target="media/image510.png"/><Relationship Id="rId522" Type="http://schemas.openxmlformats.org/officeDocument/2006/relationships/image" Target="media/image511.png"/><Relationship Id="rId523" Type="http://schemas.openxmlformats.org/officeDocument/2006/relationships/image" Target="media/image512.png"/><Relationship Id="rId524" Type="http://schemas.openxmlformats.org/officeDocument/2006/relationships/image" Target="media/image513.png"/><Relationship Id="rId525" Type="http://schemas.openxmlformats.org/officeDocument/2006/relationships/image" Target="media/image514.png"/><Relationship Id="rId526" Type="http://schemas.openxmlformats.org/officeDocument/2006/relationships/image" Target="media/image515.png"/><Relationship Id="rId527" Type="http://schemas.openxmlformats.org/officeDocument/2006/relationships/image" Target="media/image516.png"/><Relationship Id="rId528" Type="http://schemas.openxmlformats.org/officeDocument/2006/relationships/image" Target="media/image517.png"/><Relationship Id="rId529" Type="http://schemas.openxmlformats.org/officeDocument/2006/relationships/image" Target="media/image518.png"/><Relationship Id="rId501" Type="http://schemas.openxmlformats.org/officeDocument/2006/relationships/hyperlink" Target="https://www.sec.gov/Archives/edgar/data/1383414/000119312507075646/dex99a.htm" TargetMode="External"/><Relationship Id="rId502" Type="http://schemas.openxmlformats.org/officeDocument/2006/relationships/hyperlink" Target="https://www.sec.gov/Archives/edgar/data/1383414/000156459020024172/pnnt-ex32_163.htm" TargetMode="External"/><Relationship Id="rId503" Type="http://schemas.openxmlformats.org/officeDocument/2006/relationships/hyperlink" Target="https://www.sec.gov/Archives/edgar/data/1383414/000119312508072557/dex99d1.htm" TargetMode="External"/><Relationship Id="rId504" Type="http://schemas.openxmlformats.org/officeDocument/2006/relationships/hyperlink" Target="https://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2022-05-05T05:20:27Z</dcterms:created>
  <dcterms:modified xsi:type="dcterms:W3CDTF">2022-05-05T05:20:27Z</dcterms:modified>
</cp:coreProperties>
</file>