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April 19,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Registration of Certain Classes of Securities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12(b) or (g)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73" w:lineRule="exact"/>
        <w:rPr>
          <w:sz w:val="24"/>
          <w:szCs w:val="24"/>
          <w:color w:val="auto"/>
        </w:rPr>
      </w:pPr>
    </w:p>
    <w:tbl>
      <w:tblPr>
        <w:tblLayout w:type="fixed"/>
        <w:tblInd w:w="1740" w:type="dxa"/>
        <w:tblCellMar>
          <w:top w:w="0" w:type="dxa"/>
          <w:left w:w="0" w:type="dxa"/>
          <w:bottom w:w="0" w:type="dxa"/>
          <w:right w:w="0" w:type="dxa"/>
        </w:tblCellMar>
      </w:tblPr>
      <w:tr>
        <w:trPr>
          <w:trHeight w:val="216"/>
        </w:trPr>
        <w:tc>
          <w:tcPr>
            <w:tcW w:w="4100" w:type="dxa"/>
            <w:vAlign w:val="bottom"/>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820" w:type="dxa"/>
            <w:vAlign w:val="bottom"/>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rPr>
              <w:t>20-8250744</w:t>
            </w:r>
          </w:p>
        </w:tc>
      </w:tr>
      <w:tr>
        <w:trPr>
          <w:trHeight w:val="178"/>
        </w:trPr>
        <w:tc>
          <w:tcPr>
            <w:tcW w:w="4100" w:type="dxa"/>
            <w:vAlign w:val="bottom"/>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w w:val="96"/>
              </w:rPr>
              <w:t>(State of incorporation of organization)</w:t>
            </w:r>
          </w:p>
        </w:tc>
        <w:tc>
          <w:tcPr>
            <w:tcW w:w="3820" w:type="dxa"/>
            <w:vAlign w:val="bottom"/>
          </w:tcPr>
          <w:p>
            <w:pPr>
              <w:jc w:val="center"/>
              <w:ind w:left="1782"/>
              <w:spacing w:after="0"/>
              <w:rPr>
                <w:sz w:val="20"/>
                <w:szCs w:val="20"/>
                <w:color w:val="auto"/>
              </w:rPr>
            </w:pPr>
            <w:r>
              <w:rPr>
                <w:rFonts w:ascii="Times New Roman" w:cs="Times New Roman" w:eastAsia="Times New Roman" w:hAnsi="Times New Roman"/>
                <w:sz w:val="14"/>
                <w:szCs w:val="14"/>
                <w:b w:val="1"/>
                <w:bCs w:val="1"/>
                <w:color w:val="auto"/>
                <w:w w:val="96"/>
              </w:rPr>
              <w:t>(IRS Employer Identification No.)</w:t>
            </w:r>
          </w:p>
        </w:tc>
      </w:tr>
      <w:tr>
        <w:trPr>
          <w:trHeight w:val="389"/>
        </w:trPr>
        <w:tc>
          <w:tcPr>
            <w:tcW w:w="4100" w:type="dxa"/>
            <w:vAlign w:val="bottom"/>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6"/>
              </w:rPr>
              <w:t>445 Park Avenue, 10</w:t>
            </w:r>
            <w:r>
              <w:rPr>
                <w:rFonts w:ascii="Times New Roman" w:cs="Times New Roman" w:eastAsia="Times New Roman" w:hAnsi="Times New Roman"/>
                <w:sz w:val="22"/>
                <w:szCs w:val="22"/>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w:t>
            </w:r>
          </w:p>
        </w:tc>
        <w:tc>
          <w:tcPr>
            <w:tcW w:w="3820" w:type="dxa"/>
            <w:vAlign w:val="bottom"/>
          </w:tcPr>
          <w:p>
            <w:pPr>
              <w:spacing w:after="0"/>
              <w:rPr>
                <w:sz w:val="24"/>
                <w:szCs w:val="24"/>
                <w:color w:val="auto"/>
              </w:rPr>
            </w:pPr>
          </w:p>
        </w:tc>
      </w:tr>
      <w:tr>
        <w:trPr>
          <w:trHeight w:val="229"/>
        </w:trPr>
        <w:tc>
          <w:tcPr>
            <w:tcW w:w="4100" w:type="dxa"/>
            <w:vAlign w:val="bottom"/>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5"/>
              </w:rPr>
              <w:t>New York, NY</w:t>
            </w:r>
          </w:p>
        </w:tc>
        <w:tc>
          <w:tcPr>
            <w:tcW w:w="3820" w:type="dxa"/>
            <w:vAlign w:val="bottom"/>
          </w:tcPr>
          <w:p>
            <w:pPr>
              <w:jc w:val="right"/>
              <w:ind w:right="682"/>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178"/>
        </w:trPr>
        <w:tc>
          <w:tcPr>
            <w:tcW w:w="4100" w:type="dxa"/>
            <w:vAlign w:val="bottom"/>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3820" w:type="dxa"/>
            <w:vAlign w:val="bottom"/>
          </w:tcPr>
          <w:p>
            <w:pPr>
              <w:jc w:val="center"/>
              <w:ind w:left="1802"/>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bl>
    <w:p>
      <w:pPr>
        <w:spacing w:after="0" w:line="175" w:lineRule="exact"/>
        <w:rPr>
          <w:sz w:val="24"/>
          <w:szCs w:val="24"/>
          <w:color w:val="auto"/>
        </w:rPr>
      </w:pPr>
    </w:p>
    <w:p>
      <w:pPr>
        <w:sectPr>
          <w:pgSz w:w="11900" w:h="16838" w:orient="portrait"/>
          <w:cols w:equalWidth="0" w:num="1">
            <w:col w:w="11420"/>
          </w:cols>
          <w:pgMar w:left="240" w:top="231" w:right="239" w:bottom="1440" w:gutter="0" w:footer="0" w:header="0"/>
          <w:type w:val="continuous"/>
        </w:sectPr>
      </w:pPr>
    </w:p>
    <w:p>
      <w:pPr>
        <w:jc w:val="both"/>
        <w:ind w:left="460"/>
        <w:spacing w:after="0" w:line="22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jc w:val="both"/>
        <w:ind w:right="480"/>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ectPr>
          <w:pgSz w:w="11900" w:h="16838" w:orient="portrait"/>
          <w:cols w:equalWidth="0" w:num="2">
            <w:col w:w="5480" w:space="460"/>
            <w:col w:w="5480"/>
          </w:cols>
          <w:pgMar w:left="240" w:top="231" w:right="239" w:bottom="1440" w:gutter="0" w:footer="0" w:header="0"/>
          <w:type w:val="continuous"/>
        </w:sectPr>
      </w:pPr>
    </w:p>
    <w:p>
      <w:pPr>
        <w:ind w:left="5440" w:right="4980" w:hanging="5428"/>
        <w:spacing w:after="0" w:line="339" w:lineRule="auto"/>
        <w:tabs>
          <w:tab w:leader="none" w:pos="5420" w:val="left"/>
        </w:tabs>
        <w:rPr>
          <w:sz w:val="20"/>
          <w:szCs w:val="20"/>
          <w:color w:val="auto"/>
        </w:rPr>
      </w:pPr>
      <w:r>
        <w:rPr>
          <w:rFonts w:ascii="Times New Roman" w:cs="Times New Roman" w:eastAsia="Times New Roman" w:hAnsi="Times New Roman"/>
          <w:sz w:val="18"/>
          <w:szCs w:val="18"/>
          <w:color w:val="auto"/>
        </w:rPr>
        <w:t>Securities Act registration statement file number to which this Form relates:</w:t>
      </w:r>
      <w:r>
        <w:rPr>
          <w:sz w:val="20"/>
          <w:szCs w:val="20"/>
          <w:color w:val="auto"/>
        </w:rPr>
        <w:tab/>
      </w:r>
      <w:r>
        <w:rPr>
          <w:rFonts w:ascii="Times New Roman" w:cs="Times New Roman" w:eastAsia="Times New Roman" w:hAnsi="Times New Roman"/>
          <w:sz w:val="16"/>
          <w:szCs w:val="16"/>
          <w:color w:val="auto"/>
        </w:rPr>
        <w:t>333-140092 (If applicable)</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40" w:type="dxa"/>
            <w:vAlign w:val="bottom"/>
          </w:tcPr>
          <w:p>
            <w:pPr>
              <w:spacing w:after="0"/>
              <w:rPr>
                <w:sz w:val="13"/>
                <w:szCs w:val="13"/>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Exchange on which</w:t>
            </w:r>
          </w:p>
        </w:tc>
      </w:tr>
      <w:tr>
        <w:trPr>
          <w:trHeight w:val="185"/>
        </w:trPr>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 be registered</w:t>
            </w:r>
          </w:p>
        </w:tc>
        <w:tc>
          <w:tcPr>
            <w:tcW w:w="24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is to be registered</w:t>
            </w:r>
          </w:p>
        </w:tc>
      </w:tr>
      <w:tr>
        <w:trPr>
          <w:trHeight w:val="215"/>
        </w:trPr>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Common Stock, par value $.001 per share</w:t>
            </w: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NASDAQ Stock Market LLC</w:t>
            </w:r>
          </w:p>
        </w:tc>
      </w:tr>
    </w:tbl>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313055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r>
        <w:rPr>
          <w:sz w:val="20"/>
          <w:szCs w:val="20"/>
          <w:color w:val="auto"/>
        </w:rPr>
        <w:tab/>
      </w:r>
      <w:r>
        <w:rPr>
          <w:rFonts w:ascii="Times New Roman" w:cs="Times New Roman" w:eastAsia="Times New Roman" w:hAnsi="Times New Roman"/>
          <w:sz w:val="16"/>
          <w:szCs w:val="16"/>
          <w:b w:val="1"/>
          <w:bCs w:val="1"/>
          <w:color w:val="auto"/>
        </w:rPr>
        <w:t>Description of Registrant’s Securities to be Registered</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securities to be registered hereby are shares of common stock, par value $0.001, of PennantPark Investment Corporation (the “Company”). 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therefor. Shares of our common stock have no preemptive, exchange, conversion or redemption rights and are freely transferable, except where their transfer is restricted by federal and state securities laws or by contract. In the event of a liquidation, dissolution or winding up of the Company,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description of the common stock contained in the Company’s Registration Statement on Form N-2, as filed with the Securities and Exchange Commission, as amended from time to time (the “Registration Statement”), and any form of prospectus or prospectus supplement to the Registration Statement that includes such descriptions and that are subsequently filed are hereby incorporated by reference herein.</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92"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The following exhibits to this Registration Statement have been filed as exhibits to the Company’s Registration Statement and are hereby incorporated herein by reference:</w:t>
      </w:r>
    </w:p>
    <w:p>
      <w:pPr>
        <w:spacing w:after="0" w:line="160" w:lineRule="exact"/>
        <w:rPr>
          <w:sz w:val="20"/>
          <w:szCs w:val="20"/>
          <w:color w:val="auto"/>
        </w:rPr>
      </w:pPr>
    </w:p>
    <w:p>
      <w:pPr>
        <w:ind w:left="1100" w:right="660" w:hanging="634"/>
        <w:spacing w:after="0" w:line="257" w:lineRule="auto"/>
        <w:tabs>
          <w:tab w:leader="none" w:pos="10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Articles of Amendment and Restatement (Incorporated by reference to Exhibit No. (a) of the Company’s Registration Statement on Form N-2 (Registration No. 333-140092)).</w:t>
      </w:r>
    </w:p>
    <w:p>
      <w:pPr>
        <w:spacing w:after="0" w:line="1" w:lineRule="exact"/>
        <w:rPr>
          <w:sz w:val="20"/>
          <w:szCs w:val="20"/>
          <w:color w:val="auto"/>
        </w:rPr>
      </w:pPr>
    </w:p>
    <w:p>
      <w:pPr>
        <w:ind w:left="1100" w:right="1020" w:hanging="634"/>
        <w:spacing w:after="0" w:line="250" w:lineRule="auto"/>
        <w:tabs>
          <w:tab w:leader="none" w:pos="10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Amended and Restated Bylaws (Incorporated by reference to Exhibit No. (b) of the Company’s Registration Statement on Form N-2 (Registration No. 333-140092)).</w:t>
      </w:r>
    </w:p>
    <w:p>
      <w:pPr>
        <w:spacing w:after="0" w:line="1" w:lineRule="exact"/>
        <w:rPr>
          <w:sz w:val="20"/>
          <w:szCs w:val="20"/>
          <w:color w:val="auto"/>
        </w:rPr>
      </w:pPr>
    </w:p>
    <w:p>
      <w:pPr>
        <w:ind w:left="1100" w:right="700" w:hanging="634"/>
        <w:spacing w:after="0" w:line="261" w:lineRule="auto"/>
        <w:tabs>
          <w:tab w:leader="none" w:pos="10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Amended Form of Stock Certificate (Incorporated by reference to Exhibit No. (c) of the Company’s Registration Statement on Form N-2 (Registration No. 333-140092)).</w:t>
      </w:r>
    </w:p>
    <w:p>
      <w:pPr>
        <w:sectPr>
          <w:pgSz w:w="11900" w:h="16838" w:orient="portrait"/>
          <w:cols w:equalWidth="0" w:num="1">
            <w:col w:w="11420"/>
          </w:cols>
          <w:pgMar w:left="240" w:top="27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19, 2007</w:t>
            </w:r>
          </w:p>
        </w:tc>
        <w:tc>
          <w:tcPr>
            <w:tcW w:w="790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PENNANTPARK INVESTMENT CORPORATION</w:t>
            </w:r>
          </w:p>
        </w:tc>
      </w:tr>
      <w:tr>
        <w:trPr>
          <w:trHeight w:val="432"/>
        </w:trPr>
        <w:tc>
          <w:tcPr>
            <w:tcW w:w="3520" w:type="dxa"/>
            <w:vAlign w:val="bottom"/>
          </w:tcPr>
          <w:p>
            <w:pPr>
              <w:spacing w:after="0"/>
              <w:rPr>
                <w:sz w:val="24"/>
                <w:szCs w:val="24"/>
                <w:color w:val="auto"/>
              </w:rPr>
            </w:pPr>
          </w:p>
        </w:tc>
        <w:tc>
          <w:tcPr>
            <w:tcW w:w="28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197"/>
        </w:trPr>
        <w:tc>
          <w:tcPr>
            <w:tcW w:w="3520" w:type="dxa"/>
            <w:vAlign w:val="bottom"/>
          </w:tcPr>
          <w:p>
            <w:pPr>
              <w:spacing w:after="0"/>
              <w:rPr>
                <w:sz w:val="17"/>
                <w:szCs w:val="17"/>
                <w:color w:val="auto"/>
              </w:rPr>
            </w:pPr>
          </w:p>
        </w:tc>
        <w:tc>
          <w:tcPr>
            <w:tcW w:w="2840" w:type="dxa"/>
            <w:vAlign w:val="bottom"/>
          </w:tcPr>
          <w:p>
            <w:pPr>
              <w:ind w:left="2380"/>
              <w:spacing w:after="0" w:line="197" w:lineRule="exact"/>
              <w:rPr>
                <w:sz w:val="20"/>
                <w:szCs w:val="20"/>
                <w:color w:val="auto"/>
              </w:rPr>
            </w:pPr>
            <w:r>
              <w:rPr>
                <w:rFonts w:ascii="Times New Roman" w:cs="Times New Roman" w:eastAsia="Times New Roman" w:hAnsi="Times New Roman"/>
                <w:sz w:val="18"/>
                <w:szCs w:val="18"/>
                <w:color w:val="auto"/>
                <w:w w:val="91"/>
              </w:rPr>
              <w:t>Name:</w:t>
            </w:r>
          </w:p>
        </w:tc>
        <w:tc>
          <w:tcPr>
            <w:tcW w:w="5060" w:type="dxa"/>
            <w:vAlign w:val="bottom"/>
          </w:tcPr>
          <w:p>
            <w:pPr>
              <w:ind w:left="120"/>
              <w:spacing w:after="0" w:line="197" w:lineRule="exact"/>
              <w:rPr>
                <w:sz w:val="20"/>
                <w:szCs w:val="20"/>
                <w:color w:val="auto"/>
              </w:rPr>
            </w:pPr>
            <w:r>
              <w:rPr>
                <w:rFonts w:ascii="Times New Roman" w:cs="Times New Roman" w:eastAsia="Times New Roman" w:hAnsi="Times New Roman"/>
                <w:sz w:val="18"/>
                <w:szCs w:val="18"/>
                <w:color w:val="auto"/>
              </w:rPr>
              <w:t>Arthur H. Penn</w:t>
            </w:r>
          </w:p>
        </w:tc>
      </w:tr>
      <w:tr>
        <w:trPr>
          <w:trHeight w:val="228"/>
        </w:trPr>
        <w:tc>
          <w:tcPr>
            <w:tcW w:w="3520" w:type="dxa"/>
            <w:vAlign w:val="bottom"/>
          </w:tcPr>
          <w:p>
            <w:pPr>
              <w:spacing w:after="0"/>
              <w:rPr>
                <w:sz w:val="19"/>
                <w:szCs w:val="19"/>
                <w:color w:val="auto"/>
              </w:rPr>
            </w:pPr>
          </w:p>
        </w:tc>
        <w:tc>
          <w:tcPr>
            <w:tcW w:w="28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Chairman of the Board and Director</w:t>
            </w:r>
          </w:p>
        </w:tc>
      </w:tr>
      <w:tr>
        <w:trPr>
          <w:trHeight w:val="365"/>
        </w:trPr>
        <w:tc>
          <w:tcPr>
            <w:tcW w:w="3520" w:type="dxa"/>
            <w:vAlign w:val="bottom"/>
          </w:tcPr>
          <w:p>
            <w:pPr>
              <w:spacing w:after="0"/>
              <w:rPr>
                <w:sz w:val="24"/>
                <w:szCs w:val="24"/>
                <w:color w:val="auto"/>
              </w:rPr>
            </w:pPr>
          </w:p>
        </w:tc>
        <w:tc>
          <w:tcPr>
            <w:tcW w:w="28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- 3 -</w:t>
            </w:r>
          </w:p>
        </w:tc>
        <w:tc>
          <w:tcPr>
            <w:tcW w:w="50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2019-12-15T15:41:20Z</dcterms:created>
  <dcterms:modified xsi:type="dcterms:W3CDTF">2019-12-15T15:41:20Z</dcterms:modified>
</cp:coreProperties>
</file>