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05,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4260" w:type="dxa"/>
            <w:vAlign w:val="bottom"/>
          </w:tcPr>
          <w:p>
            <w:pPr>
              <w:jc w:val="center"/>
              <w:ind w:right="192"/>
              <w:spacing w:after="0"/>
              <w:rPr>
                <w:sz w:val="20"/>
                <w:szCs w:val="20"/>
                <w:color w:val="auto"/>
              </w:rPr>
            </w:pPr>
            <w:r>
              <w:rPr>
                <w:rFonts w:ascii="Arial" w:cs="Arial" w:eastAsia="Arial" w:hAnsi="Arial"/>
                <w:sz w:val="22"/>
                <w:szCs w:val="22"/>
                <w:b w:val="1"/>
                <w:bCs w:val="1"/>
                <w:color w:val="auto"/>
              </w:rPr>
              <w:t>MD</w:t>
            </w: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41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26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(State or other jurisdiction</w:t>
            </w:r>
          </w:p>
        </w:tc>
        <w:tc>
          <w:tcPr>
            <w:tcW w:w="2660" w:type="dxa"/>
            <w:vAlign w:val="bottom"/>
          </w:tcPr>
          <w:p>
            <w:pPr>
              <w:jc w:val="center"/>
              <w:ind w:right="37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260" w:type="dxa"/>
            <w:vAlign w:val="bottom"/>
          </w:tcPr>
          <w:p>
            <w:pPr>
              <w:jc w:val="center"/>
              <w:ind w:right="192"/>
              <w:spacing w:after="0"/>
              <w:rPr>
                <w:sz w:val="20"/>
                <w:szCs w:val="20"/>
                <w:color w:val="auto"/>
              </w:rPr>
            </w:pPr>
            <w:r>
              <w:rPr>
                <w:rFonts w:ascii="Arial" w:cs="Arial" w:eastAsia="Arial" w:hAnsi="Arial"/>
                <w:sz w:val="22"/>
                <w:szCs w:val="22"/>
                <w:color w:val="auto"/>
                <w:w w:val="93"/>
              </w:rPr>
              <w:t>of incorporation)</w:t>
            </w:r>
          </w:p>
        </w:tc>
        <w:tc>
          <w:tcPr>
            <w:tcW w:w="2660" w:type="dxa"/>
            <w:vAlign w:val="bottom"/>
          </w:tcPr>
          <w:p>
            <w:pPr>
              <w:jc w:val="center"/>
              <w:ind w:right="37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26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590 Madison Avenue, New York, New York</w:t>
            </w:r>
          </w:p>
        </w:tc>
        <w:tc>
          <w:tcPr>
            <w:tcW w:w="266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260" w:type="dxa"/>
            <w:vAlign w:val="bottom"/>
          </w:tcPr>
          <w:p>
            <w:pPr>
              <w:jc w:val="center"/>
              <w:ind w:right="212"/>
              <w:spacing w:after="0"/>
              <w:rPr>
                <w:sz w:val="20"/>
                <w:szCs w:val="20"/>
                <w:color w:val="auto"/>
              </w:rPr>
            </w:pPr>
            <w:r>
              <w:rPr>
                <w:rFonts w:ascii="Arial" w:cs="Arial" w:eastAsia="Arial" w:hAnsi="Arial"/>
                <w:sz w:val="22"/>
                <w:szCs w:val="22"/>
                <w:color w:val="auto"/>
                <w:w w:val="90"/>
              </w:rPr>
              <w:t>(Address of principal executive offices)</w:t>
            </w:r>
          </w:p>
        </w:tc>
        <w:tc>
          <w:tcPr>
            <w:tcW w:w="266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
        <w:spacing w:after="0" w:line="328" w:lineRule="auto"/>
        <w:rPr>
          <w:sz w:val="20"/>
          <w:szCs w:val="20"/>
          <w:color w:val="auto"/>
        </w:rPr>
      </w:pPr>
      <w:r>
        <w:rPr>
          <w:rFonts w:ascii="Arial" w:cs="Arial" w:eastAsia="Arial" w:hAnsi="Arial"/>
          <w:sz w:val="19"/>
          <w:szCs w:val="19"/>
          <w:color w:val="auto"/>
        </w:rPr>
        <w:t>On August 5, 2009, PennantPark Investment Corporation issued a press release announcing its financial results for quarter ended June 30, 2009. A copy of the press release is furnished as exhibit 99.1 to this report pursuant to Item 2.02 and Regulation FD.</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05,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57"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05, 2009</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05,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396"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2009</w:t>
      </w:r>
    </w:p>
    <w:p>
      <w:pPr>
        <w:spacing w:after="0" w:line="213"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NEW YORK, NY -- (Marketwire - August 05, 2009) - PennantPark Investment Corporation (the "Company," "we," "our," or "us") (NASDAQ: PNNT) today announces financial results for its third fiscal quarter ended June 30, 2009.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June 30, 2009</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20"/>
                <w:szCs w:val="20"/>
                <w:color w:val="auto"/>
              </w:rPr>
            </w:pPr>
            <w:r>
              <w:rPr>
                <w:rFonts w:ascii="Courier New" w:cs="Courier New" w:eastAsia="Courier New" w:hAnsi="Courier New"/>
                <w:sz w:val="18"/>
                <w:szCs w:val="18"/>
                <w:color w:val="auto"/>
              </w:rPr>
              <w:t>Investment portfolio</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393.1</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Credit Facility (Cost $187.3)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134.1</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Investment portfolio composition and yield:</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6740" w:type="dxa"/>
            <w:vAlign w:val="bottom"/>
          </w:tcPr>
          <w:p>
            <w:pPr>
              <w:ind w:left="220"/>
              <w:spacing w:after="0"/>
              <w:rPr>
                <w:sz w:val="20"/>
                <w:szCs w:val="20"/>
                <w:color w:val="auto"/>
              </w:rPr>
            </w:pPr>
            <w:r>
              <w:rPr>
                <w:rFonts w:ascii="Courier New" w:cs="Courier New" w:eastAsia="Courier New" w:hAnsi="Courier New"/>
                <w:sz w:val="18"/>
                <w:szCs w:val="18"/>
                <w:color w:val="auto"/>
              </w:rPr>
              <w:t>Senior secured debt, subordinated debt, second lien secured</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 and equity (core)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346.3</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Senior secured debt (non-core)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yield on core investments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yield on non-core investments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405"/>
        </w:trPr>
        <w:tc>
          <w:tcPr>
            <w:tcW w:w="674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48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AUGUST 6, 2009</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6, 2009 to discuss the quarterly results. All interested parties are welcome to participate. You can access the conference call by dialing (877) 591-4949 approximately 5-10 minutes prior to the call. International callers should dial (719) 325-4868. All callers should reference PennantPark Investment Corporation. An archived replay of the call will be available through August 24, 2009 by calling (888) 203-1112. International callers please dial (719) 457-0820. For all replays, please reference conference ID #3432040.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This compares to our portfolio as of September 30, 2008, which totaled $372.1 million and consisted of $78.8 million of senior secured loans, $104.2 million of second lien secured debt, $166.2 million of subordinated debt, $9.3 million of preferred equity and $13.6 million of common equity investments.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core assets totaled $346.3 million and consisted of investments in twenty-five different companies with an average investment size of $13.9 million per company and a weighted average yield of 11.6% on debt investments as of June 30, 2009. This compares to our core assets as of September 30, 2008, which totaled $305.5 million and consisted of investments in nineteen different companies with an average investment size of $16.1 million per company and a weighted average yield of 12.5% on debt investments.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As of June 30, 2009, our non-core senior secured loan portfolio totaled $46.8 million and consisted of thirteen different companies (including one company also in our core portfolio) with an average investment size of $3.6 million and a weighted average yield of 3.3% on debt investments. This compares to our non-core assets as of September 30, 2008, which totaled $66.6 million and consisted of nineteen different companies (including one company also in our core portfolio) with an average investment size of $3.5 million and a weighted average yield of 5.2% on debt investments.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Our overall portfolio consisted of thirty-seven companies with an average investment size of $10.6 million and a weighted average yield on debt investments of 10.4%. The portfolio was invested 25% in senior secured loans, 28% in second lien secured debt, 40% in subordinated debt, 3% in preferred equity and 4% in common equity investments as of June 30, 2009. This compares to our overall portfolio as of September 30, 2008, which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w:t>
      </w:r>
    </w:p>
    <w:p>
      <w:pPr>
        <w:sectPr>
          <w:pgSz w:w="11900" w:h="16838" w:orient="portrait"/>
          <w:cols w:equalWidth="0" w:num="1">
            <w:col w:w="11240"/>
          </w:cols>
          <w:pgMar w:left="320" w:top="111" w:right="339" w:bottom="0" w:gutter="0" w:footer="0" w:header="0"/>
        </w:sectPr>
      </w:pPr>
    </w:p>
    <w:bookmarkStart w:id="3" w:name="page4"/>
    <w:bookmarkEnd w:id="3"/>
    <w:p>
      <w:pPr>
        <w:ind w:right="680"/>
        <w:spacing w:after="0" w:line="251" w:lineRule="auto"/>
        <w:rPr>
          <w:sz w:val="20"/>
          <w:szCs w:val="20"/>
          <w:color w:val="auto"/>
        </w:rPr>
      </w:pPr>
      <w:r>
        <w:rPr>
          <w:rFonts w:ascii="Arial" w:cs="Arial" w:eastAsia="Arial" w:hAnsi="Arial"/>
          <w:sz w:val="22"/>
          <w:szCs w:val="22"/>
          <w:color w:val="auto"/>
        </w:rPr>
        <w:t>For the three months ending June 30, 2009 and 2008, our portfolio had unrealized appreciation of $27.4 million and $11.7 million, respectively.</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For the three months ended June 30, 2009, we invested $32.6 million, in five new and two existing portfolio companies, with an average yield of 14.0% on debt investments. Sales and repayments of long-term investments totaled $7.3 million for the same period. This compares to the three months ended June 30, 2008, in which we invested $46.8 million in two new and three existing portfolio companies with an average yield of 14.5% on debt investments. Sales and repayments of long-term investments for the three months ended June 30, 2008 totaled $9.2 million.</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"We had an active quarter and our activity level has continued since quarter end. We invested approximately $33 million during the quarter in primarily senior secured debt with expected internal rates of return in the mid-teens," said Arthur Penn, Chairman and Chief Executive Officer. "We also selectively pruned the portfolio and exited several investments that were higher risk. As a result of these efforts, we have a safer portfolio with substantially better credit statistics. Additionally, we are seeing an increasing number of attractive opportunities, which can help us grow income."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2009 and 2008.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Investment income, for the three months ended June 30, 2009 and 2008, was $10.8 million and $9.7 million, respectively. Investment income, for the three months ended June 30, 2009, was primarily attributed to $4.3 million from senior secured loan investments, $3.3 million from second lien secured debt investments, and $2.4 million from subordinated debt investments. Investment income, for the three months ended June 30, 2008, was primarily attributed to $3.7 million from to senior secured loan investments, $3.7 million from second lien secured debt investments, and $1.7 million from subordinated debt investments. The remaining investment income, of $0.8 million and $0.6 million, for the same periods respectively, was primarily attributed to interest income from short-term investments and to net accretion of discount and amortization of premium.</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Investment income, for the nine months ended June 30, 2009 and 2008, was $33.3 million and $28.4 million, respectively. Investment income, for the nine months ended June 30, 2009, was primarily attributed to $13.6 million from senior secured loan investments, $10.6 million from second lien secured debt investments, and $7.4 million from subordinated debt investments. Investment income, for the nine months ended June 30, 2008, was primarily attributed to $11.6 million from senior secured loan investments, $10.5 million from second lien secured debt investments, and $5.1 million from subordinated debt investments. The remaining investment income, of $1.7 million and $1.2 million, for the same periods respectively, was primarily attributed to interest income from short-term investments and to net accretion of discount and amortization of premium.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Expenses, for the three months ended June 30, 2009 and 2008, totaled $5.1 million and $5.7 million, respectively. Of these totals, $1.9 million and $1.8 million were attributable to base management fees, $1.4 million and $1.0 million were attributable to performance-based incentive fees, $0.8 million and $1.7 million were attributable to credit facility related expenses, and $1.0 million and $1.2 million were attributable to general and administrative expenses, respectively.</w:t>
      </w:r>
    </w:p>
    <w:p>
      <w:pPr>
        <w:spacing w:after="0" w:line="174"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Expenses, for the nine months ended June 30, 2009 and 2008, totaled $16.6 million and $15.2 million, respectively. Of these totals, $5.5 million and $4.8 million were attributable to net base management fees, $4.2 million and $2.4 million were attributable to performance-based incentive fees, $3.8 million and $4.4 million were attributable to credit facility related expenses, and $3.1 million and $3.6 million were attributable to general and administrative expenses,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Net investment income totaled $5.7 million and $16.7 million, or $0.27 and $0.79 per share, for the three and nine months ended June 30, 2009, respectively.</w:t>
      </w:r>
    </w:p>
    <w:p>
      <w:pPr>
        <w:spacing w:after="0" w:line="175"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Net investment income totaled $3.9 million and $13.1 million, or $0.19 and $0.62 per share, respectively, for the three and nine months ended June 30, 2008,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jc w:val="both"/>
        <w:ind w:right="460"/>
        <w:spacing w:after="0"/>
        <w:rPr>
          <w:sz w:val="20"/>
          <w:szCs w:val="20"/>
          <w:color w:val="auto"/>
        </w:rPr>
      </w:pPr>
      <w:r>
        <w:rPr>
          <w:rFonts w:ascii="Arial" w:cs="Arial" w:eastAsia="Arial" w:hAnsi="Arial"/>
          <w:sz w:val="22"/>
          <w:szCs w:val="22"/>
          <w:color w:val="auto"/>
        </w:rPr>
        <w:t>Sales and repayments of long-term investments, for the three and nine months ended June 30, 2009, totaled $7.3 million and $12.9 million, respectively, and realized losses totaled $24.7 million and $30.8 million, respectively, due to the sale of senior secured loans and subordinated debt.</w:t>
      </w:r>
    </w:p>
    <w:p>
      <w:pPr>
        <w:spacing w:after="0" w:line="18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Sales and repayments of long-term investments, for the three and nine months ended June 30, 2008, totaled $9.2 million and $14.4 million, respectively, and realized losses totaled approximately $0.4 million and $0.6 million, respectively, due to the sale of senior secured loans.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Appreciation / Depreciation on Investments, cash equivalents and credit facility</w:t>
      </w:r>
    </w:p>
    <w:p>
      <w:pPr>
        <w:sectPr>
          <w:pgSz w:w="11900" w:h="16838" w:orient="portrait"/>
          <w:cols w:equalWidth="0" w:num="1">
            <w:col w:w="11240"/>
          </w:cols>
          <w:pgMar w:left="320" w:top="118" w:right="339" w:bottom="80" w:gutter="0" w:footer="0" w:header="0"/>
        </w:sectPr>
      </w:pPr>
    </w:p>
    <w:bookmarkStart w:id="4" w:name="page5"/>
    <w:bookmarkEnd w:id="4"/>
    <w:p>
      <w:pPr>
        <w:ind w:right="20"/>
        <w:spacing w:after="0" w:line="282" w:lineRule="auto"/>
        <w:rPr>
          <w:sz w:val="20"/>
          <w:szCs w:val="20"/>
          <w:color w:val="auto"/>
        </w:rPr>
      </w:pPr>
      <w:r>
        <w:rPr>
          <w:rFonts w:ascii="Arial" w:cs="Arial" w:eastAsia="Arial" w:hAnsi="Arial"/>
          <w:sz w:val="19"/>
          <w:szCs w:val="19"/>
          <w:color w:val="auto"/>
        </w:rPr>
        <w:t>For the three and nine months ended June 30, 2009, the Company's investments had a net change in unrealized appreciation of $27.4 million and $12.3 million, respectively. For the three and nine months ended June 30, 2009, the Company's credit facility had a net change in unrealized appreciation of $9.2 million and a net change in unrealized depreciation of $11.4 million, respectively. For the three and nine months ended June 30, 2008, the Company's investments had a net unrealized appreciation of $11.7 million and a net unrealized depreciation of $42.2 million, respectively.</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June 30, 2009 and September 30, 2008, net unrealized depreciation on investments and cash equivalents totaled $59.7 million and $72.0 million, respectively, primarily due to a weak economy and credit markets. On June 30, 2009, unrealized depreciation on the credit facility was $53.2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Increase / Decrease in Net Assets from Operations</w:t>
      </w:r>
    </w:p>
    <w:p>
      <w:pPr>
        <w:spacing w:after="0" w:line="206"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For the three and nine months ended June 30, 2009, there was a net decrease in net assets resulting from operations of $0.8 million and a net increase of $9.6 million, or $0.04 per share and $0.45 per share, respectively, primarily due to an increase in investment valuations offset by an increase in the liability valuation of our credit facility.</w:t>
      </w:r>
    </w:p>
    <w:p>
      <w:pPr>
        <w:spacing w:after="0" w:line="134" w:lineRule="exact"/>
        <w:rPr>
          <w:sz w:val="20"/>
          <w:szCs w:val="20"/>
          <w:color w:val="auto"/>
        </w:rPr>
      </w:pPr>
    </w:p>
    <w:p>
      <w:pPr>
        <w:jc w:val="both"/>
        <w:ind w:right="460"/>
        <w:spacing w:after="0"/>
        <w:rPr>
          <w:sz w:val="20"/>
          <w:szCs w:val="20"/>
          <w:color w:val="auto"/>
        </w:rPr>
      </w:pPr>
      <w:r>
        <w:rPr>
          <w:rFonts w:ascii="Arial" w:cs="Arial" w:eastAsia="Arial" w:hAnsi="Arial"/>
          <w:sz w:val="22"/>
          <w:szCs w:val="22"/>
          <w:color w:val="auto"/>
        </w:rPr>
        <w:t>For the three and nine months ended June 30, 2008, there was a net increase in net assets resulting from operations of $15.2 million and a net decrease of $29.7 million, or $0.72 per share and $1.41 per share, respectively, primarily due to changes in investment valuations.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Our liquidity and capital resources are generated primarily through our senior secured, multi-currency, $300 million, five-year revolving credit facility maturing in June 2012 as well as from cash flows from operations, investment sales and prepayments, and income earned from investments and cash equivalents. On June 30, 2009, we had $187.3 million in borrowings outstanding with a fair market value under GAAP of $134.1 million, and had cash equivalents of $0.5 million.</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For the three and nine months ended June 30, 2009, our operating activities resulted in net cash outflows of $23.9 million and $9.8 million, respectively, and our financing activities resulted in a net cash outflow of $5.5 million and $29.9 million, respectively, primarily from net repayments under our credit facility and dividends to our stockholders.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During the nine months ended June 30, 2008, we generated operating cash flows primarily from interest earned on debt investments, and our primary use of funds during the same period consisted of investments in portfolio companies and payments of fees and other operating expenses. For the three and nine months ended June 30, 2008, our operating activities resulted in a net cash outflow of $45.2 million and $397.1 million, respectively, and our financing activities resulted in a net cash inflow of $5.0 million and $180.2 million for the same periods, primarily from net borrowings under our credit facility and dividends to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Distributions declared to stockholders, for the three and nine months ended June 30, 2009, totaled $5.1 million and $15.2 million or $0.24 and $0.72 per share, respectively. Distributions declared to stockholders, for the three and nine months ended June 30, 2008, totaled $4.6 million and $13.9 million or $0.22 and $0.66 per share,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Tax characteristics of all dividends will be reported to stockholders on form 1099-DIV after the end of the calendar year.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40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June 30, 2009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(cost--$435,642,024 and</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$427,481,745, respectively)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$ 377,382,905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$ 354,261,950</w:t>
            </w:r>
          </w:p>
        </w:tc>
      </w:tr>
      <w:tr>
        <w:trPr>
          <w:trHeight w:val="202"/>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 at</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(cost--$17,200,193 and</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$16,692,261, respectively)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15,755,326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17,885,870</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investments at fair value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393,138,231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372,147,820</w:t>
            </w:r>
          </w:p>
        </w:tc>
      </w:tr>
      <w:tr>
        <w:trPr>
          <w:trHeight w:val="202"/>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541,136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40,249,201</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1,381,011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4,770,692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6,046,199</w:t>
            </w:r>
          </w:p>
        </w:tc>
      </w:tr>
      <w:tr>
        <w:trPr>
          <w:trHeight w:val="202"/>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1,271,943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1,367,479</w:t>
            </w:r>
          </w:p>
        </w:tc>
      </w:tr>
      <w:tr>
        <w:trPr>
          <w:trHeight w:val="202"/>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401,103,013</w:t>
            </w:r>
          </w:p>
        </w:tc>
        <w:tc>
          <w:tcPr>
            <w:tcW w:w="14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419,810,699</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5,056,505</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5,056,505</w:t>
            </w: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4,183,666</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6,331,385</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Credit facility payable (fair value:</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9"/>
              </w:rPr>
              <w:t>$134,057,558 and $160,204,000, respectively)</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(cost: $187,300,000 and $202,000,000,</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134,057,558</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202,000,000</w:t>
            </w: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Interest payable on credit facility</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72,308</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725,317</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Management fee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1,928,082</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85,896</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1,415,872</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123,033</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Accrued other expenses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1,080,397</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1,091,688</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154,125,773</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209,082,439</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$0.001 per share,</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100,000,000 shares authorized and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21,068,772 shares issued and outstanding</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21,069</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294,586,604</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294,586,604</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Undistributed (distributions in excess of)</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net investment income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928,718</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(602,660)</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adoption of fair value</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option on credit facility</w:t>
            </w: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41,796,000</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Accumulated net realized loss on investments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(42,097,607)</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(11,250,567)</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(59,703,986)</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(72,026,186)</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11,446,442</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$ 246,977,240</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$ 210,728,260</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$ 401,103,013</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$ 419,810,699</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6440" w:type="dxa"/>
            <w:vAlign w:val="bottom"/>
            <w:gridSpan w:val="4"/>
          </w:tcPr>
          <w:p>
            <w:pPr>
              <w:ind w:left="2120"/>
              <w:spacing w:after="0"/>
              <w:rPr>
                <w:sz w:val="20"/>
                <w:szCs w:val="20"/>
                <w:color w:val="auto"/>
              </w:rPr>
            </w:pPr>
            <w:r>
              <w:rPr>
                <w:rFonts w:ascii="Courier New" w:cs="Courier New" w:eastAsia="Courier New" w:hAnsi="Courier New"/>
                <w:sz w:val="18"/>
                <w:szCs w:val="18"/>
                <w:color w:val="auto"/>
              </w:rPr>
              <w:t>PENNANTPARK INVESTMENT CORPORATION</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3900" w:type="dxa"/>
            <w:vAlign w:val="bottom"/>
            <w:gridSpan w:val="3"/>
          </w:tcPr>
          <w:p>
            <w:pPr>
              <w:jc w:val="right"/>
              <w:ind w:right="1192"/>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5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2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8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8"/>
              </w:rPr>
              <w:t>Nine months ended</w:t>
            </w:r>
          </w:p>
        </w:tc>
      </w:tr>
      <w:tr>
        <w:trPr>
          <w:trHeight w:val="202"/>
        </w:trPr>
        <w:tc>
          <w:tcPr>
            <w:tcW w:w="2540" w:type="dxa"/>
            <w:vAlign w:val="bottom"/>
          </w:tcPr>
          <w:p>
            <w:pPr>
              <w:spacing w:after="0"/>
              <w:rPr>
                <w:sz w:val="17"/>
                <w:szCs w:val="17"/>
                <w:color w:val="auto"/>
              </w:rPr>
            </w:pPr>
          </w:p>
        </w:tc>
        <w:tc>
          <w:tcPr>
            <w:tcW w:w="25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June 30,</w:t>
            </w:r>
          </w:p>
        </w:tc>
        <w:tc>
          <w:tcPr>
            <w:tcW w:w="284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540" w:type="dxa"/>
            <w:vAlign w:val="bottom"/>
          </w:tcPr>
          <w:p>
            <w:pPr>
              <w:spacing w:after="0"/>
              <w:rPr>
                <w:sz w:val="17"/>
                <w:szCs w:val="17"/>
                <w:color w:val="auto"/>
              </w:rPr>
            </w:pP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2009</w:t>
            </w:r>
          </w:p>
        </w:tc>
        <w:tc>
          <w:tcPr>
            <w:tcW w:w="1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2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$10,347,405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$ 9,212,625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$31,930,815</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$27,148,848</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123,955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111,924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351,449</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167,806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298,349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337,832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988,668</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1,063,257</w:t>
            </w:r>
          </w:p>
        </w:tc>
      </w:tr>
      <w:tr>
        <w:trPr>
          <w:trHeight w:val="203"/>
        </w:trPr>
        <w:tc>
          <w:tcPr>
            <w:tcW w:w="2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10,769,709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9,662,381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33,270,932</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28,379,911</w:t>
            </w:r>
          </w:p>
        </w:tc>
      </w:tr>
      <w:tr>
        <w:trPr>
          <w:trHeight w:val="203"/>
        </w:trPr>
        <w:tc>
          <w:tcPr>
            <w:tcW w:w="2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1,928,082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1,829,909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5,495,505</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5,195,750</w:t>
            </w:r>
          </w:p>
        </w:tc>
      </w:tr>
      <w:tr>
        <w:trPr>
          <w:trHeight w:val="202"/>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1,412,925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985,287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4,175,224</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2,433,394</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791,587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1,656,140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3,817,133</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4,422,543</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582,177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591,726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1,558,672</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1,804,047</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388,507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658,178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1,523,505</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1,823,014</w:t>
            </w:r>
          </w:p>
        </w:tc>
      </w:tr>
      <w:tr>
        <w:trPr>
          <w:trHeight w:val="203"/>
        </w:trPr>
        <w:tc>
          <w:tcPr>
            <w:tcW w:w="2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before base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fee waiver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5,103,278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5,721,240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16,570,039</w:t>
            </w:r>
          </w:p>
        </w:tc>
        <w:tc>
          <w:tcPr>
            <w:tcW w:w="1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15,678,748</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waiver</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expenses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5,103,278</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5,721,240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16,570,039</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15,258,017</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5,666,431</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3,941,141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16,700,893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13,121,894</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Realized and unrealized</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2"/>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(loss) 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equivalents and credit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realized loss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investments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(24,701,776)</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(401,624)</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(30,847,040)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(620,998)</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27,736,328</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10,700,808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14,960,676</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(41,097,670)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(318,107)</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964,139</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(2,638,476)</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(1,064,091)</w:t>
            </w: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(9,202,647)</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11,446,442</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18,215,574</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11,664,947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23,768,642</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(42,161,761)</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unrealized gain (loss)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from investments, cash</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(6,486,202)</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11,263,323</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(7,078,398)</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(42,782,759)</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(decrease) increase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net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(819,771)</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$15,204,464</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$ 9,622,495</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$(29,660,865)</w:t>
            </w:r>
          </w:p>
        </w:tc>
      </w:tr>
      <w:tr>
        <w:trPr>
          <w:trHeight w:val="203"/>
        </w:trPr>
        <w:tc>
          <w:tcPr>
            <w:tcW w:w="2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(decrease) increase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net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0.62</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w:t>
      </w:r>
    </w:p>
    <w:p>
      <w:pPr>
        <w:sectPr>
          <w:pgSz w:w="11900" w:h="16838" w:orient="portrait"/>
          <w:cols w:equalWidth="0" w:num="1">
            <w:col w:w="11220"/>
          </w:cols>
          <w:pgMar w:left="320" w:top="136" w:right="359" w:bottom="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such statements speak only as of the date on which they are made. We do not undertake to update our forward-looking statements unless required by law.</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tabs>
          <w:tab w:leader="none" w:pos="2620" w:val="left"/>
        </w:tabs>
        <w:rPr>
          <w:sz w:val="20"/>
          <w:szCs w:val="20"/>
          <w:color w:val="auto"/>
        </w:rPr>
      </w:pPr>
      <w:r>
        <w:rPr>
          <w:rFonts w:ascii="Courier New" w:cs="Courier New" w:eastAsia="Courier New" w:hAnsi="Courier New"/>
          <w:sz w:val="18"/>
          <w:szCs w:val="18"/>
          <w:color w:val="auto"/>
        </w:rPr>
        <w:t>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2020-05-05T15:07:01Z</dcterms:created>
  <dcterms:modified xsi:type="dcterms:W3CDTF">2020-05-05T15:07:01Z</dcterms:modified>
</cp:coreProperties>
</file>