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6" w:lineRule="exact"/>
        <w:rPr>
          <w:sz w:val="24"/>
          <w:szCs w:val="24"/>
          <w:color w:val="auto"/>
        </w:rPr>
      </w:pPr>
    </w:p>
    <w:p>
      <w:pPr>
        <w:ind w:left="4820"/>
        <w:spacing w:after="0"/>
        <w:rPr>
          <w:sz w:val="20"/>
          <w:szCs w:val="20"/>
          <w:color w:val="auto"/>
        </w:rPr>
      </w:pPr>
      <w:r>
        <w:rPr>
          <w:rFonts w:ascii="Arial" w:cs="Arial" w:eastAsia="Arial" w:hAnsi="Arial"/>
          <w:sz w:val="13"/>
          <w:szCs w:val="13"/>
          <w:color w:val="auto"/>
        </w:rPr>
        <w:t>________________________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4820"/>
        <w:spacing w:after="0"/>
        <w:rPr>
          <w:sz w:val="20"/>
          <w:szCs w:val="20"/>
          <w:color w:val="auto"/>
        </w:rPr>
      </w:pPr>
      <w:r>
        <w:rPr>
          <w:rFonts w:ascii="Arial" w:cs="Arial" w:eastAsia="Arial" w:hAnsi="Arial"/>
          <w:sz w:val="13"/>
          <w:szCs w:val="13"/>
          <w:b w:val="1"/>
          <w:bCs w:val="1"/>
          <w:color w:val="auto"/>
        </w:rPr>
        <w:t>________________________</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July 26, 2007</w:t>
      </w:r>
    </w:p>
    <w:p>
      <w:pPr>
        <w:spacing w:after="0" w:line="227" w:lineRule="exact"/>
        <w:rPr>
          <w:sz w:val="24"/>
          <w:szCs w:val="24"/>
          <w:color w:val="auto"/>
        </w:rPr>
      </w:pPr>
    </w:p>
    <w:p>
      <w:pPr>
        <w:ind w:left="4820"/>
        <w:spacing w:after="0"/>
        <w:rPr>
          <w:sz w:val="20"/>
          <w:szCs w:val="20"/>
          <w:color w:val="auto"/>
        </w:rPr>
      </w:pPr>
      <w:r>
        <w:rPr>
          <w:rFonts w:ascii="Arial" w:cs="Arial" w:eastAsia="Arial" w:hAnsi="Arial"/>
          <w:sz w:val="13"/>
          <w:szCs w:val="13"/>
          <w:b w:val="1"/>
          <w:bCs w:val="1"/>
          <w:color w:val="auto"/>
        </w:rPr>
        <w:t>________________________</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0" w:lineRule="exact"/>
        <w:rPr>
          <w:sz w:val="24"/>
          <w:szCs w:val="24"/>
          <w:color w:val="auto"/>
        </w:rPr>
      </w:pPr>
    </w:p>
    <w:p>
      <w:pPr>
        <w:spacing w:after="0" w:line="391"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720" w:type="dxa"/>
            <w:vAlign w:val="bottom"/>
          </w:tcPr>
          <w:p>
            <w:pPr>
              <w:jc w:val="center"/>
              <w:ind w:right="421"/>
              <w:spacing w:after="0"/>
              <w:rPr>
                <w:sz w:val="20"/>
                <w:szCs w:val="20"/>
                <w:color w:val="auto"/>
              </w:rPr>
            </w:pPr>
            <w:r>
              <w:rPr>
                <w:rFonts w:ascii="Arial" w:cs="Arial" w:eastAsia="Arial" w:hAnsi="Arial"/>
                <w:sz w:val="18"/>
                <w:szCs w:val="18"/>
                <w:b w:val="1"/>
                <w:bCs w:val="1"/>
                <w:color w:val="auto"/>
                <w:w w:val="93"/>
              </w:rPr>
              <w:t>Maryland</w:t>
            </w:r>
          </w:p>
        </w:tc>
        <w:tc>
          <w:tcPr>
            <w:tcW w:w="2780" w:type="dxa"/>
            <w:vAlign w:val="bottom"/>
          </w:tcPr>
          <w:p>
            <w:pPr>
              <w:jc w:val="right"/>
              <w:ind w:right="1062"/>
              <w:spacing w:after="0"/>
              <w:rPr>
                <w:sz w:val="20"/>
                <w:szCs w:val="20"/>
                <w:color w:val="auto"/>
              </w:rPr>
            </w:pPr>
            <w:r>
              <w:rPr>
                <w:rFonts w:ascii="Arial" w:cs="Arial" w:eastAsia="Arial" w:hAnsi="Arial"/>
                <w:sz w:val="18"/>
                <w:szCs w:val="18"/>
                <w:b w:val="1"/>
                <w:bCs w:val="1"/>
                <w:color w:val="auto"/>
              </w:rPr>
              <w:t>814-00736</w:t>
            </w:r>
          </w:p>
        </w:tc>
        <w:tc>
          <w:tcPr>
            <w:tcW w:w="1780" w:type="dxa"/>
            <w:vAlign w:val="bottom"/>
          </w:tcPr>
          <w:p>
            <w:pPr>
              <w:jc w:val="right"/>
              <w:ind w:right="24"/>
              <w:spacing w:after="0"/>
              <w:rPr>
                <w:sz w:val="20"/>
                <w:szCs w:val="20"/>
                <w:color w:val="auto"/>
              </w:rPr>
            </w:pPr>
            <w:r>
              <w:rPr>
                <w:rFonts w:ascii="Arial" w:cs="Arial" w:eastAsia="Arial" w:hAnsi="Arial"/>
                <w:sz w:val="18"/>
                <w:szCs w:val="18"/>
                <w:b w:val="1"/>
                <w:bCs w:val="1"/>
                <w:color w:val="auto"/>
              </w:rPr>
              <w:t>20-8250744</w:t>
            </w:r>
          </w:p>
        </w:tc>
        <w:tc>
          <w:tcPr>
            <w:tcW w:w="0" w:type="dxa"/>
            <w:vAlign w:val="bottom"/>
          </w:tcPr>
          <w:p>
            <w:pPr>
              <w:spacing w:after="0"/>
              <w:rPr>
                <w:sz w:val="1"/>
                <w:szCs w:val="1"/>
                <w:color w:val="auto"/>
              </w:rPr>
            </w:pPr>
          </w:p>
        </w:tc>
      </w:tr>
      <w:tr>
        <w:trPr>
          <w:trHeight w:val="148"/>
        </w:trPr>
        <w:tc>
          <w:tcPr>
            <w:tcW w:w="2720" w:type="dxa"/>
            <w:vAlign w:val="bottom"/>
          </w:tcPr>
          <w:p>
            <w:pPr>
              <w:jc w:val="center"/>
              <w:ind w:right="421"/>
              <w:spacing w:after="0"/>
              <w:rPr>
                <w:sz w:val="20"/>
                <w:szCs w:val="20"/>
                <w:color w:val="auto"/>
              </w:rPr>
            </w:pPr>
            <w:r>
              <w:rPr>
                <w:rFonts w:ascii="Arial" w:cs="Arial" w:eastAsia="Arial" w:hAnsi="Arial"/>
                <w:sz w:val="13"/>
                <w:szCs w:val="13"/>
                <w:b w:val="1"/>
                <w:bCs w:val="1"/>
                <w:color w:val="auto"/>
                <w:w w:val="94"/>
              </w:rPr>
              <w:t>(State or other jurisdiction</w:t>
            </w:r>
          </w:p>
        </w:tc>
        <w:tc>
          <w:tcPr>
            <w:tcW w:w="2780" w:type="dxa"/>
            <w:vAlign w:val="bottom"/>
          </w:tcPr>
          <w:p>
            <w:pPr>
              <w:jc w:val="center"/>
              <w:ind w:right="182"/>
              <w:spacing w:after="0"/>
              <w:rPr>
                <w:sz w:val="20"/>
                <w:szCs w:val="20"/>
                <w:color w:val="auto"/>
              </w:rPr>
            </w:pPr>
            <w:r>
              <w:rPr>
                <w:rFonts w:ascii="Arial" w:cs="Arial" w:eastAsia="Arial" w:hAnsi="Arial"/>
                <w:sz w:val="13"/>
                <w:szCs w:val="13"/>
                <w:b w:val="1"/>
                <w:bCs w:val="1"/>
                <w:color w:val="auto"/>
                <w:w w:val="94"/>
              </w:rPr>
              <w:t>(Commission File Number)</w:t>
            </w:r>
          </w:p>
        </w:tc>
        <w:tc>
          <w:tcPr>
            <w:tcW w:w="1780" w:type="dxa"/>
            <w:vAlign w:val="bottom"/>
          </w:tcPr>
          <w:p>
            <w:pPr>
              <w:jc w:val="center"/>
              <w:ind w:left="644"/>
              <w:spacing w:after="0"/>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4"/>
        </w:trPr>
        <w:tc>
          <w:tcPr>
            <w:tcW w:w="2720" w:type="dxa"/>
            <w:vAlign w:val="bottom"/>
          </w:tcPr>
          <w:p>
            <w:pPr>
              <w:jc w:val="center"/>
              <w:ind w:right="421"/>
              <w:spacing w:after="0"/>
              <w:rPr>
                <w:sz w:val="20"/>
                <w:szCs w:val="20"/>
                <w:color w:val="auto"/>
              </w:rPr>
            </w:pPr>
            <w:r>
              <w:rPr>
                <w:rFonts w:ascii="Arial" w:cs="Arial" w:eastAsia="Arial" w:hAnsi="Arial"/>
                <w:sz w:val="13"/>
                <w:szCs w:val="13"/>
                <w:b w:val="1"/>
                <w:bCs w:val="1"/>
                <w:color w:val="auto"/>
                <w:w w:val="94"/>
              </w:rPr>
              <w:t>of incorporation)</w:t>
            </w:r>
          </w:p>
        </w:tc>
        <w:tc>
          <w:tcPr>
            <w:tcW w:w="2780" w:type="dxa"/>
            <w:vAlign w:val="bottom"/>
          </w:tcPr>
          <w:p>
            <w:pPr>
              <w:spacing w:after="0"/>
              <w:rPr>
                <w:sz w:val="15"/>
                <w:szCs w:val="15"/>
                <w:color w:val="auto"/>
              </w:rPr>
            </w:pPr>
          </w:p>
        </w:tc>
        <w:tc>
          <w:tcPr>
            <w:tcW w:w="1780" w:type="dxa"/>
            <w:vAlign w:val="bottom"/>
          </w:tcPr>
          <w:p>
            <w:pPr>
              <w:jc w:val="center"/>
              <w:ind w:left="644"/>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32"/>
        </w:trPr>
        <w:tc>
          <w:tcPr>
            <w:tcW w:w="2720" w:type="dxa"/>
            <w:vAlign w:val="bottom"/>
          </w:tcPr>
          <w:p>
            <w:pPr>
              <w:jc w:val="center"/>
              <w:ind w:right="421"/>
              <w:spacing w:after="0"/>
              <w:rPr>
                <w:sz w:val="20"/>
                <w:szCs w:val="20"/>
                <w:color w:val="auto"/>
              </w:rPr>
            </w:pPr>
            <w:r>
              <w:rPr>
                <w:rFonts w:ascii="Arial" w:cs="Arial" w:eastAsia="Arial" w:hAnsi="Arial"/>
                <w:sz w:val="18"/>
                <w:szCs w:val="18"/>
                <w:b w:val="1"/>
                <w:bCs w:val="1"/>
                <w:color w:val="auto"/>
                <w:w w:val="87"/>
              </w:rPr>
              <w:t>445 Park Avenue</w:t>
            </w:r>
          </w:p>
        </w:tc>
        <w:tc>
          <w:tcPr>
            <w:tcW w:w="2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tcPr>
          <w:p>
            <w:pPr>
              <w:jc w:val="center"/>
              <w:ind w:right="421"/>
              <w:spacing w:after="0"/>
              <w:rPr>
                <w:sz w:val="20"/>
                <w:szCs w:val="20"/>
                <w:color w:val="auto"/>
              </w:rPr>
            </w:pPr>
            <w:r>
              <w:rPr>
                <w:rFonts w:ascii="Arial" w:cs="Arial" w:eastAsia="Arial" w:hAnsi="Arial"/>
                <w:sz w:val="18"/>
                <w:szCs w:val="18"/>
                <w:b w:val="1"/>
                <w:bCs w:val="1"/>
                <w:color w:val="auto"/>
                <w:w w:val="89"/>
              </w:rPr>
              <w:t>10th Floor</w:t>
            </w:r>
          </w:p>
        </w:tc>
        <w:tc>
          <w:tcPr>
            <w:tcW w:w="2780" w:type="dxa"/>
            <w:vAlign w:val="bottom"/>
          </w:tcPr>
          <w:p>
            <w:pPr>
              <w:spacing w:after="0"/>
              <w:rPr>
                <w:sz w:val="18"/>
                <w:szCs w:val="18"/>
                <w:color w:val="auto"/>
              </w:rPr>
            </w:pPr>
          </w:p>
        </w:tc>
        <w:tc>
          <w:tcPr>
            <w:tcW w:w="1780" w:type="dxa"/>
            <w:vAlign w:val="bottom"/>
            <w:vMerge w:val="restart"/>
          </w:tcPr>
          <w:p>
            <w:pPr>
              <w:jc w:val="right"/>
              <w:ind w:right="224"/>
              <w:spacing w:after="0"/>
              <w:rPr>
                <w:sz w:val="20"/>
                <w:szCs w:val="20"/>
                <w:color w:val="auto"/>
              </w:rPr>
            </w:pPr>
            <w:r>
              <w:rPr>
                <w:rFonts w:ascii="Arial" w:cs="Arial" w:eastAsia="Arial" w:hAnsi="Arial"/>
                <w:sz w:val="18"/>
                <w:szCs w:val="18"/>
                <w:b w:val="1"/>
                <w:bCs w:val="1"/>
                <w:color w:val="auto"/>
              </w:rPr>
              <w:t>10022</w:t>
            </w:r>
          </w:p>
        </w:tc>
        <w:tc>
          <w:tcPr>
            <w:tcW w:w="0" w:type="dxa"/>
            <w:vAlign w:val="bottom"/>
          </w:tcPr>
          <w:p>
            <w:pPr>
              <w:spacing w:after="0"/>
              <w:rPr>
                <w:sz w:val="1"/>
                <w:szCs w:val="1"/>
                <w:color w:val="auto"/>
              </w:rPr>
            </w:pPr>
          </w:p>
        </w:tc>
      </w:tr>
      <w:tr>
        <w:trPr>
          <w:trHeight w:val="93"/>
        </w:trPr>
        <w:tc>
          <w:tcPr>
            <w:tcW w:w="2720" w:type="dxa"/>
            <w:vAlign w:val="bottom"/>
            <w:vMerge w:val="restart"/>
          </w:tcPr>
          <w:p>
            <w:pPr>
              <w:jc w:val="center"/>
              <w:ind w:right="421"/>
              <w:spacing w:after="0"/>
              <w:rPr>
                <w:sz w:val="20"/>
                <w:szCs w:val="20"/>
                <w:color w:val="auto"/>
              </w:rPr>
            </w:pPr>
            <w:r>
              <w:rPr>
                <w:rFonts w:ascii="Arial" w:cs="Arial" w:eastAsia="Arial" w:hAnsi="Arial"/>
                <w:sz w:val="18"/>
                <w:szCs w:val="18"/>
                <w:b w:val="1"/>
                <w:bCs w:val="1"/>
                <w:color w:val="auto"/>
                <w:w w:val="93"/>
              </w:rPr>
              <w:t>New York, NY</w:t>
            </w:r>
          </w:p>
        </w:tc>
        <w:tc>
          <w:tcPr>
            <w:tcW w:w="278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720" w:type="dxa"/>
            <w:vAlign w:val="bottom"/>
            <w:vMerge w:val="continue"/>
          </w:tcPr>
          <w:p>
            <w:pPr>
              <w:spacing w:after="0"/>
              <w:rPr>
                <w:sz w:val="10"/>
                <w:szCs w:val="10"/>
                <w:color w:val="auto"/>
              </w:rPr>
            </w:pPr>
          </w:p>
        </w:tc>
        <w:tc>
          <w:tcPr>
            <w:tcW w:w="27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720" w:type="dxa"/>
            <w:vAlign w:val="bottom"/>
          </w:tcPr>
          <w:p>
            <w:pPr>
              <w:jc w:val="center"/>
              <w:ind w:right="421"/>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2780" w:type="dxa"/>
            <w:vAlign w:val="bottom"/>
          </w:tcPr>
          <w:p>
            <w:pPr>
              <w:spacing w:after="0"/>
              <w:rPr>
                <w:sz w:val="15"/>
                <w:szCs w:val="15"/>
                <w:color w:val="auto"/>
              </w:rPr>
            </w:pPr>
          </w:p>
        </w:tc>
        <w:tc>
          <w:tcPr>
            <w:tcW w:w="1780" w:type="dxa"/>
            <w:vAlign w:val="bottom"/>
          </w:tcPr>
          <w:p>
            <w:pPr>
              <w:jc w:val="center"/>
              <w:ind w:left="644"/>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212-307-3280</w:t>
      </w:r>
    </w:p>
    <w:p>
      <w:pPr>
        <w:spacing w:after="0" w:line="186" w:lineRule="exact"/>
        <w:rPr>
          <w:sz w:val="24"/>
          <w:szCs w:val="24"/>
          <w:color w:val="auto"/>
        </w:rPr>
      </w:pPr>
    </w:p>
    <w:p>
      <w:pPr>
        <w:ind w:left="4820"/>
        <w:spacing w:after="0"/>
        <w:rPr>
          <w:sz w:val="20"/>
          <w:szCs w:val="20"/>
          <w:color w:val="auto"/>
        </w:rPr>
      </w:pPr>
      <w:r>
        <w:rPr>
          <w:rFonts w:ascii="Arial" w:cs="Arial" w:eastAsia="Arial" w:hAnsi="Arial"/>
          <w:sz w:val="13"/>
          <w:szCs w:val="13"/>
          <w:b w:val="1"/>
          <w:bCs w:val="1"/>
          <w:color w:val="auto"/>
        </w:rPr>
        <w:t>________________________</w:t>
      </w:r>
    </w:p>
    <w:p>
      <w:pPr>
        <w:spacing w:after="0" w:line="32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280" w:type="dxa"/>
            <w:vAlign w:val="bottom"/>
          </w:tcPr>
          <w:p>
            <w:pPr>
              <w:jc w:val="right"/>
              <w:spacing w:after="0"/>
              <w:rPr>
                <w:sz w:val="20"/>
                <w:szCs w:val="20"/>
                <w:color w:val="auto"/>
              </w:rPr>
            </w:pPr>
            <w:r>
              <w:rPr>
                <w:rFonts w:ascii="Arial" w:cs="Arial" w:eastAsia="Arial" w:hAnsi="Arial"/>
                <w:sz w:val="22"/>
                <w:szCs w:val="22"/>
                <w:color w:val="auto"/>
              </w:rPr>
              <w:t>[ ]</w:t>
            </w:r>
          </w:p>
        </w:tc>
        <w:tc>
          <w:tcPr>
            <w:tcW w:w="10960" w:type="dxa"/>
            <w:vAlign w:val="bottom"/>
          </w:tcPr>
          <w:p>
            <w:pPr>
              <w:ind w:left="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418"/>
        </w:trPr>
        <w:tc>
          <w:tcPr>
            <w:tcW w:w="280" w:type="dxa"/>
            <w:vAlign w:val="bottom"/>
          </w:tcPr>
          <w:p>
            <w:pPr>
              <w:jc w:val="right"/>
              <w:spacing w:after="0"/>
              <w:rPr>
                <w:sz w:val="20"/>
                <w:szCs w:val="20"/>
                <w:color w:val="auto"/>
              </w:rPr>
            </w:pPr>
            <w:r>
              <w:rPr>
                <w:rFonts w:ascii="Arial" w:cs="Arial" w:eastAsia="Arial" w:hAnsi="Arial"/>
                <w:sz w:val="22"/>
                <w:szCs w:val="22"/>
                <w:color w:val="auto"/>
              </w:rPr>
              <w:t>[ ]</w:t>
            </w:r>
          </w:p>
        </w:tc>
        <w:tc>
          <w:tcPr>
            <w:tcW w:w="10960" w:type="dxa"/>
            <w:vAlign w:val="bottom"/>
          </w:tcPr>
          <w:p>
            <w:pPr>
              <w:ind w:left="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419"/>
        </w:trPr>
        <w:tc>
          <w:tcPr>
            <w:tcW w:w="280" w:type="dxa"/>
            <w:vAlign w:val="bottom"/>
          </w:tcPr>
          <w:p>
            <w:pPr>
              <w:jc w:val="right"/>
              <w:spacing w:after="0"/>
              <w:rPr>
                <w:sz w:val="20"/>
                <w:szCs w:val="20"/>
                <w:color w:val="auto"/>
              </w:rPr>
            </w:pPr>
            <w:r>
              <w:rPr>
                <w:rFonts w:ascii="Arial" w:cs="Arial" w:eastAsia="Arial" w:hAnsi="Arial"/>
                <w:sz w:val="22"/>
                <w:szCs w:val="22"/>
                <w:color w:val="auto"/>
              </w:rPr>
              <w:t>[ ]</w:t>
            </w:r>
          </w:p>
        </w:tc>
        <w:tc>
          <w:tcPr>
            <w:tcW w:w="1096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418"/>
        </w:trPr>
        <w:tc>
          <w:tcPr>
            <w:tcW w:w="280" w:type="dxa"/>
            <w:vAlign w:val="bottom"/>
          </w:tcPr>
          <w:p>
            <w:pPr>
              <w:jc w:val="right"/>
              <w:spacing w:after="0"/>
              <w:rPr>
                <w:sz w:val="20"/>
                <w:szCs w:val="20"/>
                <w:color w:val="auto"/>
              </w:rPr>
            </w:pPr>
            <w:r>
              <w:rPr>
                <w:rFonts w:ascii="Arial" w:cs="Arial" w:eastAsia="Arial" w:hAnsi="Arial"/>
                <w:sz w:val="22"/>
                <w:szCs w:val="22"/>
                <w:color w:val="auto"/>
              </w:rPr>
              <w:t>[ ]</w:t>
            </w:r>
          </w:p>
        </w:tc>
        <w:tc>
          <w:tcPr>
            <w:tcW w:w="1096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105"/>
        </w:trPr>
        <w:tc>
          <w:tcPr>
            <w:tcW w:w="280" w:type="dxa"/>
            <w:vAlign w:val="bottom"/>
            <w:tcBorders>
              <w:bottom w:val="single" w:sz="8" w:color="9A9A9A"/>
            </w:tcBorders>
          </w:tcPr>
          <w:p>
            <w:pPr>
              <w:spacing w:after="0"/>
              <w:rPr>
                <w:sz w:val="9"/>
                <w:szCs w:val="9"/>
                <w:color w:val="auto"/>
              </w:rPr>
            </w:pPr>
          </w:p>
        </w:tc>
        <w:tc>
          <w:tcPr>
            <w:tcW w:w="1096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Item 8.01. Regulation FD Disclosure.</w:t>
      </w:r>
    </w:p>
    <w:p>
      <w:pPr>
        <w:spacing w:after="0" w:line="206" w:lineRule="exact"/>
        <w:rPr>
          <w:sz w:val="24"/>
          <w:szCs w:val="24"/>
          <w:color w:val="auto"/>
        </w:rPr>
      </w:pPr>
    </w:p>
    <w:p>
      <w:pPr>
        <w:ind w:left="440"/>
        <w:spacing w:after="0"/>
        <w:rPr>
          <w:sz w:val="20"/>
          <w:szCs w:val="20"/>
          <w:color w:val="auto"/>
        </w:rPr>
      </w:pPr>
      <w:r>
        <w:rPr>
          <w:rFonts w:ascii="Arial" w:cs="Arial" w:eastAsia="Arial" w:hAnsi="Arial"/>
          <w:sz w:val="22"/>
          <w:szCs w:val="22"/>
          <w:color w:val="auto"/>
        </w:rPr>
        <w:t>The following press release was issued by PennantPark Investment Corporation on July 26, 2007:</w:t>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PennantPark Investment Corporation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Schedules Earnings Release for the Quarter Ended June 30, 2007</w:t>
      </w:r>
    </w:p>
    <w:p>
      <w:pPr>
        <w:spacing w:after="0" w:line="188" w:lineRule="exact"/>
        <w:rPr>
          <w:sz w:val="24"/>
          <w:szCs w:val="24"/>
          <w:color w:val="auto"/>
        </w:rPr>
      </w:pPr>
    </w:p>
    <w:p>
      <w:pPr>
        <w:ind w:right="320"/>
        <w:spacing w:after="0"/>
        <w:rPr>
          <w:sz w:val="20"/>
          <w:szCs w:val="20"/>
          <w:color w:val="auto"/>
        </w:rPr>
      </w:pPr>
      <w:r>
        <w:rPr>
          <w:rFonts w:ascii="Arial" w:cs="Arial" w:eastAsia="Arial" w:hAnsi="Arial"/>
          <w:sz w:val="22"/>
          <w:szCs w:val="22"/>
          <w:color w:val="auto"/>
        </w:rPr>
        <w:t>NEW YORK, NY - - (MARKET WIRE) - - 07/26/07 - - PennantPark Investment Corporation (the "Company") (NASDAQ: PNNT) announced today that it will report its third fiscal quarter results for the period ended June 30, 2007 on August 9, 2007 after the close of the financial markets.</w:t>
      </w:r>
    </w:p>
    <w:p>
      <w:pPr>
        <w:spacing w:after="0" w:line="186" w:lineRule="exact"/>
        <w:rPr>
          <w:sz w:val="24"/>
          <w:szCs w:val="24"/>
          <w:color w:val="auto"/>
        </w:rPr>
      </w:pPr>
    </w:p>
    <w:p>
      <w:pPr>
        <w:ind w:right="80"/>
        <w:spacing w:after="0" w:line="235" w:lineRule="auto"/>
        <w:rPr>
          <w:sz w:val="20"/>
          <w:szCs w:val="20"/>
          <w:color w:val="auto"/>
        </w:rPr>
      </w:pPr>
      <w:r>
        <w:rPr>
          <w:rFonts w:ascii="Arial" w:cs="Arial" w:eastAsia="Arial" w:hAnsi="Arial"/>
          <w:sz w:val="22"/>
          <w:szCs w:val="22"/>
          <w:color w:val="auto"/>
        </w:rPr>
        <w:t>The Company will also host a conference call at 10:00 a.m. (Eastern Time) on Friday, August 10, 2007 to discuss its third fiscal quarter results. All interested parties are welcome to participate. You can access the conference call by dialing (866) 226-1799 approximately 5-10 minutes prior to the call. International callers should dial (416) 340-2218. All callers should reference "PennantPark Investment Corporation" or "conference ID #3230743". An archived replay of the call will be available through August 24, 2007 by calling (800) 408-3053. International callers please dial (416) 695-5800. For all replays, please reference pin #3230743.</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4"/>
          <w:szCs w:val="24"/>
          <w:color w:val="auto"/>
        </w:rPr>
      </w:pPr>
    </w:p>
    <w:p>
      <w:pPr>
        <w:ind w:right="20"/>
        <w:spacing w:after="0" w:line="297" w:lineRule="auto"/>
        <w:rPr>
          <w:sz w:val="20"/>
          <w:szCs w:val="20"/>
          <w:color w:val="auto"/>
        </w:rPr>
      </w:pPr>
      <w:r>
        <w:rPr>
          <w:rFonts w:ascii="Arial" w:cs="Arial" w:eastAsia="Arial" w:hAnsi="Arial"/>
          <w:sz w:val="19"/>
          <w:szCs w:val="19"/>
          <w:color w:val="auto"/>
        </w:rPr>
        <w:t>PennantPark Investment Corporation is a business development company which principally invests in private U.S. middle-market companies in the form of senior secured loans, mezzanine loans and equity. From time to time, the Company may also invest in public companies. PennantPark Investment Corporation is managed by PennantPark Investment Advisers, LLC.</w:t>
      </w:r>
    </w:p>
    <w:p>
      <w:pPr>
        <w:sectPr>
          <w:pgSz w:w="11900" w:h="16952" w:orient="portrait"/>
          <w:cols w:equalWidth="0" w:num="1">
            <w:col w:w="11240"/>
          </w:cols>
          <w:pgMar w:left="320" w:top="449" w:right="33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Forward-Looking Statements</w:t>
      </w:r>
    </w:p>
    <w:p>
      <w:pPr>
        <w:spacing w:after="0" w:line="20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 All forward-looking statements speak only as of the date of this press release.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231" w:lineRule="auto"/>
        <w:rPr>
          <w:sz w:val="20"/>
          <w:szCs w:val="20"/>
          <w:color w:val="auto"/>
        </w:rPr>
      </w:pPr>
      <w:r>
        <w:rPr>
          <w:rFonts w:ascii="Arial" w:cs="Arial" w:eastAsia="Arial" w:hAnsi="Arial"/>
          <w:sz w:val="22"/>
          <w:szCs w:val="22"/>
          <w:color w:val="auto"/>
        </w:rPr>
        <w:t>(212) 307-3280</w:t>
      </w:r>
    </w:p>
    <w:p>
      <w:pPr>
        <w:spacing w:after="0"/>
        <w:rPr>
          <w:sz w:val="20"/>
          <w:szCs w:val="20"/>
          <w:color w:val="auto"/>
        </w:rPr>
      </w:pPr>
      <w:r>
        <w:rPr>
          <w:rFonts w:ascii="Arial" w:cs="Arial" w:eastAsia="Arial" w:hAnsi="Arial"/>
          <w:sz w:val="22"/>
          <w:szCs w:val="22"/>
          <w:color w:val="auto"/>
        </w:rPr>
        <w:t>Or visit us at: 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SIGNATURES</w:t>
      </w:r>
    </w:p>
    <w:p>
      <w:pPr>
        <w:spacing w:after="0" w:line="20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PennantPark Investment Corporation</w:t>
      </w:r>
    </w:p>
    <w:p>
      <w:pPr>
        <w:spacing w:after="0" w:line="206" w:lineRule="exact"/>
        <w:rPr>
          <w:sz w:val="20"/>
          <w:szCs w:val="20"/>
          <w:color w:val="auto"/>
        </w:rPr>
      </w:pPr>
    </w:p>
    <w:p>
      <w:pPr>
        <w:ind w:left="6440"/>
        <w:spacing w:after="0"/>
        <w:rPr>
          <w:sz w:val="20"/>
          <w:szCs w:val="20"/>
          <w:color w:val="auto"/>
        </w:rPr>
      </w:pPr>
      <w:r>
        <w:rPr>
          <w:rFonts w:ascii="Arial" w:cs="Arial" w:eastAsia="Arial" w:hAnsi="Arial"/>
          <w:sz w:val="22"/>
          <w:szCs w:val="22"/>
          <w:u w:val="single" w:color="auto"/>
          <w:color w:val="auto"/>
        </w:rPr>
        <w:t>/s/ Aviv Efrat</w:t>
      </w:r>
    </w:p>
    <w:p>
      <w:pPr>
        <w:spacing w:after="0" w:line="8"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(Signature)</w:t>
      </w:r>
    </w:p>
    <w:p>
      <w:pPr>
        <w:spacing w:after="0" w:line="188"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22"/>
          <w:szCs w:val="22"/>
          <w:color w:val="auto"/>
        </w:rPr>
        <w:t>By:</w:t>
        <w:tab/>
        <w:t>Aviv Efrat</w:t>
      </w:r>
    </w:p>
    <w:p>
      <w:pPr>
        <w:ind w:left="6440"/>
        <w:spacing w:after="0" w:line="238" w:lineRule="auto"/>
        <w:rPr>
          <w:sz w:val="20"/>
          <w:szCs w:val="20"/>
          <w:color w:val="auto"/>
        </w:rPr>
      </w:pPr>
      <w:r>
        <w:rPr>
          <w:rFonts w:ascii="Arial" w:cs="Arial" w:eastAsia="Arial" w:hAnsi="Arial"/>
          <w:sz w:val="22"/>
          <w:szCs w:val="22"/>
          <w:color w:val="auto"/>
        </w:rPr>
        <w:t>Title: Chief Financial Officer</w:t>
      </w:r>
    </w:p>
    <w:p>
      <w:pPr>
        <w:ind w:left="6440"/>
        <w:spacing w:after="0"/>
        <w:rPr>
          <w:sz w:val="20"/>
          <w:szCs w:val="20"/>
          <w:color w:val="auto"/>
        </w:rPr>
      </w:pPr>
      <w:r>
        <w:rPr>
          <w:rFonts w:ascii="Arial" w:cs="Arial" w:eastAsia="Arial" w:hAnsi="Arial"/>
          <w:sz w:val="22"/>
          <w:szCs w:val="22"/>
          <w:color w:val="auto"/>
        </w:rPr>
        <w:t>Date: July 26, 2007</w:t>
      </w:r>
    </w:p>
    <w:sectPr>
      <w:pgSz w:w="11900" w:h="16838" w:orient="portrait"/>
      <w:cols w:equalWidth="0" w:num="1">
        <w:col w:w="11180"/>
      </w:cols>
      <w:pgMar w:left="320" w:top="11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2020-05-05T15:06:43Z</dcterms:created>
  <dcterms:modified xsi:type="dcterms:W3CDTF">2020-05-05T15:06:43Z</dcterms:modified>
</cp:coreProperties>
</file>