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4780"/>
        <w:spacing w:after="0"/>
        <w:rPr>
          <w:sz w:val="20"/>
          <w:szCs w:val="20"/>
          <w:color w:val="auto"/>
        </w:rPr>
      </w:pPr>
      <w:r>
        <w:rPr>
          <w:rFonts w:ascii="Arial" w:cs="Arial" w:eastAsia="Arial" w:hAnsi="Arial"/>
          <w:sz w:val="13"/>
          <w:szCs w:val="13"/>
          <w:color w:val="auto"/>
        </w:rPr>
        <w:t>_________________________</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April 26, 2007</w:t>
      </w:r>
    </w:p>
    <w:p>
      <w:pPr>
        <w:spacing w:after="0" w:line="161" w:lineRule="exact"/>
        <w:rPr>
          <w:sz w:val="24"/>
          <w:szCs w:val="24"/>
          <w:color w:val="auto"/>
        </w:rPr>
      </w:pPr>
    </w:p>
    <w:p>
      <w:pPr>
        <w:ind w:left="4780"/>
        <w:spacing w:after="0"/>
        <w:rPr>
          <w:sz w:val="20"/>
          <w:szCs w:val="20"/>
          <w:color w:val="auto"/>
        </w:rPr>
      </w:pPr>
      <w:r>
        <w:rPr>
          <w:rFonts w:ascii="Arial" w:cs="Arial" w:eastAsia="Arial" w:hAnsi="Arial"/>
          <w:sz w:val="13"/>
          <w:szCs w:val="13"/>
          <w:color w:val="auto"/>
        </w:rPr>
        <w:t>_________________________</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0" w:lineRule="exact"/>
        <w:rPr>
          <w:sz w:val="24"/>
          <w:szCs w:val="24"/>
          <w:color w:val="auto"/>
        </w:rPr>
      </w:pPr>
    </w:p>
    <w:p>
      <w:pPr>
        <w:spacing w:after="0" w:line="233" w:lineRule="exact"/>
        <w:rPr>
          <w:sz w:val="24"/>
          <w:szCs w:val="24"/>
          <w:color w:val="auto"/>
        </w:rPr>
      </w:pPr>
    </w:p>
    <w:p>
      <w:pPr>
        <w:ind w:left="4780"/>
        <w:spacing w:after="0"/>
        <w:rPr>
          <w:sz w:val="20"/>
          <w:szCs w:val="20"/>
          <w:color w:val="auto"/>
        </w:rPr>
      </w:pPr>
      <w:r>
        <w:rPr>
          <w:rFonts w:ascii="Arial" w:cs="Arial" w:eastAsia="Arial" w:hAnsi="Arial"/>
          <w:sz w:val="13"/>
          <w:szCs w:val="13"/>
          <w:color w:val="auto"/>
        </w:rPr>
        <w:t>_________________________</w:t>
      </w:r>
    </w:p>
    <w:p>
      <w:pPr>
        <w:spacing w:after="0" w:line="400" w:lineRule="exact"/>
        <w:rPr>
          <w:sz w:val="24"/>
          <w:szCs w:val="24"/>
          <w:color w:val="auto"/>
        </w:rPr>
      </w:pPr>
    </w:p>
    <w:tbl>
      <w:tblPr>
        <w:tblLayout w:type="fixed"/>
        <w:tblInd w:w="2080" w:type="dxa"/>
        <w:tblCellMar>
          <w:top w:w="0" w:type="dxa"/>
          <w:left w:w="0" w:type="dxa"/>
          <w:bottom w:w="0" w:type="dxa"/>
          <w:right w:w="0" w:type="dxa"/>
        </w:tblCellMar>
      </w:tblPr>
      <w:tr>
        <w:trPr>
          <w:trHeight w:val="218"/>
        </w:trPr>
        <w:tc>
          <w:tcPr>
            <w:tcW w:w="2200" w:type="dxa"/>
            <w:vAlign w:val="bottom"/>
          </w:tcPr>
          <w:p>
            <w:pPr>
              <w:jc w:val="center"/>
              <w:ind w:right="579"/>
              <w:spacing w:after="0"/>
              <w:rPr>
                <w:sz w:val="20"/>
                <w:szCs w:val="20"/>
                <w:color w:val="auto"/>
              </w:rPr>
            </w:pPr>
            <w:r>
              <w:rPr>
                <w:rFonts w:ascii="Arial" w:cs="Arial" w:eastAsia="Arial" w:hAnsi="Arial"/>
                <w:sz w:val="18"/>
                <w:szCs w:val="18"/>
                <w:b w:val="1"/>
                <w:bCs w:val="1"/>
                <w:color w:val="auto"/>
                <w:w w:val="93"/>
              </w:rPr>
              <w:t>Maryland</w:t>
            </w:r>
          </w:p>
        </w:tc>
        <w:tc>
          <w:tcPr>
            <w:tcW w:w="2960" w:type="dxa"/>
            <w:vAlign w:val="bottom"/>
          </w:tcPr>
          <w:p>
            <w:pPr>
              <w:jc w:val="right"/>
              <w:ind w:right="1062"/>
              <w:spacing w:after="0"/>
              <w:rPr>
                <w:sz w:val="20"/>
                <w:szCs w:val="20"/>
                <w:color w:val="auto"/>
              </w:rPr>
            </w:pPr>
            <w:r>
              <w:rPr>
                <w:rFonts w:ascii="Arial" w:cs="Arial" w:eastAsia="Arial" w:hAnsi="Arial"/>
                <w:sz w:val="18"/>
                <w:szCs w:val="18"/>
                <w:b w:val="1"/>
                <w:bCs w:val="1"/>
                <w:color w:val="auto"/>
              </w:rPr>
              <w:t>814-00736</w:t>
            </w:r>
          </w:p>
        </w:tc>
        <w:tc>
          <w:tcPr>
            <w:tcW w:w="1780" w:type="dxa"/>
            <w:vAlign w:val="bottom"/>
          </w:tcPr>
          <w:p>
            <w:pPr>
              <w:jc w:val="right"/>
              <w:ind w:right="22"/>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2200" w:type="dxa"/>
            <w:vAlign w:val="bottom"/>
          </w:tcPr>
          <w:p>
            <w:pPr>
              <w:jc w:val="center"/>
              <w:ind w:right="579"/>
              <w:spacing w:after="0"/>
              <w:rPr>
                <w:sz w:val="20"/>
                <w:szCs w:val="20"/>
                <w:color w:val="auto"/>
              </w:rPr>
            </w:pPr>
            <w:r>
              <w:rPr>
                <w:rFonts w:ascii="Arial" w:cs="Arial" w:eastAsia="Arial" w:hAnsi="Arial"/>
                <w:sz w:val="13"/>
                <w:szCs w:val="13"/>
                <w:b w:val="1"/>
                <w:bCs w:val="1"/>
                <w:color w:val="auto"/>
                <w:w w:val="94"/>
              </w:rPr>
              <w:t>(State or other jurisdiction</w:t>
            </w:r>
          </w:p>
        </w:tc>
        <w:tc>
          <w:tcPr>
            <w:tcW w:w="2960" w:type="dxa"/>
            <w:vAlign w:val="bottom"/>
          </w:tcPr>
          <w:p>
            <w:pPr>
              <w:jc w:val="center"/>
              <w:ind w:right="2"/>
              <w:spacing w:after="0"/>
              <w:rPr>
                <w:sz w:val="20"/>
                <w:szCs w:val="20"/>
                <w:color w:val="auto"/>
              </w:rPr>
            </w:pPr>
            <w:r>
              <w:rPr>
                <w:rFonts w:ascii="Arial" w:cs="Arial" w:eastAsia="Arial" w:hAnsi="Arial"/>
                <w:sz w:val="13"/>
                <w:szCs w:val="13"/>
                <w:b w:val="1"/>
                <w:bCs w:val="1"/>
                <w:color w:val="auto"/>
                <w:w w:val="94"/>
              </w:rPr>
              <w:t>(Commission File Number)</w:t>
            </w:r>
          </w:p>
        </w:tc>
        <w:tc>
          <w:tcPr>
            <w:tcW w:w="1780" w:type="dxa"/>
            <w:vAlign w:val="bottom"/>
          </w:tcPr>
          <w:p>
            <w:pPr>
              <w:jc w:val="center"/>
              <w:ind w:left="642"/>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2200" w:type="dxa"/>
            <w:vAlign w:val="bottom"/>
          </w:tcPr>
          <w:p>
            <w:pPr>
              <w:jc w:val="center"/>
              <w:ind w:right="579"/>
              <w:spacing w:after="0"/>
              <w:rPr>
                <w:sz w:val="20"/>
                <w:szCs w:val="20"/>
                <w:color w:val="auto"/>
              </w:rPr>
            </w:pPr>
            <w:r>
              <w:rPr>
                <w:rFonts w:ascii="Arial" w:cs="Arial" w:eastAsia="Arial" w:hAnsi="Arial"/>
                <w:sz w:val="13"/>
                <w:szCs w:val="13"/>
                <w:b w:val="1"/>
                <w:bCs w:val="1"/>
                <w:color w:val="auto"/>
                <w:w w:val="94"/>
              </w:rPr>
              <w:t>of incorporation)</w:t>
            </w:r>
          </w:p>
        </w:tc>
        <w:tc>
          <w:tcPr>
            <w:tcW w:w="2960" w:type="dxa"/>
            <w:vAlign w:val="bottom"/>
          </w:tcPr>
          <w:p>
            <w:pPr>
              <w:spacing w:after="0"/>
              <w:rPr>
                <w:sz w:val="15"/>
                <w:szCs w:val="15"/>
                <w:color w:val="auto"/>
              </w:rPr>
            </w:pPr>
          </w:p>
        </w:tc>
        <w:tc>
          <w:tcPr>
            <w:tcW w:w="1780" w:type="dxa"/>
            <w:vAlign w:val="bottom"/>
          </w:tcPr>
          <w:p>
            <w:pPr>
              <w:jc w:val="center"/>
              <w:ind w:left="642"/>
              <w:spacing w:after="0"/>
              <w:rPr>
                <w:sz w:val="20"/>
                <w:szCs w:val="20"/>
                <w:color w:val="auto"/>
              </w:rPr>
            </w:pPr>
            <w:r>
              <w:rPr>
                <w:rFonts w:ascii="Arial" w:cs="Arial" w:eastAsia="Arial" w:hAnsi="Arial"/>
                <w:sz w:val="13"/>
                <w:szCs w:val="13"/>
                <w:b w:val="1"/>
                <w:bCs w:val="1"/>
                <w:color w:val="auto"/>
                <w:w w:val="96"/>
              </w:rPr>
              <w:t>Identification No.)</w:t>
            </w:r>
          </w:p>
        </w:tc>
      </w:tr>
      <w:tr>
        <w:trPr>
          <w:trHeight w:val="513"/>
        </w:trPr>
        <w:tc>
          <w:tcPr>
            <w:tcW w:w="2200" w:type="dxa"/>
            <w:vAlign w:val="bottom"/>
          </w:tcPr>
          <w:p>
            <w:pPr>
              <w:jc w:val="center"/>
              <w:ind w:right="579"/>
              <w:spacing w:after="0"/>
              <w:rPr>
                <w:sz w:val="20"/>
                <w:szCs w:val="20"/>
                <w:color w:val="auto"/>
              </w:rPr>
            </w:pPr>
            <w:r>
              <w:rPr>
                <w:rFonts w:ascii="Arial" w:cs="Arial" w:eastAsia="Arial" w:hAnsi="Arial"/>
                <w:sz w:val="18"/>
                <w:szCs w:val="18"/>
                <w:b w:val="1"/>
                <w:bCs w:val="1"/>
                <w:color w:val="auto"/>
                <w:w w:val="87"/>
              </w:rPr>
              <w:t>445 Park Avenue</w:t>
            </w:r>
          </w:p>
        </w:tc>
        <w:tc>
          <w:tcPr>
            <w:tcW w:w="29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16"/>
        </w:trPr>
        <w:tc>
          <w:tcPr>
            <w:tcW w:w="2200" w:type="dxa"/>
            <w:vAlign w:val="bottom"/>
          </w:tcPr>
          <w:p>
            <w:pPr>
              <w:jc w:val="center"/>
              <w:ind w:right="579"/>
              <w:spacing w:after="0"/>
              <w:rPr>
                <w:sz w:val="20"/>
                <w:szCs w:val="20"/>
                <w:color w:val="auto"/>
              </w:rPr>
            </w:pPr>
            <w:r>
              <w:rPr>
                <w:rFonts w:ascii="Arial" w:cs="Arial" w:eastAsia="Arial" w:hAnsi="Arial"/>
                <w:sz w:val="18"/>
                <w:szCs w:val="18"/>
                <w:b w:val="1"/>
                <w:bCs w:val="1"/>
                <w:color w:val="auto"/>
                <w:w w:val="89"/>
              </w:rPr>
              <w:t>10th Floor</w:t>
            </w:r>
          </w:p>
        </w:tc>
        <w:tc>
          <w:tcPr>
            <w:tcW w:w="2960" w:type="dxa"/>
            <w:vAlign w:val="bottom"/>
          </w:tcPr>
          <w:p>
            <w:pPr>
              <w:spacing w:after="0"/>
              <w:rPr>
                <w:sz w:val="18"/>
                <w:szCs w:val="18"/>
                <w:color w:val="auto"/>
              </w:rPr>
            </w:pPr>
          </w:p>
        </w:tc>
        <w:tc>
          <w:tcPr>
            <w:tcW w:w="1780" w:type="dxa"/>
            <w:vAlign w:val="bottom"/>
          </w:tcPr>
          <w:p>
            <w:pPr>
              <w:jc w:val="right"/>
              <w:ind w:right="222"/>
              <w:spacing w:after="0"/>
              <w:rPr>
                <w:sz w:val="20"/>
                <w:szCs w:val="20"/>
                <w:color w:val="auto"/>
              </w:rPr>
            </w:pPr>
            <w:r>
              <w:rPr>
                <w:rFonts w:ascii="Arial" w:cs="Arial" w:eastAsia="Arial" w:hAnsi="Arial"/>
                <w:sz w:val="18"/>
                <w:szCs w:val="18"/>
                <w:b w:val="1"/>
                <w:bCs w:val="1"/>
                <w:color w:val="auto"/>
              </w:rPr>
              <w:t>10022</w:t>
            </w:r>
          </w:p>
        </w:tc>
      </w:tr>
      <w:tr>
        <w:trPr>
          <w:trHeight w:val="228"/>
        </w:trPr>
        <w:tc>
          <w:tcPr>
            <w:tcW w:w="2200" w:type="dxa"/>
            <w:vAlign w:val="bottom"/>
          </w:tcPr>
          <w:p>
            <w:pPr>
              <w:jc w:val="center"/>
              <w:ind w:right="579"/>
              <w:spacing w:after="0"/>
              <w:rPr>
                <w:sz w:val="20"/>
                <w:szCs w:val="20"/>
                <w:color w:val="auto"/>
              </w:rPr>
            </w:pPr>
            <w:r>
              <w:rPr>
                <w:rFonts w:ascii="Arial" w:cs="Arial" w:eastAsia="Arial" w:hAnsi="Arial"/>
                <w:sz w:val="18"/>
                <w:szCs w:val="18"/>
                <w:b w:val="1"/>
                <w:bCs w:val="1"/>
                <w:color w:val="auto"/>
                <w:w w:val="93"/>
              </w:rPr>
              <w:t>New York, NY</w:t>
            </w:r>
          </w:p>
        </w:tc>
        <w:tc>
          <w:tcPr>
            <w:tcW w:w="296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pacing w:after="0" w:line="1" w:lineRule="exact"/>
        <w:rPr>
          <w:sz w:val="24"/>
          <w:szCs w:val="24"/>
          <w:color w:val="auto"/>
        </w:rPr>
      </w:pPr>
    </w:p>
    <w:tbl>
      <w:tblPr>
        <w:tblLayout w:type="fixed"/>
        <w:tblInd w:w="1720" w:type="dxa"/>
        <w:tblCellMar>
          <w:top w:w="0" w:type="dxa"/>
          <w:left w:w="0" w:type="dxa"/>
          <w:bottom w:w="0" w:type="dxa"/>
          <w:right w:w="0" w:type="dxa"/>
        </w:tblCellMar>
      </w:tblPr>
      <w:tr>
        <w:trPr>
          <w:trHeight w:val="174"/>
        </w:trPr>
        <w:tc>
          <w:tcPr>
            <w:tcW w:w="6400" w:type="dxa"/>
            <w:vAlign w:val="bottom"/>
            <w:vMerge w:val="restart"/>
          </w:tcPr>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3"/>
                <w:szCs w:val="13"/>
                <w:b w:val="1"/>
                <w:bCs w:val="1"/>
                <w:color w:val="auto"/>
              </w:rPr>
              <w:t>Address of principal executive offices)</w:t>
            </w:r>
          </w:p>
        </w:tc>
        <w:tc>
          <w:tcPr>
            <w:tcW w:w="680" w:type="dxa"/>
            <w:vAlign w:val="bottom"/>
          </w:tcPr>
          <w:p>
            <w:pPr>
              <w:ind w:left="60"/>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106"/>
        </w:trPr>
        <w:tc>
          <w:tcPr>
            <w:tcW w:w="64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9"/>
        </w:trPr>
        <w:tc>
          <w:tcPr>
            <w:tcW w:w="6400" w:type="dxa"/>
            <w:vAlign w:val="bottom"/>
          </w:tcPr>
          <w:p>
            <w:pPr>
              <w:jc w:val="center"/>
              <w:ind w:left="1312"/>
              <w:spacing w:after="0"/>
              <w:rPr>
                <w:sz w:val="20"/>
                <w:szCs w:val="20"/>
                <w:color w:val="auto"/>
              </w:rPr>
            </w:pPr>
            <w:r>
              <w:rPr>
                <w:rFonts w:ascii="Arial" w:cs="Arial" w:eastAsia="Arial" w:hAnsi="Arial"/>
                <w:sz w:val="18"/>
                <w:szCs w:val="18"/>
                <w:b w:val="1"/>
                <w:bCs w:val="1"/>
                <w:color w:val="auto"/>
                <w:w w:val="87"/>
              </w:rPr>
              <w:t>Registrant's telephone number, including area code 212-307-3280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400" w:type="dxa"/>
            <w:vAlign w:val="bottom"/>
          </w:tcPr>
          <w:p>
            <w:pPr>
              <w:jc w:val="right"/>
              <w:ind w:right="1572"/>
              <w:spacing w:after="0"/>
              <w:rPr>
                <w:sz w:val="20"/>
                <w:szCs w:val="20"/>
                <w:color w:val="auto"/>
              </w:rPr>
            </w:pPr>
            <w:r>
              <w:rPr>
                <w:rFonts w:ascii="Arial" w:cs="Arial" w:eastAsia="Arial" w:hAnsi="Arial"/>
                <w:sz w:val="13"/>
                <w:szCs w:val="13"/>
                <w:color w:val="auto"/>
              </w:rPr>
              <w:t>_________________________</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7"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280" w:type="dxa"/>
            <w:vAlign w:val="bottom"/>
          </w:tcPr>
          <w:p>
            <w:pPr>
              <w:jc w:val="right"/>
              <w:spacing w:after="0"/>
              <w:rPr>
                <w:sz w:val="20"/>
                <w:szCs w:val="20"/>
                <w:color w:val="auto"/>
              </w:rPr>
            </w:pPr>
            <w:r>
              <w:rPr>
                <w:rFonts w:ascii="Arial" w:cs="Arial" w:eastAsia="Arial" w:hAnsi="Arial"/>
                <w:sz w:val="22"/>
                <w:szCs w:val="22"/>
                <w:color w:val="auto"/>
              </w:rPr>
              <w:t>[ ]</w:t>
            </w:r>
          </w:p>
        </w:tc>
        <w:tc>
          <w:tcPr>
            <w:tcW w:w="10960" w:type="dxa"/>
            <w:vAlign w:val="bottom"/>
          </w:tcPr>
          <w:p>
            <w:pPr>
              <w:ind w:left="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419"/>
        </w:trPr>
        <w:tc>
          <w:tcPr>
            <w:tcW w:w="280" w:type="dxa"/>
            <w:vAlign w:val="bottom"/>
          </w:tcPr>
          <w:p>
            <w:pPr>
              <w:jc w:val="right"/>
              <w:spacing w:after="0"/>
              <w:rPr>
                <w:sz w:val="20"/>
                <w:szCs w:val="20"/>
                <w:color w:val="auto"/>
              </w:rPr>
            </w:pPr>
            <w:r>
              <w:rPr>
                <w:rFonts w:ascii="Arial" w:cs="Arial" w:eastAsia="Arial" w:hAnsi="Arial"/>
                <w:sz w:val="22"/>
                <w:szCs w:val="22"/>
                <w:color w:val="auto"/>
              </w:rPr>
              <w:t>[ ]</w:t>
            </w:r>
          </w:p>
        </w:tc>
        <w:tc>
          <w:tcPr>
            <w:tcW w:w="10960" w:type="dxa"/>
            <w:vAlign w:val="bottom"/>
          </w:tcPr>
          <w:p>
            <w:pPr>
              <w:ind w:left="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418"/>
        </w:trPr>
        <w:tc>
          <w:tcPr>
            <w:tcW w:w="280" w:type="dxa"/>
            <w:vAlign w:val="bottom"/>
          </w:tcPr>
          <w:p>
            <w:pPr>
              <w:jc w:val="right"/>
              <w:spacing w:after="0"/>
              <w:rPr>
                <w:sz w:val="20"/>
                <w:szCs w:val="20"/>
                <w:color w:val="auto"/>
              </w:rPr>
            </w:pPr>
            <w:r>
              <w:rPr>
                <w:rFonts w:ascii="Arial" w:cs="Arial" w:eastAsia="Arial" w:hAnsi="Arial"/>
                <w:sz w:val="22"/>
                <w:szCs w:val="22"/>
                <w:color w:val="auto"/>
              </w:rPr>
              <w:t>[ ]</w:t>
            </w:r>
          </w:p>
        </w:tc>
        <w:tc>
          <w:tcPr>
            <w:tcW w:w="1096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418"/>
        </w:trPr>
        <w:tc>
          <w:tcPr>
            <w:tcW w:w="280" w:type="dxa"/>
            <w:vAlign w:val="bottom"/>
          </w:tcPr>
          <w:p>
            <w:pPr>
              <w:jc w:val="right"/>
              <w:spacing w:after="0"/>
              <w:rPr>
                <w:sz w:val="20"/>
                <w:szCs w:val="20"/>
                <w:color w:val="auto"/>
              </w:rPr>
            </w:pPr>
            <w:r>
              <w:rPr>
                <w:rFonts w:ascii="Arial" w:cs="Arial" w:eastAsia="Arial" w:hAnsi="Arial"/>
                <w:sz w:val="22"/>
                <w:szCs w:val="22"/>
                <w:color w:val="auto"/>
              </w:rPr>
              <w:t>[ ]</w:t>
            </w:r>
          </w:p>
        </w:tc>
        <w:tc>
          <w:tcPr>
            <w:tcW w:w="1096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78"/>
        </w:trPr>
        <w:tc>
          <w:tcPr>
            <w:tcW w:w="280" w:type="dxa"/>
            <w:vAlign w:val="bottom"/>
            <w:tcBorders>
              <w:bottom w:val="single" w:sz="8" w:color="9A9A9A"/>
            </w:tcBorders>
          </w:tcPr>
          <w:p>
            <w:pPr>
              <w:spacing w:after="0"/>
              <w:rPr>
                <w:sz w:val="6"/>
                <w:szCs w:val="6"/>
                <w:color w:val="auto"/>
              </w:rPr>
            </w:pPr>
          </w:p>
        </w:tc>
        <w:tc>
          <w:tcPr>
            <w:tcW w:w="10960" w:type="dxa"/>
            <w:vAlign w:val="bottom"/>
            <w:tcBorders>
              <w:bottom w:val="single" w:sz="8" w:color="9A9A9A"/>
            </w:tcBorders>
          </w:tcPr>
          <w:p>
            <w:pPr>
              <w:spacing w:after="0"/>
              <w:rPr>
                <w:sz w:val="6"/>
                <w:szCs w:val="6"/>
                <w:color w:val="auto"/>
              </w:rPr>
            </w:pPr>
          </w:p>
        </w:tc>
      </w:tr>
      <w:tr>
        <w:trPr>
          <w:trHeight w:val="75"/>
        </w:trPr>
        <w:tc>
          <w:tcPr>
            <w:tcW w:w="280" w:type="dxa"/>
            <w:vAlign w:val="bottom"/>
            <w:tcBorders>
              <w:bottom w:val="single" w:sz="8" w:color="9A9A9A"/>
            </w:tcBorders>
          </w:tcPr>
          <w:p>
            <w:pPr>
              <w:spacing w:after="0"/>
              <w:rPr>
                <w:sz w:val="6"/>
                <w:szCs w:val="6"/>
                <w:color w:val="auto"/>
              </w:rPr>
            </w:pPr>
          </w:p>
        </w:tc>
        <w:tc>
          <w:tcPr>
            <w:tcW w:w="10960" w:type="dxa"/>
            <w:vAlign w:val="bottom"/>
            <w:tcBorders>
              <w:bottom w:val="single" w:sz="8" w:color="9A9A9A"/>
            </w:tcBorders>
          </w:tcPr>
          <w:p>
            <w:pPr>
              <w:spacing w:after="0"/>
              <w:rPr>
                <w:sz w:val="6"/>
                <w:szCs w:val="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-67945</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The following press release was issued by PennantPark Investment Corporation on April 24, 2007:</w:t>
      </w:r>
    </w:p>
    <w:p>
      <w:pPr>
        <w:spacing w:after="0" w:line="200" w:lineRule="exact"/>
        <w:rPr>
          <w:sz w:val="24"/>
          <w:szCs w:val="24"/>
          <w:color w:val="auto"/>
        </w:rPr>
      </w:pPr>
    </w:p>
    <w:p>
      <w:pPr>
        <w:spacing w:after="0" w:line="330" w:lineRule="exact"/>
        <w:rPr>
          <w:sz w:val="24"/>
          <w:szCs w:val="24"/>
          <w:color w:val="auto"/>
        </w:rPr>
      </w:pPr>
    </w:p>
    <w:p>
      <w:pPr>
        <w:ind w:left="3180"/>
        <w:spacing w:after="0"/>
        <w:rPr>
          <w:sz w:val="20"/>
          <w:szCs w:val="20"/>
          <w:color w:val="auto"/>
        </w:rPr>
      </w:pPr>
      <w:r>
        <w:rPr>
          <w:rFonts w:ascii="Arial" w:cs="Arial" w:eastAsia="Arial" w:hAnsi="Arial"/>
          <w:sz w:val="22"/>
          <w:szCs w:val="22"/>
          <w:b w:val="1"/>
          <w:bCs w:val="1"/>
          <w:u w:val="single" w:color="auto"/>
          <w:color w:val="auto"/>
        </w:rPr>
        <w:t>PENNANTPARK INVESTMENT CORPORATION</w:t>
      </w:r>
    </w:p>
    <w:p>
      <w:pPr>
        <w:spacing w:after="0" w:line="14" w:lineRule="exact"/>
        <w:rPr>
          <w:sz w:val="24"/>
          <w:szCs w:val="24"/>
          <w:color w:val="auto"/>
        </w:rPr>
      </w:pPr>
    </w:p>
    <w:p>
      <w:pPr>
        <w:ind w:left="3460"/>
        <w:spacing w:after="0"/>
        <w:rPr>
          <w:sz w:val="20"/>
          <w:szCs w:val="20"/>
          <w:color w:val="auto"/>
        </w:rPr>
      </w:pPr>
      <w:r>
        <w:rPr>
          <w:rFonts w:ascii="Arial" w:cs="Arial" w:eastAsia="Arial" w:hAnsi="Arial"/>
          <w:sz w:val="22"/>
          <w:szCs w:val="22"/>
          <w:b w:val="1"/>
          <w:bCs w:val="1"/>
          <w:u w:val="single" w:color="auto"/>
          <w:color w:val="auto"/>
        </w:rPr>
        <w:t>ANNOUNCES INITIAL PUBLIC OFFERING</w:t>
      </w:r>
    </w:p>
    <w:p>
      <w:pPr>
        <w:spacing w:after="0" w:line="182" w:lineRule="exact"/>
        <w:rPr>
          <w:sz w:val="24"/>
          <w:szCs w:val="24"/>
          <w:color w:val="auto"/>
        </w:rPr>
      </w:pPr>
    </w:p>
    <w:p>
      <w:pPr>
        <w:ind w:right="100"/>
        <w:spacing w:after="0" w:line="234" w:lineRule="auto"/>
        <w:rPr>
          <w:sz w:val="20"/>
          <w:szCs w:val="20"/>
          <w:color w:val="auto"/>
        </w:rPr>
      </w:pPr>
      <w:r>
        <w:rPr>
          <w:rFonts w:ascii="Arial" w:cs="Arial" w:eastAsia="Arial" w:hAnsi="Arial"/>
          <w:sz w:val="22"/>
          <w:szCs w:val="22"/>
          <w:color w:val="auto"/>
        </w:rPr>
        <w:t xml:space="preserve">(New York, April 24, 2007) - PennantPark Investment Corporation ("Company") </w:t>
      </w:r>
      <w:r>
        <w:rPr>
          <w:rFonts w:ascii="Arial" w:cs="Arial" w:eastAsia="Arial" w:hAnsi="Arial"/>
          <w:sz w:val="22"/>
          <w:szCs w:val="22"/>
          <w:b w:val="1"/>
          <w:bCs w:val="1"/>
          <w:color w:val="auto"/>
        </w:rPr>
        <w:t>(NASDAQ GLOBAL MARKET: PNNT )</w:t>
      </w:r>
      <w:r>
        <w:rPr>
          <w:rFonts w:ascii="Arial" w:cs="Arial" w:eastAsia="Arial" w:hAnsi="Arial"/>
          <w:sz w:val="22"/>
          <w:szCs w:val="22"/>
          <w:color w:val="auto"/>
        </w:rPr>
        <w:t xml:space="preserve"> today announced the closing of its initial public offering of 20,000,000 shares on April 24, 2007 at a price of $15.00 per share. The Company is a business development company that invests primarily in U.S. middle-market companies in the form of senior secured loans, mezzanine loans and equity. The underwriters have also been granted an over-allotment option to purchase an additional 3,000,000 shares at the initial public offering price. The joint book-running managers for the initial public offering are Bear, Stearns &amp; Co. Inc., Banc of America Securities LLC, UBS Investment Bank and SunTrust Robinson Humphrey. The co-managers for this offering are Keefe, Bruyette &amp; Woods, Friedman Billings Ramsey, Jefferies &amp; Company and Robert W. Baird &amp; Co.</w:t>
      </w:r>
    </w:p>
    <w:p>
      <w:pPr>
        <w:spacing w:after="0" w:line="193" w:lineRule="exact"/>
        <w:rPr>
          <w:sz w:val="24"/>
          <w:szCs w:val="24"/>
          <w:color w:val="auto"/>
        </w:rPr>
      </w:pPr>
    </w:p>
    <w:p>
      <w:pPr>
        <w:ind w:right="680"/>
        <w:spacing w:after="0" w:line="250" w:lineRule="auto"/>
        <w:rPr>
          <w:sz w:val="20"/>
          <w:szCs w:val="20"/>
          <w:color w:val="auto"/>
        </w:rPr>
      </w:pPr>
      <w:r>
        <w:rPr>
          <w:rFonts w:ascii="Arial" w:cs="Arial" w:eastAsia="Arial" w:hAnsi="Arial"/>
          <w:sz w:val="22"/>
          <w:szCs w:val="22"/>
          <w:color w:val="auto"/>
        </w:rPr>
        <w:t>This announcement does not constitute an offer to sell nor the solicitation of an offer to buy. The offer is made only by the Company's prospectus.</w:t>
      </w:r>
    </w:p>
    <w:p>
      <w:pPr>
        <w:spacing w:after="0" w:line="169" w:lineRule="exact"/>
        <w:rPr>
          <w:sz w:val="24"/>
          <w:szCs w:val="24"/>
          <w:color w:val="auto"/>
        </w:rPr>
      </w:pPr>
    </w:p>
    <w:p>
      <w:pPr>
        <w:ind w:right="240"/>
        <w:spacing w:after="0" w:line="289" w:lineRule="auto"/>
        <w:rPr>
          <w:sz w:val="20"/>
          <w:szCs w:val="20"/>
          <w:color w:val="auto"/>
        </w:rPr>
      </w:pPr>
      <w:r>
        <w:rPr>
          <w:rFonts w:ascii="Arial" w:cs="Arial" w:eastAsia="Arial" w:hAnsi="Arial"/>
          <w:sz w:val="19"/>
          <w:szCs w:val="19"/>
          <w:b w:val="1"/>
          <w:bCs w:val="1"/>
          <w:color w:val="auto"/>
        </w:rPr>
        <w:t>Copies of the Company's prospectus may be obtained in any state from only such of the underwriters as may lawfully offer these securities in compliance with the securities laws of such state. Investors should consider the investment objectives, risks, and charges and expenses of the Company carefully before investing. The prospectus contains this and other information about the Company, and should be read carefully before investing.</w:t>
      </w:r>
    </w:p>
    <w:p>
      <w:pPr>
        <w:sectPr>
          <w:pgSz w:w="11900" w:h="16971" w:orient="portrait"/>
          <w:cols w:equalWidth="0" w:num="1">
            <w:col w:w="11240"/>
          </w:cols>
          <w:pgMar w:left="320" w:top="449" w:right="339" w:bottom="0" w:gutter="0" w:footer="0" w:header="0"/>
        </w:sectPr>
      </w:pPr>
    </w:p>
    <w:bookmarkStart w:id="1" w:name="page2"/>
    <w:bookmarkEnd w:id="1"/>
    <w:p>
      <w:pPr>
        <w:spacing w:after="0"/>
        <w:rPr>
          <w:sz w:val="20"/>
          <w:szCs w:val="20"/>
          <w:color w:val="auto"/>
        </w:rPr>
      </w:pPr>
      <w:r>
        <w:rPr>
          <w:rFonts w:ascii="Arial" w:cs="Arial" w:eastAsia="Arial" w:hAnsi="Arial"/>
          <w:sz w:val="19"/>
          <w:szCs w:val="19"/>
          <w:color w:val="auto"/>
        </w:rPr>
        <w:t>If you wish to receive additional information about the offering, please contact Aviv Efrat, Chief Financial Officer, 445 Park</w:t>
      </w:r>
    </w:p>
    <w:p>
      <w:pPr>
        <w:spacing w:after="0" w:line="48" w:lineRule="exact"/>
        <w:rPr>
          <w:sz w:val="20"/>
          <w:szCs w:val="20"/>
          <w:color w:val="auto"/>
        </w:rPr>
      </w:pPr>
    </w:p>
    <w:p>
      <w:pPr>
        <w:spacing w:after="0" w:line="200" w:lineRule="auto"/>
        <w:rPr>
          <w:sz w:val="20"/>
          <w:szCs w:val="20"/>
          <w:color w:val="auto"/>
        </w:rPr>
      </w:pPr>
      <w:r>
        <w:rPr>
          <w:rFonts w:ascii="Arial" w:cs="Arial" w:eastAsia="Arial" w:hAnsi="Arial"/>
          <w:sz w:val="22"/>
          <w:szCs w:val="22"/>
          <w:color w:val="auto"/>
        </w:rPr>
        <w:t>Avenue, 10</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 New York, NY 10022. To learn more about the Company, please visit us on our website at </w:t>
      </w:r>
      <w:r>
        <w:rPr>
          <w:rFonts w:ascii="Arial" w:cs="Arial" w:eastAsia="Arial" w:hAnsi="Arial"/>
          <w:sz w:val="22"/>
          <w:szCs w:val="22"/>
          <w:i w:val="1"/>
          <w:iCs w:val="1"/>
          <w:color w:val="auto"/>
        </w:rPr>
        <w:t>http://www.pennantpark.com.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This press release may contain "forward-looking statements." All statements other than statements of historical facts included in this press release are forward-looking statements. All forward-looking statements speak only as of the date of this press release. Information or factors which could impact the Company and the forward-looking statements contained in this press release are included in the Company's filings with Securities and Exchange Commission. We assume no obligation to update or supplement forward-looking statements that become untrue because of subsequent events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8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-13970</wp:posOffset>
            </wp:positionV>
            <wp:extent cx="1765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65300" cy="8255"/>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color w:val="auto"/>
        </w:rPr>
        <w:t>(Signature)</w:t>
      </w:r>
    </w:p>
    <w:p>
      <w:pPr>
        <w:spacing w:after="0" w:line="219" w:lineRule="exact"/>
        <w:rPr>
          <w:sz w:val="20"/>
          <w:szCs w:val="20"/>
          <w:color w:val="auto"/>
        </w:rPr>
      </w:pPr>
    </w:p>
    <w:p>
      <w:pPr>
        <w:ind w:left="4880"/>
        <w:spacing w:after="0"/>
        <w:tabs>
          <w:tab w:leader="none" w:pos="5300" w:val="left"/>
        </w:tabs>
        <w:rPr>
          <w:sz w:val="20"/>
          <w:szCs w:val="20"/>
          <w:color w:val="auto"/>
        </w:rPr>
      </w:pPr>
      <w:r>
        <w:rPr>
          <w:rFonts w:ascii="Arial" w:cs="Arial" w:eastAsia="Arial" w:hAnsi="Arial"/>
          <w:sz w:val="18"/>
          <w:szCs w:val="18"/>
          <w:color w:val="auto"/>
        </w:rPr>
        <w:t>By:</w:t>
        <w:tab/>
        <w:t>Aviv Efrat</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Date: April 26, 2007</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2020-05-05T15:06:38Z</dcterms:created>
  <dcterms:modified xsi:type="dcterms:W3CDTF">2020-05-05T15:06:38Z</dcterms:modified>
</cp:coreProperties>
</file>