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November 21,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November 21, 2019, PennantPark Investment Corporation issued a press release announcing its financial results for the fourth quarter and fiscal year ended September 30, 2019. A copy of the press release is furnished as Exhibit 99.1 to this report pursuant to Item 2.02 on Form 8-K and Regulation FD.</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 forma financial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Shell company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8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Investment Corporation dated November 21,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740" w:type="dxa"/>
            <w:vAlign w:val="bottom"/>
            <w:gridSpan w:val="3"/>
          </w:tcPr>
          <w:p>
            <w:pPr>
              <w:ind w:left="180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660" w:type="dxa"/>
            <w:vAlign w:val="bottom"/>
          </w:tcPr>
          <w:p>
            <w:pPr>
              <w:spacing w:after="0"/>
              <w:rPr>
                <w:sz w:val="20"/>
                <w:szCs w:val="20"/>
                <w:color w:val="auto"/>
              </w:rPr>
            </w:pPr>
            <w:r>
              <w:rPr>
                <w:rFonts w:ascii="Arial" w:cs="Arial" w:eastAsia="Arial" w:hAnsi="Arial"/>
                <w:sz w:val="18"/>
                <w:szCs w:val="18"/>
                <w:color w:val="auto"/>
              </w:rPr>
              <w:t>Date: November 21, 2019</w:t>
            </w:r>
          </w:p>
        </w:tc>
        <w:tc>
          <w:tcPr>
            <w:tcW w:w="4740" w:type="dxa"/>
            <w:vAlign w:val="bottom"/>
            <w:gridSpan w:val="3"/>
          </w:tcPr>
          <w:p>
            <w:pPr>
              <w:ind w:left="1800"/>
              <w:spacing w:after="0"/>
              <w:rPr>
                <w:sz w:val="20"/>
                <w:szCs w:val="20"/>
                <w:color w:val="auto"/>
              </w:rPr>
            </w:pPr>
            <w:r>
              <w:rPr>
                <w:rFonts w:ascii="Arial" w:cs="Arial" w:eastAsia="Arial" w:hAnsi="Arial"/>
                <w:sz w:val="18"/>
                <w:szCs w:val="18"/>
                <w:color w:val="auto"/>
              </w:rPr>
              <w:t>By: /s/ Aviv Efrat</w:t>
            </w:r>
          </w:p>
        </w:tc>
      </w:tr>
      <w:tr>
        <w:trPr>
          <w:trHeight w:val="222"/>
        </w:trPr>
        <w:tc>
          <w:tcPr>
            <w:tcW w:w="36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PennantPark Investment Corporation Announces Financial Results for the Fourth Quarter and Fiscal Year Ended September 30, 2019</w:t>
      </w:r>
    </w:p>
    <w:p>
      <w:pPr>
        <w:spacing w:after="0" w:line="168"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NEW YORK, Nov. 21, 2019 (GLOBE NEWSWIRE) -- PennantPark Investment Corporation (NASDAQ: PNNT) announced today financial results for the fourth quarter and fiscal year ended September 30, 2019.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340" w:type="dxa"/>
            <w:vAlign w:val="bottom"/>
          </w:tcPr>
          <w:p>
            <w:pPr>
              <w:spacing w:after="0"/>
              <w:rPr>
                <w:sz w:val="20"/>
                <w:szCs w:val="20"/>
                <w:color w:val="auto"/>
              </w:rPr>
            </w:pPr>
            <w:r>
              <w:rPr>
                <w:rFonts w:ascii="Arial" w:cs="Arial" w:eastAsia="Arial" w:hAnsi="Arial"/>
                <w:sz w:val="22"/>
                <w:szCs w:val="22"/>
                <w:b w:val="1"/>
                <w:bCs w:val="1"/>
                <w:color w:val="auto"/>
              </w:rPr>
              <w:t>HIGHLIGHTS</w:t>
            </w:r>
          </w:p>
        </w:tc>
        <w:tc>
          <w:tcPr>
            <w:tcW w:w="3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68"/>
        </w:trPr>
        <w:tc>
          <w:tcPr>
            <w:tcW w:w="6340" w:type="dxa"/>
            <w:vAlign w:val="bottom"/>
          </w:tcPr>
          <w:p>
            <w:pPr>
              <w:ind w:left="20"/>
              <w:spacing w:after="0"/>
              <w:rPr>
                <w:sz w:val="20"/>
                <w:szCs w:val="20"/>
                <w:color w:val="auto"/>
              </w:rPr>
            </w:pPr>
            <w:r>
              <w:rPr>
                <w:rFonts w:ascii="Arial" w:cs="Arial" w:eastAsia="Arial" w:hAnsi="Arial"/>
                <w:sz w:val="22"/>
                <w:szCs w:val="22"/>
                <w:color w:val="auto"/>
              </w:rPr>
              <w:t>Quarter ended September 30, 2019</w:t>
            </w:r>
          </w:p>
        </w:tc>
        <w:tc>
          <w:tcPr>
            <w:tcW w:w="3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4"/>
        </w:trPr>
        <w:tc>
          <w:tcPr>
            <w:tcW w:w="6340" w:type="dxa"/>
            <w:vAlign w:val="bottom"/>
          </w:tcPr>
          <w:p>
            <w:pPr>
              <w:ind w:left="20"/>
              <w:spacing w:after="0"/>
              <w:rPr>
                <w:sz w:val="20"/>
                <w:szCs w:val="20"/>
                <w:color w:val="auto"/>
              </w:rPr>
            </w:pPr>
            <w:r>
              <w:rPr>
                <w:rFonts w:ascii="Arial" w:cs="Arial" w:eastAsia="Arial" w:hAnsi="Arial"/>
                <w:sz w:val="22"/>
                <w:szCs w:val="22"/>
                <w:color w:val="auto"/>
              </w:rPr>
              <w:t>($ in millions, except per share amounts)</w:t>
            </w:r>
          </w:p>
        </w:tc>
        <w:tc>
          <w:tcPr>
            <w:tcW w:w="34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536"/>
        </w:trPr>
        <w:tc>
          <w:tcPr>
            <w:tcW w:w="6340" w:type="dxa"/>
            <w:vAlign w:val="bottom"/>
          </w:tcPr>
          <w:p>
            <w:pPr>
              <w:ind w:left="20"/>
              <w:spacing w:after="0"/>
              <w:rPr>
                <w:sz w:val="20"/>
                <w:szCs w:val="20"/>
                <w:color w:val="auto"/>
              </w:rPr>
            </w:pPr>
            <w:r>
              <w:rPr>
                <w:rFonts w:ascii="Arial" w:cs="Arial" w:eastAsia="Arial" w:hAnsi="Arial"/>
                <w:sz w:val="22"/>
                <w:szCs w:val="22"/>
                <w:color w:val="auto"/>
              </w:rPr>
              <w:t>Assets and Liabilities:</w:t>
            </w:r>
          </w:p>
        </w:tc>
        <w:tc>
          <w:tcPr>
            <w:tcW w:w="3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6340" w:type="dxa"/>
            <w:vAlign w:val="bottom"/>
          </w:tcPr>
          <w:p>
            <w:pPr>
              <w:ind w:left="140"/>
              <w:spacing w:after="0"/>
              <w:rPr>
                <w:sz w:val="20"/>
                <w:szCs w:val="20"/>
                <w:color w:val="auto"/>
              </w:rPr>
            </w:pPr>
            <w:r>
              <w:rPr>
                <w:rFonts w:ascii="Arial" w:cs="Arial" w:eastAsia="Arial" w:hAnsi="Arial"/>
                <w:sz w:val="22"/>
                <w:szCs w:val="22"/>
                <w:color w:val="auto"/>
              </w:rPr>
              <w:t>Investment portfolio</w:t>
            </w:r>
          </w:p>
        </w:tc>
        <w:tc>
          <w:tcPr>
            <w:tcW w:w="3400" w:type="dxa"/>
            <w:vAlign w:val="bottom"/>
          </w:tcPr>
          <w:p>
            <w:pPr>
              <w:jc w:val="right"/>
              <w:ind w:right="392"/>
              <w:spacing w:after="0"/>
              <w:rPr>
                <w:sz w:val="20"/>
                <w:szCs w:val="20"/>
                <w:color w:val="auto"/>
              </w:rPr>
            </w:pPr>
            <w:r>
              <w:rPr>
                <w:rFonts w:ascii="Arial" w:cs="Arial" w:eastAsia="Arial" w:hAnsi="Arial"/>
                <w:sz w:val="22"/>
                <w:szCs w:val="22"/>
                <w:color w:val="auto"/>
              </w:rPr>
              <w:t>$</w:t>
            </w:r>
          </w:p>
        </w:tc>
        <w:tc>
          <w:tcPr>
            <w:tcW w:w="1480" w:type="dxa"/>
            <w:vAlign w:val="bottom"/>
          </w:tcPr>
          <w:p>
            <w:pPr>
              <w:jc w:val="right"/>
              <w:ind w:right="92"/>
              <w:spacing w:after="0"/>
              <w:rPr>
                <w:sz w:val="20"/>
                <w:szCs w:val="20"/>
                <w:color w:val="auto"/>
              </w:rPr>
            </w:pPr>
            <w:r>
              <w:rPr>
                <w:rFonts w:ascii="Arial" w:cs="Arial" w:eastAsia="Arial" w:hAnsi="Arial"/>
                <w:sz w:val="22"/>
                <w:szCs w:val="22"/>
                <w:color w:val="auto"/>
              </w:rPr>
              <w:t>1,219.40</w:t>
            </w:r>
          </w:p>
        </w:tc>
      </w:tr>
      <w:tr>
        <w:trPr>
          <w:trHeight w:val="270"/>
        </w:trPr>
        <w:tc>
          <w:tcPr>
            <w:tcW w:w="6340" w:type="dxa"/>
            <w:vAlign w:val="bottom"/>
          </w:tcPr>
          <w:p>
            <w:pPr>
              <w:ind w:left="140"/>
              <w:spacing w:after="0"/>
              <w:rPr>
                <w:sz w:val="20"/>
                <w:szCs w:val="20"/>
                <w:color w:val="auto"/>
              </w:rPr>
            </w:pPr>
            <w:r>
              <w:rPr>
                <w:rFonts w:ascii="Arial" w:cs="Arial" w:eastAsia="Arial" w:hAnsi="Arial"/>
                <w:sz w:val="22"/>
                <w:szCs w:val="22"/>
                <w:color w:val="auto"/>
              </w:rPr>
              <w:t>Net assets</w:t>
            </w:r>
          </w:p>
        </w:tc>
        <w:tc>
          <w:tcPr>
            <w:tcW w:w="3400" w:type="dxa"/>
            <w:vAlign w:val="bottom"/>
          </w:tcPr>
          <w:p>
            <w:pPr>
              <w:jc w:val="right"/>
              <w:ind w:right="392"/>
              <w:spacing w:after="0"/>
              <w:rPr>
                <w:sz w:val="20"/>
                <w:szCs w:val="20"/>
                <w:color w:val="auto"/>
              </w:rPr>
            </w:pPr>
            <w:r>
              <w:rPr>
                <w:rFonts w:ascii="Arial" w:cs="Arial" w:eastAsia="Arial" w:hAnsi="Arial"/>
                <w:sz w:val="22"/>
                <w:szCs w:val="22"/>
                <w:color w:val="auto"/>
              </w:rPr>
              <w:t>$</w:t>
            </w:r>
          </w:p>
        </w:tc>
        <w:tc>
          <w:tcPr>
            <w:tcW w:w="1480" w:type="dxa"/>
            <w:vAlign w:val="bottom"/>
          </w:tcPr>
          <w:p>
            <w:pPr>
              <w:jc w:val="right"/>
              <w:ind w:right="92"/>
              <w:spacing w:after="0"/>
              <w:rPr>
                <w:sz w:val="20"/>
                <w:szCs w:val="20"/>
                <w:color w:val="auto"/>
              </w:rPr>
            </w:pPr>
            <w:r>
              <w:rPr>
                <w:rFonts w:ascii="Arial" w:cs="Arial" w:eastAsia="Arial" w:hAnsi="Arial"/>
                <w:sz w:val="22"/>
                <w:szCs w:val="22"/>
                <w:color w:val="auto"/>
              </w:rPr>
              <w:t>581.9</w:t>
            </w:r>
          </w:p>
        </w:tc>
      </w:tr>
      <w:tr>
        <w:trPr>
          <w:trHeight w:val="274"/>
        </w:trPr>
        <w:tc>
          <w:tcPr>
            <w:tcW w:w="6340" w:type="dxa"/>
            <w:vAlign w:val="bottom"/>
          </w:tcPr>
          <w:p>
            <w:pPr>
              <w:ind w:left="140"/>
              <w:spacing w:after="0"/>
              <w:rPr>
                <w:sz w:val="20"/>
                <w:szCs w:val="20"/>
                <w:color w:val="auto"/>
              </w:rPr>
            </w:pPr>
            <w:r>
              <w:rPr>
                <w:rFonts w:ascii="Arial" w:cs="Arial" w:eastAsia="Arial" w:hAnsi="Arial"/>
                <w:sz w:val="22"/>
                <w:szCs w:val="22"/>
                <w:color w:val="auto"/>
              </w:rPr>
              <w:t>Net asset value per share</w:t>
            </w:r>
          </w:p>
        </w:tc>
        <w:tc>
          <w:tcPr>
            <w:tcW w:w="3400" w:type="dxa"/>
            <w:vAlign w:val="bottom"/>
          </w:tcPr>
          <w:p>
            <w:pPr>
              <w:jc w:val="right"/>
              <w:ind w:right="392"/>
              <w:spacing w:after="0"/>
              <w:rPr>
                <w:sz w:val="20"/>
                <w:szCs w:val="20"/>
                <w:color w:val="auto"/>
              </w:rPr>
            </w:pPr>
            <w:r>
              <w:rPr>
                <w:rFonts w:ascii="Arial" w:cs="Arial" w:eastAsia="Arial" w:hAnsi="Arial"/>
                <w:sz w:val="22"/>
                <w:szCs w:val="22"/>
                <w:color w:val="auto"/>
              </w:rPr>
              <w:t>$</w:t>
            </w:r>
          </w:p>
        </w:tc>
        <w:tc>
          <w:tcPr>
            <w:tcW w:w="1480" w:type="dxa"/>
            <w:vAlign w:val="bottom"/>
          </w:tcPr>
          <w:p>
            <w:pPr>
              <w:jc w:val="right"/>
              <w:ind w:right="92"/>
              <w:spacing w:after="0"/>
              <w:rPr>
                <w:sz w:val="20"/>
                <w:szCs w:val="20"/>
                <w:color w:val="auto"/>
              </w:rPr>
            </w:pPr>
            <w:r>
              <w:rPr>
                <w:rFonts w:ascii="Arial" w:cs="Arial" w:eastAsia="Arial" w:hAnsi="Arial"/>
                <w:sz w:val="22"/>
                <w:szCs w:val="22"/>
                <w:color w:val="auto"/>
              </w:rPr>
              <w:t>8.68</w:t>
            </w:r>
          </w:p>
        </w:tc>
      </w:tr>
      <w:tr>
        <w:trPr>
          <w:trHeight w:val="536"/>
        </w:trPr>
        <w:tc>
          <w:tcPr>
            <w:tcW w:w="6340" w:type="dxa"/>
            <w:vAlign w:val="bottom"/>
          </w:tcPr>
          <w:p>
            <w:pPr>
              <w:ind w:left="140"/>
              <w:spacing w:after="0"/>
              <w:rPr>
                <w:sz w:val="20"/>
                <w:szCs w:val="20"/>
                <w:color w:val="auto"/>
              </w:rPr>
            </w:pPr>
            <w:r>
              <w:rPr>
                <w:rFonts w:ascii="Arial" w:cs="Arial" w:eastAsia="Arial" w:hAnsi="Arial"/>
                <w:sz w:val="22"/>
                <w:szCs w:val="22"/>
                <w:color w:val="auto"/>
              </w:rPr>
              <w:t>BNP Credit Facility</w:t>
            </w:r>
          </w:p>
        </w:tc>
        <w:tc>
          <w:tcPr>
            <w:tcW w:w="3400" w:type="dxa"/>
            <w:vAlign w:val="bottom"/>
          </w:tcPr>
          <w:p>
            <w:pPr>
              <w:jc w:val="right"/>
              <w:ind w:right="392"/>
              <w:spacing w:after="0"/>
              <w:rPr>
                <w:sz w:val="20"/>
                <w:szCs w:val="20"/>
                <w:color w:val="auto"/>
              </w:rPr>
            </w:pPr>
            <w:r>
              <w:rPr>
                <w:rFonts w:ascii="Arial" w:cs="Arial" w:eastAsia="Arial" w:hAnsi="Arial"/>
                <w:sz w:val="22"/>
                <w:szCs w:val="22"/>
                <w:color w:val="auto"/>
              </w:rPr>
              <w:t>$</w:t>
            </w:r>
          </w:p>
        </w:tc>
        <w:tc>
          <w:tcPr>
            <w:tcW w:w="1480" w:type="dxa"/>
            <w:vAlign w:val="bottom"/>
          </w:tcPr>
          <w:p>
            <w:pPr>
              <w:jc w:val="right"/>
              <w:ind w:right="92"/>
              <w:spacing w:after="0"/>
              <w:rPr>
                <w:sz w:val="20"/>
                <w:szCs w:val="20"/>
                <w:color w:val="auto"/>
              </w:rPr>
            </w:pPr>
            <w:r>
              <w:rPr>
                <w:rFonts w:ascii="Arial" w:cs="Arial" w:eastAsia="Arial" w:hAnsi="Arial"/>
                <w:sz w:val="22"/>
                <w:szCs w:val="22"/>
                <w:color w:val="auto"/>
              </w:rPr>
              <w:t>170.1</w:t>
            </w:r>
          </w:p>
        </w:tc>
      </w:tr>
      <w:tr>
        <w:trPr>
          <w:trHeight w:val="270"/>
        </w:trPr>
        <w:tc>
          <w:tcPr>
            <w:tcW w:w="6340" w:type="dxa"/>
            <w:vAlign w:val="bottom"/>
          </w:tcPr>
          <w:p>
            <w:pPr>
              <w:ind w:left="140"/>
              <w:spacing w:after="0"/>
              <w:rPr>
                <w:sz w:val="20"/>
                <w:szCs w:val="20"/>
                <w:color w:val="auto"/>
              </w:rPr>
            </w:pPr>
            <w:r>
              <w:rPr>
                <w:rFonts w:ascii="Arial" w:cs="Arial" w:eastAsia="Arial" w:hAnsi="Arial"/>
                <w:sz w:val="22"/>
                <w:szCs w:val="22"/>
                <w:color w:val="auto"/>
              </w:rPr>
              <w:t>SunTrust Credit Facility</w:t>
            </w:r>
          </w:p>
        </w:tc>
        <w:tc>
          <w:tcPr>
            <w:tcW w:w="3400" w:type="dxa"/>
            <w:vAlign w:val="bottom"/>
          </w:tcPr>
          <w:p>
            <w:pPr>
              <w:jc w:val="right"/>
              <w:ind w:right="392"/>
              <w:spacing w:after="0"/>
              <w:rPr>
                <w:sz w:val="20"/>
                <w:szCs w:val="20"/>
                <w:color w:val="auto"/>
              </w:rPr>
            </w:pPr>
            <w:r>
              <w:rPr>
                <w:rFonts w:ascii="Arial" w:cs="Arial" w:eastAsia="Arial" w:hAnsi="Arial"/>
                <w:sz w:val="22"/>
                <w:szCs w:val="22"/>
                <w:color w:val="auto"/>
              </w:rPr>
              <w:t>$</w:t>
            </w:r>
          </w:p>
        </w:tc>
        <w:tc>
          <w:tcPr>
            <w:tcW w:w="1480" w:type="dxa"/>
            <w:vAlign w:val="bottom"/>
          </w:tcPr>
          <w:p>
            <w:pPr>
              <w:jc w:val="right"/>
              <w:ind w:right="92"/>
              <w:spacing w:after="0"/>
              <w:rPr>
                <w:sz w:val="20"/>
                <w:szCs w:val="20"/>
                <w:color w:val="auto"/>
              </w:rPr>
            </w:pPr>
            <w:r>
              <w:rPr>
                <w:rFonts w:ascii="Arial" w:cs="Arial" w:eastAsia="Arial" w:hAnsi="Arial"/>
                <w:sz w:val="22"/>
                <w:szCs w:val="22"/>
                <w:color w:val="auto"/>
              </w:rPr>
              <w:t>295.2</w:t>
            </w:r>
          </w:p>
        </w:tc>
      </w:tr>
      <w:tr>
        <w:trPr>
          <w:trHeight w:val="270"/>
        </w:trPr>
        <w:tc>
          <w:tcPr>
            <w:tcW w:w="6340" w:type="dxa"/>
            <w:vAlign w:val="bottom"/>
          </w:tcPr>
          <w:p>
            <w:pPr>
              <w:ind w:left="140"/>
              <w:spacing w:after="0"/>
              <w:rPr>
                <w:sz w:val="20"/>
                <w:szCs w:val="20"/>
                <w:color w:val="auto"/>
              </w:rPr>
            </w:pPr>
            <w:r>
              <w:rPr>
                <w:rFonts w:ascii="Arial" w:cs="Arial" w:eastAsia="Arial" w:hAnsi="Arial"/>
                <w:sz w:val="22"/>
                <w:szCs w:val="22"/>
                <w:color w:val="auto"/>
              </w:rPr>
              <w:t>2024 Notes</w:t>
            </w:r>
          </w:p>
        </w:tc>
        <w:tc>
          <w:tcPr>
            <w:tcW w:w="3400" w:type="dxa"/>
            <w:vAlign w:val="bottom"/>
          </w:tcPr>
          <w:p>
            <w:pPr>
              <w:jc w:val="right"/>
              <w:ind w:right="392"/>
              <w:spacing w:after="0"/>
              <w:rPr>
                <w:sz w:val="20"/>
                <w:szCs w:val="20"/>
                <w:color w:val="auto"/>
              </w:rPr>
            </w:pPr>
            <w:r>
              <w:rPr>
                <w:rFonts w:ascii="Arial" w:cs="Arial" w:eastAsia="Arial" w:hAnsi="Arial"/>
                <w:sz w:val="22"/>
                <w:szCs w:val="22"/>
                <w:color w:val="auto"/>
              </w:rPr>
              <w:t>$</w:t>
            </w:r>
          </w:p>
        </w:tc>
        <w:tc>
          <w:tcPr>
            <w:tcW w:w="1480" w:type="dxa"/>
            <w:vAlign w:val="bottom"/>
          </w:tcPr>
          <w:p>
            <w:pPr>
              <w:jc w:val="right"/>
              <w:ind w:right="92"/>
              <w:spacing w:after="0"/>
              <w:rPr>
                <w:sz w:val="20"/>
                <w:szCs w:val="20"/>
                <w:color w:val="auto"/>
              </w:rPr>
            </w:pPr>
            <w:r>
              <w:rPr>
                <w:rFonts w:ascii="Arial" w:cs="Arial" w:eastAsia="Arial" w:hAnsi="Arial"/>
                <w:sz w:val="22"/>
                <w:szCs w:val="22"/>
                <w:color w:val="auto"/>
              </w:rPr>
              <w:t>72.3</w:t>
            </w:r>
          </w:p>
        </w:tc>
      </w:tr>
      <w:tr>
        <w:trPr>
          <w:trHeight w:val="274"/>
        </w:trPr>
        <w:tc>
          <w:tcPr>
            <w:tcW w:w="6340" w:type="dxa"/>
            <w:vAlign w:val="bottom"/>
          </w:tcPr>
          <w:p>
            <w:pPr>
              <w:ind w:left="140"/>
              <w:spacing w:after="0"/>
              <w:rPr>
                <w:sz w:val="20"/>
                <w:szCs w:val="20"/>
                <w:color w:val="auto"/>
              </w:rPr>
            </w:pPr>
            <w:r>
              <w:rPr>
                <w:rFonts w:ascii="Arial" w:cs="Arial" w:eastAsia="Arial" w:hAnsi="Arial"/>
                <w:sz w:val="22"/>
                <w:szCs w:val="22"/>
                <w:color w:val="auto"/>
              </w:rPr>
              <w:t>SBA Debentures</w:t>
            </w:r>
          </w:p>
        </w:tc>
        <w:tc>
          <w:tcPr>
            <w:tcW w:w="3400" w:type="dxa"/>
            <w:vAlign w:val="bottom"/>
          </w:tcPr>
          <w:p>
            <w:pPr>
              <w:jc w:val="right"/>
              <w:ind w:right="392"/>
              <w:spacing w:after="0"/>
              <w:rPr>
                <w:sz w:val="20"/>
                <w:szCs w:val="20"/>
                <w:color w:val="auto"/>
              </w:rPr>
            </w:pPr>
            <w:r>
              <w:rPr>
                <w:rFonts w:ascii="Arial" w:cs="Arial" w:eastAsia="Arial" w:hAnsi="Arial"/>
                <w:sz w:val="22"/>
                <w:szCs w:val="22"/>
                <w:color w:val="auto"/>
              </w:rPr>
              <w:t>$</w:t>
            </w:r>
          </w:p>
        </w:tc>
        <w:tc>
          <w:tcPr>
            <w:tcW w:w="1480" w:type="dxa"/>
            <w:vAlign w:val="bottom"/>
          </w:tcPr>
          <w:p>
            <w:pPr>
              <w:jc w:val="right"/>
              <w:ind w:right="92"/>
              <w:spacing w:after="0"/>
              <w:rPr>
                <w:sz w:val="20"/>
                <w:szCs w:val="20"/>
                <w:color w:val="auto"/>
              </w:rPr>
            </w:pPr>
            <w:r>
              <w:rPr>
                <w:rFonts w:ascii="Arial" w:cs="Arial" w:eastAsia="Arial" w:hAnsi="Arial"/>
                <w:sz w:val="22"/>
                <w:szCs w:val="22"/>
                <w:color w:val="auto"/>
              </w:rPr>
              <w:t>146.1</w:t>
            </w:r>
          </w:p>
        </w:tc>
      </w:tr>
      <w:tr>
        <w:trPr>
          <w:trHeight w:val="540"/>
        </w:trPr>
        <w:tc>
          <w:tcPr>
            <w:tcW w:w="6340" w:type="dxa"/>
            <w:vAlign w:val="bottom"/>
          </w:tcPr>
          <w:p>
            <w:pPr>
              <w:ind w:left="20"/>
              <w:spacing w:after="0"/>
              <w:rPr>
                <w:sz w:val="20"/>
                <w:szCs w:val="20"/>
                <w:color w:val="auto"/>
              </w:rPr>
            </w:pPr>
            <w:r>
              <w:rPr>
                <w:rFonts w:ascii="Arial" w:cs="Arial" w:eastAsia="Arial" w:hAnsi="Arial"/>
                <w:sz w:val="22"/>
                <w:szCs w:val="22"/>
                <w:color w:val="auto"/>
              </w:rPr>
              <w:t>Yield on debt investments at quarter-end</w:t>
            </w:r>
          </w:p>
        </w:tc>
        <w:tc>
          <w:tcPr>
            <w:tcW w:w="34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6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0" w:type="dxa"/>
            <w:vAlign w:val="bottom"/>
            <w:gridSpan w:val="2"/>
          </w:tcPr>
          <w:p>
            <w:pPr>
              <w:jc w:val="center"/>
              <w:ind w:right="640"/>
              <w:spacing w:after="0"/>
              <w:rPr>
                <w:sz w:val="20"/>
                <w:szCs w:val="20"/>
                <w:color w:val="auto"/>
              </w:rPr>
            </w:pPr>
            <w:r>
              <w:rPr>
                <w:rFonts w:ascii="Arial" w:cs="Arial" w:eastAsia="Arial" w:hAnsi="Arial"/>
                <w:sz w:val="22"/>
                <w:szCs w:val="22"/>
                <w:b w:val="1"/>
                <w:bCs w:val="1"/>
                <w:color w:val="auto"/>
                <w:w w:val="91"/>
              </w:rPr>
              <w:t>Quarter Ended</w:t>
            </w:r>
          </w:p>
        </w:tc>
        <w:tc>
          <w:tcPr>
            <w:tcW w:w="260" w:type="dxa"/>
            <w:vAlign w:val="bottom"/>
          </w:tcPr>
          <w:p>
            <w:pPr>
              <w:spacing w:after="0"/>
              <w:rPr>
                <w:sz w:val="21"/>
                <w:szCs w:val="21"/>
                <w:color w:val="auto"/>
              </w:rPr>
            </w:pPr>
          </w:p>
        </w:tc>
        <w:tc>
          <w:tcPr>
            <w:tcW w:w="1620" w:type="dxa"/>
            <w:vAlign w:val="bottom"/>
          </w:tcPr>
          <w:p>
            <w:pPr>
              <w:jc w:val="right"/>
              <w:ind w:right="292"/>
              <w:spacing w:after="0"/>
              <w:rPr>
                <w:sz w:val="20"/>
                <w:szCs w:val="20"/>
                <w:color w:val="auto"/>
              </w:rPr>
            </w:pPr>
            <w:r>
              <w:rPr>
                <w:rFonts w:ascii="Arial" w:cs="Arial" w:eastAsia="Arial" w:hAnsi="Arial"/>
                <w:sz w:val="22"/>
                <w:szCs w:val="22"/>
                <w:b w:val="1"/>
                <w:bCs w:val="1"/>
                <w:color w:val="auto"/>
                <w:w w:val="99"/>
              </w:rPr>
              <w:t>Year Ended</w:t>
            </w:r>
          </w:p>
        </w:tc>
      </w:tr>
      <w:tr>
        <w:trPr>
          <w:trHeight w:val="280"/>
        </w:trPr>
        <w:tc>
          <w:tcPr>
            <w:tcW w:w="6740" w:type="dxa"/>
            <w:vAlign w:val="bottom"/>
          </w:tcPr>
          <w:p>
            <w:pPr>
              <w:spacing w:after="0"/>
              <w:rPr>
                <w:sz w:val="24"/>
                <w:szCs w:val="24"/>
                <w:color w:val="auto"/>
              </w:rPr>
            </w:pPr>
          </w:p>
        </w:tc>
        <w:tc>
          <w:tcPr>
            <w:tcW w:w="2380" w:type="dxa"/>
            <w:vAlign w:val="bottom"/>
            <w:gridSpan w:val="3"/>
          </w:tcPr>
          <w:p>
            <w:pPr>
              <w:jc w:val="center"/>
              <w:ind w:right="460"/>
              <w:spacing w:after="0"/>
              <w:rPr>
                <w:sz w:val="20"/>
                <w:szCs w:val="20"/>
                <w:color w:val="auto"/>
              </w:rPr>
            </w:pPr>
            <w:r>
              <w:rPr>
                <w:rFonts w:ascii="Arial" w:cs="Arial" w:eastAsia="Arial" w:hAnsi="Arial"/>
                <w:sz w:val="22"/>
                <w:szCs w:val="22"/>
                <w:b w:val="1"/>
                <w:bCs w:val="1"/>
                <w:color w:val="auto"/>
                <w:w w:val="87"/>
              </w:rPr>
              <w:t>September 30, 2019</w:t>
            </w:r>
          </w:p>
        </w:tc>
        <w:tc>
          <w:tcPr>
            <w:tcW w:w="1880" w:type="dxa"/>
            <w:vAlign w:val="bottom"/>
            <w:gridSpan w:val="2"/>
          </w:tcPr>
          <w:p>
            <w:pPr>
              <w:jc w:val="right"/>
              <w:spacing w:after="0"/>
              <w:rPr>
                <w:sz w:val="20"/>
                <w:szCs w:val="20"/>
                <w:color w:val="auto"/>
              </w:rPr>
            </w:pPr>
            <w:r>
              <w:rPr>
                <w:rFonts w:ascii="Arial" w:cs="Arial" w:eastAsia="Arial" w:hAnsi="Arial"/>
                <w:sz w:val="22"/>
                <w:szCs w:val="22"/>
                <w:b w:val="1"/>
                <w:bCs w:val="1"/>
                <w:color w:val="auto"/>
                <w:w w:val="88"/>
              </w:rPr>
              <w:t>September 30, 2019</w:t>
            </w:r>
          </w:p>
        </w:tc>
      </w:tr>
      <w:tr>
        <w:trPr>
          <w:trHeight w:val="259"/>
        </w:trPr>
        <w:tc>
          <w:tcPr>
            <w:tcW w:w="6740" w:type="dxa"/>
            <w:vAlign w:val="bottom"/>
          </w:tcPr>
          <w:p>
            <w:pPr>
              <w:spacing w:after="0"/>
              <w:rPr>
                <w:sz w:val="20"/>
                <w:szCs w:val="20"/>
                <w:color w:val="auto"/>
              </w:rPr>
            </w:pPr>
            <w:r>
              <w:rPr>
                <w:rFonts w:ascii="Arial" w:cs="Arial" w:eastAsia="Arial" w:hAnsi="Arial"/>
                <w:sz w:val="22"/>
                <w:szCs w:val="22"/>
                <w:color w:val="auto"/>
              </w:rPr>
              <w:t>Operating Results:</w:t>
            </w:r>
          </w:p>
        </w:tc>
        <w:tc>
          <w:tcPr>
            <w:tcW w:w="18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r>
      <w:tr>
        <w:trPr>
          <w:trHeight w:val="270"/>
        </w:trPr>
        <w:tc>
          <w:tcPr>
            <w:tcW w:w="6740" w:type="dxa"/>
            <w:vAlign w:val="bottom"/>
          </w:tcPr>
          <w:p>
            <w:pPr>
              <w:ind w:left="120"/>
              <w:spacing w:after="0"/>
              <w:rPr>
                <w:sz w:val="20"/>
                <w:szCs w:val="20"/>
                <w:color w:val="auto"/>
              </w:rPr>
            </w:pPr>
            <w:r>
              <w:rPr>
                <w:rFonts w:ascii="Arial" w:cs="Arial" w:eastAsia="Arial" w:hAnsi="Arial"/>
                <w:sz w:val="22"/>
                <w:szCs w:val="22"/>
                <w:color w:val="auto"/>
              </w:rPr>
              <w:t>Net investment income</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740" w:type="dxa"/>
            <w:vAlign w:val="bottom"/>
          </w:tcPr>
          <w:p>
            <w:pPr>
              <w:jc w:val="right"/>
              <w:spacing w:after="0"/>
              <w:rPr>
                <w:sz w:val="20"/>
                <w:szCs w:val="20"/>
                <w:color w:val="auto"/>
              </w:rPr>
            </w:pPr>
            <w:r>
              <w:rPr>
                <w:rFonts w:ascii="Arial" w:cs="Arial" w:eastAsia="Arial" w:hAnsi="Arial"/>
                <w:sz w:val="22"/>
                <w:szCs w:val="22"/>
                <w:color w:val="auto"/>
              </w:rPr>
              <w:t>9.6</w:t>
            </w:r>
          </w:p>
        </w:tc>
        <w:tc>
          <w:tcPr>
            <w:tcW w:w="46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620" w:type="dxa"/>
            <w:vAlign w:val="bottom"/>
          </w:tcPr>
          <w:p>
            <w:pPr>
              <w:jc w:val="right"/>
              <w:spacing w:after="0"/>
              <w:rPr>
                <w:sz w:val="20"/>
                <w:szCs w:val="20"/>
                <w:color w:val="auto"/>
              </w:rPr>
            </w:pPr>
            <w:r>
              <w:rPr>
                <w:rFonts w:ascii="Arial" w:cs="Arial" w:eastAsia="Arial" w:hAnsi="Arial"/>
                <w:sz w:val="22"/>
                <w:szCs w:val="22"/>
                <w:color w:val="auto"/>
              </w:rPr>
              <w:t>44.6</w:t>
            </w:r>
          </w:p>
        </w:tc>
      </w:tr>
      <w:tr>
        <w:trPr>
          <w:trHeight w:val="270"/>
        </w:trPr>
        <w:tc>
          <w:tcPr>
            <w:tcW w:w="6740" w:type="dxa"/>
            <w:vAlign w:val="bottom"/>
          </w:tcPr>
          <w:p>
            <w:pPr>
              <w:ind w:left="120"/>
              <w:spacing w:after="0"/>
              <w:rPr>
                <w:sz w:val="20"/>
                <w:szCs w:val="20"/>
                <w:color w:val="auto"/>
              </w:rPr>
            </w:pPr>
            <w:r>
              <w:rPr>
                <w:rFonts w:ascii="Arial" w:cs="Arial" w:eastAsia="Arial" w:hAnsi="Arial"/>
                <w:sz w:val="22"/>
                <w:szCs w:val="22"/>
                <w:color w:val="auto"/>
              </w:rPr>
              <w:t>GAAP net investment income per share</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740" w:type="dxa"/>
            <w:vAlign w:val="bottom"/>
          </w:tcPr>
          <w:p>
            <w:pPr>
              <w:jc w:val="right"/>
              <w:spacing w:after="0"/>
              <w:rPr>
                <w:sz w:val="20"/>
                <w:szCs w:val="20"/>
                <w:color w:val="auto"/>
              </w:rPr>
            </w:pPr>
            <w:r>
              <w:rPr>
                <w:rFonts w:ascii="Arial" w:cs="Arial" w:eastAsia="Arial" w:hAnsi="Arial"/>
                <w:sz w:val="22"/>
                <w:szCs w:val="22"/>
                <w:color w:val="auto"/>
              </w:rPr>
              <w:t>0.14</w:t>
            </w:r>
          </w:p>
        </w:tc>
        <w:tc>
          <w:tcPr>
            <w:tcW w:w="46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620" w:type="dxa"/>
            <w:vAlign w:val="bottom"/>
          </w:tcPr>
          <w:p>
            <w:pPr>
              <w:jc w:val="right"/>
              <w:spacing w:after="0"/>
              <w:rPr>
                <w:sz w:val="20"/>
                <w:szCs w:val="20"/>
                <w:color w:val="auto"/>
              </w:rPr>
            </w:pPr>
            <w:r>
              <w:rPr>
                <w:rFonts w:ascii="Arial" w:cs="Arial" w:eastAsia="Arial" w:hAnsi="Arial"/>
                <w:sz w:val="22"/>
                <w:szCs w:val="22"/>
                <w:color w:val="auto"/>
              </w:rPr>
              <w:t>0.66</w:t>
            </w:r>
          </w:p>
        </w:tc>
      </w:tr>
      <w:tr>
        <w:trPr>
          <w:trHeight w:val="270"/>
        </w:trPr>
        <w:tc>
          <w:tcPr>
            <w:tcW w:w="6740" w:type="dxa"/>
            <w:vAlign w:val="bottom"/>
          </w:tcPr>
          <w:p>
            <w:pPr>
              <w:ind w:left="120"/>
              <w:spacing w:after="0"/>
              <w:rPr>
                <w:sz w:val="20"/>
                <w:szCs w:val="20"/>
                <w:color w:val="auto"/>
              </w:rPr>
            </w:pPr>
            <w:r>
              <w:rPr>
                <w:rFonts w:ascii="Arial" w:cs="Arial" w:eastAsia="Arial" w:hAnsi="Arial"/>
                <w:sz w:val="22"/>
                <w:szCs w:val="22"/>
                <w:color w:val="auto"/>
              </w:rPr>
              <w:t>Non-recurring net debt-related costs, net of</w:t>
            </w:r>
          </w:p>
        </w:tc>
        <w:tc>
          <w:tcPr>
            <w:tcW w:w="1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6740" w:type="dxa"/>
            <w:vAlign w:val="bottom"/>
          </w:tcPr>
          <w:p>
            <w:pPr>
              <w:ind w:left="240"/>
              <w:spacing w:after="0"/>
              <w:rPr>
                <w:sz w:val="20"/>
                <w:szCs w:val="20"/>
                <w:color w:val="auto"/>
              </w:rPr>
            </w:pPr>
            <w:r>
              <w:rPr>
                <w:rFonts w:ascii="Arial" w:cs="Arial" w:eastAsia="Arial" w:hAnsi="Arial"/>
                <w:sz w:val="22"/>
                <w:szCs w:val="22"/>
                <w:color w:val="auto"/>
              </w:rPr>
              <w:t>incentive fees per share</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740" w:type="dxa"/>
            <w:vAlign w:val="bottom"/>
          </w:tcPr>
          <w:p>
            <w:pPr>
              <w:jc w:val="right"/>
              <w:spacing w:after="0"/>
              <w:rPr>
                <w:sz w:val="20"/>
                <w:szCs w:val="20"/>
                <w:color w:val="auto"/>
              </w:rPr>
            </w:pPr>
            <w:r>
              <w:rPr>
                <w:rFonts w:ascii="Arial" w:cs="Arial" w:eastAsia="Arial" w:hAnsi="Arial"/>
                <w:sz w:val="22"/>
                <w:szCs w:val="22"/>
                <w:color w:val="auto"/>
              </w:rPr>
              <w:t>0.03</w:t>
            </w:r>
          </w:p>
        </w:tc>
        <w:tc>
          <w:tcPr>
            <w:tcW w:w="46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620" w:type="dxa"/>
            <w:vAlign w:val="bottom"/>
          </w:tcPr>
          <w:p>
            <w:pPr>
              <w:jc w:val="right"/>
              <w:spacing w:after="0"/>
              <w:rPr>
                <w:sz w:val="20"/>
                <w:szCs w:val="20"/>
                <w:color w:val="auto"/>
              </w:rPr>
            </w:pPr>
            <w:r>
              <w:rPr>
                <w:rFonts w:ascii="Arial" w:cs="Arial" w:eastAsia="Arial" w:hAnsi="Arial"/>
                <w:sz w:val="22"/>
                <w:szCs w:val="22"/>
                <w:color w:val="auto"/>
              </w:rPr>
              <w:t>0.06</w:t>
            </w:r>
          </w:p>
        </w:tc>
      </w:tr>
      <w:tr>
        <w:trPr>
          <w:trHeight w:val="270"/>
        </w:trPr>
        <w:tc>
          <w:tcPr>
            <w:tcW w:w="6740" w:type="dxa"/>
            <w:vAlign w:val="bottom"/>
          </w:tcPr>
          <w:p>
            <w:pPr>
              <w:spacing w:after="0"/>
              <w:rPr>
                <w:sz w:val="20"/>
                <w:szCs w:val="20"/>
                <w:color w:val="auto"/>
              </w:rPr>
            </w:pPr>
            <w:r>
              <w:rPr>
                <w:rFonts w:ascii="Arial" w:cs="Arial" w:eastAsia="Arial" w:hAnsi="Arial"/>
                <w:sz w:val="22"/>
                <w:szCs w:val="22"/>
                <w:color w:val="auto"/>
              </w:rPr>
              <w:t>Core net investment income per share (1)</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740" w:type="dxa"/>
            <w:vAlign w:val="bottom"/>
          </w:tcPr>
          <w:p>
            <w:pPr>
              <w:jc w:val="right"/>
              <w:spacing w:after="0"/>
              <w:rPr>
                <w:sz w:val="20"/>
                <w:szCs w:val="20"/>
                <w:color w:val="auto"/>
              </w:rPr>
            </w:pPr>
            <w:r>
              <w:rPr>
                <w:rFonts w:ascii="Arial" w:cs="Arial" w:eastAsia="Arial" w:hAnsi="Arial"/>
                <w:sz w:val="22"/>
                <w:szCs w:val="22"/>
                <w:color w:val="auto"/>
              </w:rPr>
              <w:t>0.17</w:t>
            </w:r>
          </w:p>
        </w:tc>
        <w:tc>
          <w:tcPr>
            <w:tcW w:w="46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620" w:type="dxa"/>
            <w:vAlign w:val="bottom"/>
          </w:tcPr>
          <w:p>
            <w:pPr>
              <w:jc w:val="right"/>
              <w:spacing w:after="0"/>
              <w:rPr>
                <w:sz w:val="20"/>
                <w:szCs w:val="20"/>
                <w:color w:val="auto"/>
              </w:rPr>
            </w:pPr>
            <w:r>
              <w:rPr>
                <w:rFonts w:ascii="Arial" w:cs="Arial" w:eastAsia="Arial" w:hAnsi="Arial"/>
                <w:sz w:val="22"/>
                <w:szCs w:val="22"/>
                <w:color w:val="auto"/>
              </w:rPr>
              <w:t>0.72</w:t>
            </w:r>
          </w:p>
        </w:tc>
      </w:tr>
      <w:tr>
        <w:trPr>
          <w:trHeight w:val="274"/>
        </w:trPr>
        <w:tc>
          <w:tcPr>
            <w:tcW w:w="6740" w:type="dxa"/>
            <w:vAlign w:val="bottom"/>
          </w:tcPr>
          <w:p>
            <w:pPr>
              <w:spacing w:after="0"/>
              <w:rPr>
                <w:sz w:val="20"/>
                <w:szCs w:val="20"/>
                <w:color w:val="auto"/>
              </w:rPr>
            </w:pPr>
            <w:r>
              <w:rPr>
                <w:rFonts w:ascii="Arial" w:cs="Arial" w:eastAsia="Arial" w:hAnsi="Arial"/>
                <w:sz w:val="22"/>
                <w:szCs w:val="22"/>
                <w:color w:val="auto"/>
              </w:rPr>
              <w:t>Distributions declared per share</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740" w:type="dxa"/>
            <w:vAlign w:val="bottom"/>
          </w:tcPr>
          <w:p>
            <w:pPr>
              <w:jc w:val="right"/>
              <w:spacing w:after="0"/>
              <w:rPr>
                <w:sz w:val="20"/>
                <w:szCs w:val="20"/>
                <w:color w:val="auto"/>
              </w:rPr>
            </w:pPr>
            <w:r>
              <w:rPr>
                <w:rFonts w:ascii="Arial" w:cs="Arial" w:eastAsia="Arial" w:hAnsi="Arial"/>
                <w:sz w:val="22"/>
                <w:szCs w:val="22"/>
                <w:color w:val="auto"/>
              </w:rPr>
              <w:t>0.18</w:t>
            </w:r>
          </w:p>
        </w:tc>
        <w:tc>
          <w:tcPr>
            <w:tcW w:w="46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620" w:type="dxa"/>
            <w:vAlign w:val="bottom"/>
          </w:tcPr>
          <w:p>
            <w:pPr>
              <w:jc w:val="right"/>
              <w:spacing w:after="0"/>
              <w:rPr>
                <w:sz w:val="20"/>
                <w:szCs w:val="20"/>
                <w:color w:val="auto"/>
              </w:rPr>
            </w:pPr>
            <w:r>
              <w:rPr>
                <w:rFonts w:ascii="Arial" w:cs="Arial" w:eastAsia="Arial" w:hAnsi="Arial"/>
                <w:sz w:val="22"/>
                <w:szCs w:val="22"/>
                <w:color w:val="auto"/>
              </w:rPr>
              <w:t>0.72</w:t>
            </w:r>
          </w:p>
        </w:tc>
      </w:tr>
      <w:tr>
        <w:trPr>
          <w:trHeight w:val="536"/>
        </w:trPr>
        <w:tc>
          <w:tcPr>
            <w:tcW w:w="6740" w:type="dxa"/>
            <w:vAlign w:val="bottom"/>
          </w:tcPr>
          <w:p>
            <w:pPr>
              <w:spacing w:after="0"/>
              <w:rPr>
                <w:sz w:val="20"/>
                <w:szCs w:val="20"/>
                <w:color w:val="auto"/>
              </w:rPr>
            </w:pPr>
            <w:r>
              <w:rPr>
                <w:rFonts w:ascii="Arial" w:cs="Arial" w:eastAsia="Arial" w:hAnsi="Arial"/>
                <w:sz w:val="22"/>
                <w:szCs w:val="22"/>
                <w:color w:val="auto"/>
              </w:rPr>
              <w:t>Portfolio Activity:</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6740" w:type="dxa"/>
            <w:vAlign w:val="bottom"/>
          </w:tcPr>
          <w:p>
            <w:pPr>
              <w:ind w:left="120"/>
              <w:spacing w:after="0"/>
              <w:rPr>
                <w:sz w:val="20"/>
                <w:szCs w:val="20"/>
                <w:color w:val="auto"/>
              </w:rPr>
            </w:pPr>
            <w:r>
              <w:rPr>
                <w:rFonts w:ascii="Arial" w:cs="Arial" w:eastAsia="Arial" w:hAnsi="Arial"/>
                <w:sz w:val="22"/>
                <w:szCs w:val="22"/>
                <w:color w:val="auto"/>
              </w:rPr>
              <w:t>Purchases of investments</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740" w:type="dxa"/>
            <w:vAlign w:val="bottom"/>
          </w:tcPr>
          <w:p>
            <w:pPr>
              <w:jc w:val="right"/>
              <w:spacing w:after="0"/>
              <w:rPr>
                <w:sz w:val="20"/>
                <w:szCs w:val="20"/>
                <w:color w:val="auto"/>
              </w:rPr>
            </w:pPr>
            <w:r>
              <w:rPr>
                <w:rFonts w:ascii="Arial" w:cs="Arial" w:eastAsia="Arial" w:hAnsi="Arial"/>
                <w:sz w:val="22"/>
                <w:szCs w:val="22"/>
                <w:color w:val="auto"/>
              </w:rPr>
              <w:t>38.8</w:t>
            </w:r>
          </w:p>
        </w:tc>
        <w:tc>
          <w:tcPr>
            <w:tcW w:w="46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620" w:type="dxa"/>
            <w:vAlign w:val="bottom"/>
          </w:tcPr>
          <w:p>
            <w:pPr>
              <w:jc w:val="right"/>
              <w:spacing w:after="0"/>
              <w:rPr>
                <w:sz w:val="20"/>
                <w:szCs w:val="20"/>
                <w:color w:val="auto"/>
              </w:rPr>
            </w:pPr>
            <w:r>
              <w:rPr>
                <w:rFonts w:ascii="Arial" w:cs="Arial" w:eastAsia="Arial" w:hAnsi="Arial"/>
                <w:sz w:val="22"/>
                <w:szCs w:val="22"/>
                <w:color w:val="auto"/>
              </w:rPr>
              <w:t>533.6</w:t>
            </w:r>
          </w:p>
        </w:tc>
      </w:tr>
      <w:tr>
        <w:trPr>
          <w:trHeight w:val="274"/>
        </w:trPr>
        <w:tc>
          <w:tcPr>
            <w:tcW w:w="6740" w:type="dxa"/>
            <w:vAlign w:val="bottom"/>
          </w:tcPr>
          <w:p>
            <w:pPr>
              <w:ind w:left="120"/>
              <w:spacing w:after="0"/>
              <w:rPr>
                <w:sz w:val="20"/>
                <w:szCs w:val="20"/>
                <w:color w:val="auto"/>
              </w:rPr>
            </w:pPr>
            <w:r>
              <w:rPr>
                <w:rFonts w:ascii="Arial" w:cs="Arial" w:eastAsia="Arial" w:hAnsi="Arial"/>
                <w:sz w:val="22"/>
                <w:szCs w:val="22"/>
                <w:color w:val="auto"/>
              </w:rPr>
              <w:t>Sales and repayments of investments</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740" w:type="dxa"/>
            <w:vAlign w:val="bottom"/>
          </w:tcPr>
          <w:p>
            <w:pPr>
              <w:jc w:val="right"/>
              <w:spacing w:after="0"/>
              <w:rPr>
                <w:sz w:val="20"/>
                <w:szCs w:val="20"/>
                <w:color w:val="auto"/>
              </w:rPr>
            </w:pPr>
            <w:r>
              <w:rPr>
                <w:rFonts w:ascii="Arial" w:cs="Arial" w:eastAsia="Arial" w:hAnsi="Arial"/>
                <w:sz w:val="22"/>
                <w:szCs w:val="22"/>
                <w:color w:val="auto"/>
              </w:rPr>
              <w:t>100.9</w:t>
            </w:r>
          </w:p>
        </w:tc>
        <w:tc>
          <w:tcPr>
            <w:tcW w:w="46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620" w:type="dxa"/>
            <w:vAlign w:val="bottom"/>
          </w:tcPr>
          <w:p>
            <w:pPr>
              <w:jc w:val="right"/>
              <w:spacing w:after="0"/>
              <w:rPr>
                <w:sz w:val="20"/>
                <w:szCs w:val="20"/>
                <w:color w:val="auto"/>
              </w:rPr>
            </w:pPr>
            <w:r>
              <w:rPr>
                <w:rFonts w:ascii="Arial" w:cs="Arial" w:eastAsia="Arial" w:hAnsi="Arial"/>
                <w:sz w:val="22"/>
                <w:szCs w:val="22"/>
                <w:color w:val="auto"/>
              </w:rPr>
              <w:t>426.5</w:t>
            </w:r>
          </w:p>
        </w:tc>
      </w:tr>
      <w:tr>
        <w:trPr>
          <w:trHeight w:val="536"/>
        </w:trPr>
        <w:tc>
          <w:tcPr>
            <w:tcW w:w="6740" w:type="dxa"/>
            <w:vAlign w:val="bottom"/>
          </w:tcPr>
          <w:p>
            <w:pPr>
              <w:ind w:left="180"/>
              <w:spacing w:after="0"/>
              <w:rPr>
                <w:sz w:val="20"/>
                <w:szCs w:val="20"/>
                <w:color w:val="auto"/>
              </w:rPr>
            </w:pPr>
            <w:r>
              <w:rPr>
                <w:rFonts w:ascii="Arial" w:cs="Arial" w:eastAsia="Arial" w:hAnsi="Arial"/>
                <w:sz w:val="22"/>
                <w:szCs w:val="22"/>
                <w:color w:val="auto"/>
              </w:rPr>
              <w:t>Number of new portfolio companies invested</w:t>
            </w:r>
          </w:p>
        </w:tc>
        <w:tc>
          <w:tcPr>
            <w:tcW w:w="1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3</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0"/>
        </w:trPr>
        <w:tc>
          <w:tcPr>
            <w:tcW w:w="6740" w:type="dxa"/>
            <w:vAlign w:val="bottom"/>
          </w:tcPr>
          <w:p>
            <w:pPr>
              <w:ind w:left="180"/>
              <w:spacing w:after="0"/>
              <w:rPr>
                <w:sz w:val="20"/>
                <w:szCs w:val="20"/>
                <w:color w:val="auto"/>
              </w:rPr>
            </w:pPr>
            <w:r>
              <w:rPr>
                <w:rFonts w:ascii="Arial" w:cs="Arial" w:eastAsia="Arial" w:hAnsi="Arial"/>
                <w:sz w:val="22"/>
                <w:szCs w:val="22"/>
                <w:color w:val="auto"/>
              </w:rPr>
              <w:t>Number of existing portfolio companies</w:t>
            </w:r>
          </w:p>
        </w:tc>
        <w:tc>
          <w:tcPr>
            <w:tcW w:w="1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6740" w:type="dxa"/>
            <w:vAlign w:val="bottom"/>
          </w:tcPr>
          <w:p>
            <w:pPr>
              <w:ind w:left="240"/>
              <w:spacing w:after="0"/>
              <w:rPr>
                <w:sz w:val="20"/>
                <w:szCs w:val="20"/>
                <w:color w:val="auto"/>
              </w:rPr>
            </w:pPr>
            <w:r>
              <w:rPr>
                <w:rFonts w:ascii="Arial" w:cs="Arial" w:eastAsia="Arial" w:hAnsi="Arial"/>
                <w:sz w:val="22"/>
                <w:szCs w:val="22"/>
                <w:color w:val="auto"/>
              </w:rPr>
              <w:t>invested</w:t>
            </w:r>
          </w:p>
        </w:tc>
        <w:tc>
          <w:tcPr>
            <w:tcW w:w="1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11</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74"/>
        </w:trPr>
        <w:tc>
          <w:tcPr>
            <w:tcW w:w="6740" w:type="dxa"/>
            <w:vAlign w:val="bottom"/>
          </w:tcPr>
          <w:p>
            <w:pPr>
              <w:ind w:left="180"/>
              <w:spacing w:after="0"/>
              <w:rPr>
                <w:sz w:val="20"/>
                <w:szCs w:val="20"/>
                <w:color w:val="auto"/>
              </w:rPr>
            </w:pPr>
            <w:r>
              <w:rPr>
                <w:rFonts w:ascii="Arial" w:cs="Arial" w:eastAsia="Arial" w:hAnsi="Arial"/>
                <w:sz w:val="22"/>
                <w:szCs w:val="22"/>
                <w:color w:val="auto"/>
              </w:rPr>
              <w:t>Number of ending portfolio companies</w:t>
            </w:r>
          </w:p>
        </w:tc>
        <w:tc>
          <w:tcPr>
            <w:tcW w:w="1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67</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67</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0" w:right="60" w:hanging="208"/>
        <w:spacing w:after="0" w:line="279" w:lineRule="auto"/>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Core net investment income is a non-GAAP financial measure. The Company believes that core net investment income provides useful information to investors and management because it reflects the Company’s financial performance excluding expenses related to the make-whole premium on the repayment of the 4.50% notes due 2019, the debt issuance costs on the revolving credit facility with BNP Paribas and the costs associated with amending our multi-currency, senior secured revolving credit facility, as amended and restated, with SunTrust. The presentation of this additional information is not meant to be considered in isolation or as a substitute for financial results prepared in accordance with GAAP.</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EST ON NOVEMBER 22, 2019</w:t>
      </w:r>
    </w:p>
    <w:p>
      <w:pPr>
        <w:sectPr>
          <w:pgSz w:w="11900" w:h="16838" w:orient="portrait"/>
          <w:cols w:equalWidth="0" w:num="1">
            <w:col w:w="11240"/>
          </w:cols>
          <w:pgMar w:left="320" w:top="112" w:right="339" w:bottom="262" w:gutter="0" w:footer="0" w:header="0"/>
        </w:sectPr>
      </w:pPr>
    </w:p>
    <w:bookmarkStart w:id="4" w:name="page5"/>
    <w:bookmarkEnd w:id="4"/>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PennantPark Investment Corporation (“we,” “our,” “us” or the “Company”) will host a conference call at 10:00 a.m. (Eastern Standard Time) on Friday, November 22, 2019 to discuss its financial results. All interested parties are welcome to participate. You can access the conference call by dialing toll-free (800) 239-9838 approximately 5-10 minutes prior to the call. International callers should dial (323) 794-2551. All callers should reference conference ID #4224065 or PennantPark Investment Corporation. An archived replay of the call will be available through December 6, 2019 by calling toll-free (888) 203-1112. International callers please dial (719) 457-0820. For all phone replays, please reference conference ID #4224065.</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are pleased that we made substantial progress on the right hand side of our balance sheet this past quarter. Our amended credit facility, new unsecured bonds and a “green light” for a new SBIC should provide a solid pathway for earnings growth,” said Arthur Penn, Chairman and CEO. “Additionally, we are making progress on the left hand side of our balance sheet by moving into more senior secured positions, which we believe will result in even more steady and stable coverage of our dividend over time.”</w:t>
      </w:r>
    </w:p>
    <w:p>
      <w:pPr>
        <w:spacing w:after="0" w:line="18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As of September 30, 2019, our portfolio totaled $1,219.4 million and consisted of $695.3 million of first lien secured debt, $269.3 million of second lien secured debt, $61.2 million of subordinated debt and $193.7 million of preferred and common equity. Our debt portfolio consisted of 87% variable-rate investments. As of September 30, 2019, we had no portfolio companies on non-accrual. Overall, the portfolio had net unrealized depreciation of $37.6 million as of September 30, 2019. Our overall portfolio consisted of 67 companies with an average investment size of $18.2 million, had a weighted average yield on interest bearing debt investments of 9.8% and was invested 57% in first lien secured debt, 22% in second lien secured debt, 5% in subordinated debt and 16% in preferred and common equity.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As of September 30, 2018, our portfolio totaled $1,132.1 million and consisted of $531.4 million of first lien secured debt, $391.1 million of second lien secured debt, $48.1 million of subordinated debt and $161.5 million of preferred and common equity. Our debt portfolio consisted of 90% variable-rate investments and 10% fixed-rate investments. As of September 30, 2018, we had no portfolio companies on non-accrual. Overall, the portfolio had net unrealized depreciation of $111.8 million as of September 30, 2018. Our overall portfolio consisted of 53 companies with an average investment size of $21.4 million, had a weighted average yield on interest bearing debt investments of 11.2% and was invested 47% in first lien secured debt, 35% in second lien secured debt, 4% in subordinated debt and 14% in preferred and common equity.</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September 30, 2019, we invested $38.8 million in three new and 11 existing portfolio companies with a weighted average yield on debt investments of 8.4%. Sales and repayments of investments for the same period totaled $100.9 million.</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year ended September 30, 2019, we invested $533.6 million in 24 new and 49 existing portfolio companies with a weighted average yield on debt investments of 9.4%. Sales and repayments of investments for the same period totaled $426.5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Subsequent to quarter end, we issued an additional $11.3 million in aggregate principal of the 2024 Notes at par value, generating net proceeds of $10.9 million after underwriting discounts and offering expenses payable by us, as a result of the underwriters’ full exercise of the option to purchase additional 2024 Notes we granted to them in connection with the offering that closed in September 2019. In total, the Company has issued $86.3 of 2024 Notes at par value, generating net proceeds of $83.2 million.</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Subsequent to quarter end, the SBA issued a "green light" or "go forth" letter inviting the Company to file an application to obtain a license to form and operate a third Small Business Investment Company ("SBIC") subsidiary. Receipt of a green light letter from the SBA does not assure an applicant that the SBA will ultimately issue an SBIC license or of the timeframe in which it would receive a license, should one ultimately be granted.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Subsequent to quarter end, we have invested approximately $70 million.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Set forth below are the results of operations for the three month periods and fiscal years ended September 30, 2019 and 2018.</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Investment income for the three months ended September 30, 2019 and 2018 was $27.9 million and $27.6 million, respectively, and was primarily attributable to $17.0 million and $12.9 million from first lien secured debt, $8.7 million and $13.3 million from second lien secured debt and $2.2 million and $1.4 million from subordinated debt and preferred and common equity, respectively.</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Investment income for the years ended September 30, 2019 and 2018 was $112.1 million and $108.3 million, respectively, and was attributable to $62.6 million and $49.5 million from first lien secured debt, $41.4 million and $49.8 million from second lien secured debt and $8.1 million and $9.0 million from subordinated debt and preferred and common equity, respectively. The increase in investment income over the prior year was primarily due to an increase in our portfolio at cost.</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ectPr>
          <w:pgSz w:w="11900" w:h="16901" w:orient="portrait"/>
          <w:cols w:equalWidth="0" w:num="1">
            <w:col w:w="11240"/>
          </w:cols>
          <w:pgMar w:left="320" w:top="118" w:right="339" w:bottom="0" w:gutter="0" w:footer="0" w:header="0"/>
        </w:sectPr>
      </w:pPr>
    </w:p>
    <w:bookmarkStart w:id="5" w:name="page6"/>
    <w:bookmarkEnd w:id="5"/>
    <w:p>
      <w:pPr>
        <w:jc w:val="both"/>
        <w:spacing w:after="0" w:line="236" w:lineRule="auto"/>
        <w:rPr>
          <w:sz w:val="20"/>
          <w:szCs w:val="20"/>
          <w:color w:val="auto"/>
        </w:rPr>
      </w:pPr>
      <w:r>
        <w:rPr>
          <w:rFonts w:ascii="Arial" w:cs="Arial" w:eastAsia="Arial" w:hAnsi="Arial"/>
          <w:sz w:val="22"/>
          <w:szCs w:val="22"/>
          <w:color w:val="auto"/>
        </w:rPr>
        <w:t>Net expenses for the three months ended September 30, 2019 and 2018 totaled $18.3 million and $13.6 million, respectively. Base management fee totaled $4.6 million and $4.1 million, incentive fee totaled zero and $3.0 million, debt related interest and expenses totaled $12.2 million (including one-time debt related costs of $4.4 million) and $5.5 million, general and administrative expenses totaled $1.2 million and $1.0 million and provision for taxes totaled $0.3 million and zero, respectively, for the same periods.</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Net expenses for the years ended September 30, 2019 and 2018 totaled $67.5 million and $54.9 million, respectively. Base management fee totaled $18.2 million and $16.5 million (after a base management fee waiver of $0.9 million), incentive fee totaled $5.1 million and $11.0 million (after an incentive fee waiver of $0.5 million), debt related interest and expenses totaled $38.2 million (including one-time debt related cost of $9.2 million) and $22.8 million, general and administrative expenses totaled $4.7 million and $4.6 million and provision for taxes totaled $1.2 million and zero, respectively, for the same periods. The increase in expenses over the prior year was primarily due to an increase in debt related expenses and base management fees, partially offset by smaller incentive fees.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Net investment income totaled $9.6 million or $0.14 per share and $14.0 million or $0.20 per share, for the three months ended September 30, 2019 and 2018, respectively.</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Net investment income totaled $44.6 million or $0.66 per share and $53.3 million or $0.75 per share, for the years ended September 30, 2019 and 2018, respectively. The decrease in net investment income per share compared to the prior year was primarily due to an increase in debt related expenses associated with the retirement of our 2019 Notes and amendments made to our BNP and SunTrust Credit Facilities.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Sales and repayments of investments for the three months ended September 30, 2019 and 2018 totaled $100.9 million and $74.1 million, respectively, and net realized (losses) gains totaled $(18.4) million and $2.9 million, respectively, for the same periods.</w:t>
      </w:r>
    </w:p>
    <w:p>
      <w:pPr>
        <w:spacing w:after="0" w:line="1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Sales and repayments of investments for the years ended September 30, 2019 and 2018 totaled $426.5 million and $630.5 million, respectively, and net realized (losses) gains totaled $(108.5) million and $45.9 million, respectively. The change in realized gains/losses was primarily due to changes in the market conditions of our investments and the values at which they were realized, including the net realized loss on Superior Digital Displays, LLC during the year ended September 30, 2019.</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Unrealized Appreciation or Depreciation on Investments, Credit Facilities, the 2019 Notes and the 2025 Notes</w:t>
      </w:r>
    </w:p>
    <w:p>
      <w:pPr>
        <w:spacing w:after="0" w:line="22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For the three months ended September 30, 2019 and 2018, we reported a net change in unrealized appreciation (depreciation) on investments of $21.2 million and $(5.2) million, respectively. For the years ended September 30, 2019 and 2018, we reported a net change in unrealized appreciation (depreciation) on investments of $74.1 million and $(55.3) million, respectively.</w:t>
      </w:r>
    </w:p>
    <w:p>
      <w:pPr>
        <w:spacing w:after="0" w:line="13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September 30, 2019 and 2018, our net unrealized depreciation on investments of $37.6 million and $111.8 million, respectively. The net change in unrealized appreciation/depreciation on our investments for the year ended September 30, 2019 compared to the prior year was primarily due to changes in the capital market conditions, the financial performance of certain portfolio companies and the reversal of unrealized appreciation/depreciation on investments that were realized.</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For the three months ended September 30, 2019 and 2018, our Credit Facilities had a net change in unrealized (appreciation) depreciation of $(4.2) million and $0.8 million, respectively. For the year ended September 30, 2019 and 2018, our Credit Facilities and the 2019 Notes, had a net change in unrealized depreciation of $5.7 million and $3.9 million, respectively. As of September 30, 2019 and 2018 our net unrealized depreciation on our Credit Facilities and, prior to their redemption, the 2019 Notes totaled $7.2 million and $1.6 million, respectively. The net change in unrealized depreciation for the year ended September 30, 2019 compared to the prior year was primarily due to changes in the capital markets.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Net change in net assets resulting from operations totaled $8.2 million or $0.13 per share and $12.5 million or $0.18 per share, for the three months ended September 30, 2019 and 2018, respectively.</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Net change in net assets resulting from operations totaled $15.9 million or $0.24 per share and $47.7 million or $0.68 per share, for the years ended September 30, 2019 and 2018, respectively. The decrease in the net change in net assets from operations for the year ended September 30, 2019 compared to the prior year was primarily due to a lower yielding portfolio, depreciation and net realized losses on our investments and credit facility amendment and debt issuance costs.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w:t>
      </w:r>
    </w:p>
    <w:p>
      <w:pPr>
        <w:sectPr>
          <w:pgSz w:w="11900" w:h="16838" w:orient="portrait"/>
          <w:cols w:equalWidth="0" w:num="1">
            <w:col w:w="11240"/>
          </w:cols>
          <w:pgMar w:left="320" w:top="118" w:right="339" w:bottom="0" w:gutter="0" w:footer="0" w:header="0"/>
        </w:sectPr>
      </w:pPr>
    </w:p>
    <w:bookmarkStart w:id="6" w:name="page7"/>
    <w:bookmarkEnd w:id="6"/>
    <w:p>
      <w:pPr>
        <w:jc w:val="both"/>
        <w:spacing w:after="0" w:line="297" w:lineRule="auto"/>
        <w:rPr>
          <w:sz w:val="20"/>
          <w:szCs w:val="20"/>
          <w:color w:val="auto"/>
        </w:rPr>
      </w:pPr>
      <w:r>
        <w:rPr>
          <w:rFonts w:ascii="Arial" w:cs="Arial" w:eastAsia="Arial" w:hAnsi="Arial"/>
          <w:sz w:val="19"/>
          <w:szCs w:val="19"/>
          <w:color w:val="auto"/>
        </w:rPr>
        <w:t>The annualized weighted average cost of debt for the years ended September 30, 2019 and 2018, inclusive of undrawn commitment fees and amendment costs under the SunTrust Credit Facility, debt issuance costs on the BNP Credit Facility, prepayment penalties on the 2019 Notes and amortized upfront fees on SBA debentures, was 6.0% and 4.5%, respectively.</w:t>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September 30, 2019, PennantPark Investment Funding I, LLC, or Funding I, had $171.0 million in outstanding borrowings under the BNP Credit Facility. The BNP Credit Facility had a weighted average interest rate of 4.6% as of September 30, 2019. As of September 30, 2019, Funding I had $79.0 million of unused borrowing capacity under the BNP Credit Facility, subject to the regulatory restrictions.</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September 30, 2019 and 2018, we had $301.6 million and $80.5 million (including a $2.0 million temporary draw), respectively, in borrowings under the SunTrust Credit Facility. The SunTrust Credit Facility had a weighted average interest rate of 4.2% and 3.8%, respectively, exclusive of undrawn commitment fees, as of September 30, 2019 and 2018. As of the same periods, we had $173.4 million and $364.5 million of unused borrowing capacity under the SunTrust Credit Facility, respectively, subject to the regulatory restrictions.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September 30, 2019 and 2018, we had $75.0 and zero in aggregate principal amount of 2024 Notes outstanding, respectively, with a fixed interest rate of 5.50% per year. As of September 30, 2019 and 2018, we had zero and $250.0 million in aggregate principal amount of 2019 Notes outstanding, respectively, with a fixed interest rate of 4.50% per year. As of September 30, 2019 and 2018, we had $150.0 million and $180.0 million in SBA debentures outstanding, respectively.</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September 30, 2019 and 2018, we had cash and cash equivalents of $59.5 million and $19.5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Our operating activities used cash of $81.1 million for the year ended September 30, 2019, and our financing activities provided cash of $121.1 million for the same period. Our operating activities provided cash from sales and repayments on our investments and our financing activities provided cash primarily for net borrowings under our Credit Facilities as well as the issuance of the 2024 Notes, partially offset by cash used by our stock repurchase program.</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operating activities provided cash of $66.9 million for the year ended September 30, 2018, and our financing activities used cash of $85.6 million for the same period. Our operating activities provided cash primarily from sales and repayments on our investments and our financing activities used cash primarily for net repayments of SBA debentures and our stock repurchase program.</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During the year ended September 30, 2019 and 2018, we declared distributions of $0.72 and $0.72 per share, for total distributions of $48.4 million and $50.6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The Company makes available on its website its report on Form 10-K filed with the SEC and stockholders may find the report on our website at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6860" w:type="dxa"/>
            <w:vAlign w:val="bottom"/>
          </w:tcPr>
          <w:p>
            <w:pPr>
              <w:spacing w:after="0"/>
              <w:rPr>
                <w:sz w:val="24"/>
                <w:szCs w:val="24"/>
                <w:color w:val="auto"/>
              </w:rPr>
            </w:pPr>
          </w:p>
        </w:tc>
        <w:tc>
          <w:tcPr>
            <w:tcW w:w="2260" w:type="dxa"/>
            <w:vAlign w:val="bottom"/>
            <w:gridSpan w:val="3"/>
          </w:tcPr>
          <w:p>
            <w:pPr>
              <w:ind w:left="60"/>
              <w:spacing w:after="0"/>
              <w:rPr>
                <w:sz w:val="20"/>
                <w:szCs w:val="20"/>
                <w:color w:val="auto"/>
              </w:rPr>
            </w:pPr>
            <w:r>
              <w:rPr>
                <w:rFonts w:ascii="Arial" w:cs="Arial" w:eastAsia="Arial" w:hAnsi="Arial"/>
                <w:sz w:val="22"/>
                <w:szCs w:val="22"/>
                <w:b w:val="1"/>
                <w:bCs w:val="1"/>
                <w:color w:val="auto"/>
              </w:rPr>
              <w:t>September 30, 2019</w:t>
            </w:r>
          </w:p>
        </w:tc>
        <w:tc>
          <w:tcPr>
            <w:tcW w:w="1880" w:type="dxa"/>
            <w:vAlign w:val="bottom"/>
            <w:gridSpan w:val="2"/>
          </w:tcPr>
          <w:p>
            <w:pPr>
              <w:jc w:val="right"/>
              <w:spacing w:after="0"/>
              <w:rPr>
                <w:sz w:val="20"/>
                <w:szCs w:val="20"/>
                <w:color w:val="auto"/>
              </w:rPr>
            </w:pPr>
            <w:r>
              <w:rPr>
                <w:rFonts w:ascii="Arial" w:cs="Arial" w:eastAsia="Arial" w:hAnsi="Arial"/>
                <w:sz w:val="22"/>
                <w:szCs w:val="22"/>
                <w:b w:val="1"/>
                <w:bCs w:val="1"/>
                <w:color w:val="auto"/>
                <w:w w:val="88"/>
              </w:rPr>
              <w:t>September 30, 2018</w:t>
            </w:r>
          </w:p>
        </w:tc>
      </w:tr>
      <w:tr>
        <w:trPr>
          <w:trHeight w:val="259"/>
        </w:trPr>
        <w:tc>
          <w:tcPr>
            <w:tcW w:w="686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40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r>
      <w:tr>
        <w:trPr>
          <w:trHeight w:val="270"/>
        </w:trPr>
        <w:tc>
          <w:tcPr>
            <w:tcW w:w="686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4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43"/>
        </w:trPr>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Non-controlled, non-affiliated investments (cost—$922,304,099 and</w:t>
            </w:r>
          </w:p>
        </w:tc>
        <w:tc>
          <w:tcPr>
            <w:tcW w:w="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0"/>
        </w:trPr>
        <w:tc>
          <w:tcPr>
            <w:tcW w:w="6860" w:type="dxa"/>
            <w:vAlign w:val="bottom"/>
          </w:tcPr>
          <w:p>
            <w:pPr>
              <w:ind w:left="120"/>
              <w:spacing w:after="0"/>
              <w:rPr>
                <w:sz w:val="20"/>
                <w:szCs w:val="20"/>
                <w:color w:val="auto"/>
              </w:rPr>
            </w:pPr>
            <w:r>
              <w:rPr>
                <w:rFonts w:ascii="Arial" w:cs="Arial" w:eastAsia="Arial" w:hAnsi="Arial"/>
                <w:sz w:val="22"/>
                <w:szCs w:val="22"/>
                <w:color w:val="auto"/>
              </w:rPr>
              <w:t>$896,720,950, respectively)</w:t>
            </w:r>
          </w:p>
        </w:tc>
        <w:tc>
          <w:tcPr>
            <w:tcW w:w="400" w:type="dxa"/>
            <w:vAlign w:val="bottom"/>
          </w:tcPr>
          <w:p>
            <w:pPr>
              <w:jc w:val="right"/>
              <w:ind w:right="172"/>
              <w:spacing w:after="0"/>
              <w:rPr>
                <w:sz w:val="20"/>
                <w:szCs w:val="20"/>
                <w:color w:val="auto"/>
              </w:rPr>
            </w:pPr>
            <w:r>
              <w:rPr>
                <w:rFonts w:ascii="Arial" w:cs="Arial" w:eastAsia="Arial" w:hAnsi="Arial"/>
                <w:sz w:val="22"/>
                <w:szCs w:val="22"/>
                <w:color w:val="auto"/>
                <w:w w:val="81"/>
              </w:rPr>
              <w:t>$</w:t>
            </w:r>
          </w:p>
        </w:tc>
        <w:tc>
          <w:tcPr>
            <w:tcW w:w="1520" w:type="dxa"/>
            <w:vAlign w:val="bottom"/>
          </w:tcPr>
          <w:p>
            <w:pPr>
              <w:jc w:val="right"/>
              <w:spacing w:after="0"/>
              <w:rPr>
                <w:sz w:val="20"/>
                <w:szCs w:val="20"/>
                <w:color w:val="auto"/>
              </w:rPr>
            </w:pPr>
            <w:r>
              <w:rPr>
                <w:rFonts w:ascii="Arial" w:cs="Arial" w:eastAsia="Arial" w:hAnsi="Arial"/>
                <w:sz w:val="22"/>
                <w:szCs w:val="22"/>
                <w:color w:val="auto"/>
              </w:rPr>
              <w:t>936,632,099</w:t>
            </w:r>
          </w:p>
        </w:tc>
        <w:tc>
          <w:tcPr>
            <w:tcW w:w="340" w:type="dxa"/>
            <w:vAlign w:val="bottom"/>
          </w:tcPr>
          <w:p>
            <w:pPr>
              <w:spacing w:after="0"/>
              <w:rPr>
                <w:sz w:val="23"/>
                <w:szCs w:val="23"/>
                <w:color w:val="auto"/>
              </w:rPr>
            </w:pPr>
          </w:p>
        </w:tc>
        <w:tc>
          <w:tcPr>
            <w:tcW w:w="38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1500" w:type="dxa"/>
            <w:vAlign w:val="bottom"/>
          </w:tcPr>
          <w:p>
            <w:pPr>
              <w:jc w:val="right"/>
              <w:spacing w:after="0"/>
              <w:rPr>
                <w:sz w:val="20"/>
                <w:szCs w:val="20"/>
                <w:color w:val="auto"/>
              </w:rPr>
            </w:pPr>
            <w:r>
              <w:rPr>
                <w:rFonts w:ascii="Arial" w:cs="Arial" w:eastAsia="Arial" w:hAnsi="Arial"/>
                <w:sz w:val="22"/>
                <w:szCs w:val="22"/>
                <w:color w:val="auto"/>
              </w:rPr>
              <w:t>905,271,258</w:t>
            </w:r>
          </w:p>
        </w:tc>
      </w:tr>
      <w:tr>
        <w:trPr>
          <w:trHeight w:val="243"/>
        </w:trPr>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rPr>
              <w:t>Non-controlled, affiliated investments (cost—$77,600,816 and</w:t>
            </w:r>
          </w:p>
        </w:tc>
        <w:tc>
          <w:tcPr>
            <w:tcW w:w="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0"/>
        </w:trPr>
        <w:tc>
          <w:tcPr>
            <w:tcW w:w="6860" w:type="dxa"/>
            <w:vAlign w:val="bottom"/>
          </w:tcPr>
          <w:p>
            <w:pPr>
              <w:ind w:left="120"/>
              <w:spacing w:after="0"/>
              <w:rPr>
                <w:sz w:val="20"/>
                <w:szCs w:val="20"/>
                <w:color w:val="auto"/>
              </w:rPr>
            </w:pPr>
            <w:r>
              <w:rPr>
                <w:rFonts w:ascii="Arial" w:cs="Arial" w:eastAsia="Arial" w:hAnsi="Arial"/>
                <w:sz w:val="22"/>
                <w:szCs w:val="22"/>
                <w:color w:val="auto"/>
              </w:rPr>
              <w:t>$91,520,908, respectively)</w:t>
            </w:r>
          </w:p>
        </w:tc>
        <w:tc>
          <w:tcPr>
            <w:tcW w:w="4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49,349,338</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78,078,331</w:t>
            </w:r>
          </w:p>
        </w:tc>
      </w:tr>
      <w:tr>
        <w:trPr>
          <w:trHeight w:val="243"/>
        </w:trPr>
        <w:tc>
          <w:tcPr>
            <w:tcW w:w="6860" w:type="dxa"/>
            <w:vAlign w:val="bottom"/>
          </w:tcPr>
          <w:p>
            <w:pPr>
              <w:ind w:left="120"/>
              <w:spacing w:after="0" w:line="243" w:lineRule="exact"/>
              <w:rPr>
                <w:sz w:val="20"/>
                <w:szCs w:val="20"/>
                <w:color w:val="auto"/>
              </w:rPr>
            </w:pPr>
            <w:r>
              <w:rPr>
                <w:rFonts w:ascii="Arial" w:cs="Arial" w:eastAsia="Arial" w:hAnsi="Arial"/>
                <w:sz w:val="22"/>
                <w:szCs w:val="22"/>
                <w:color w:val="auto"/>
                <w:w w:val="93"/>
              </w:rPr>
              <w:t>Controlled, affiliated investments (cost—$257,117,800 and $255,574,317,</w:t>
            </w:r>
          </w:p>
        </w:tc>
        <w:tc>
          <w:tcPr>
            <w:tcW w:w="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4"/>
        </w:trPr>
        <w:tc>
          <w:tcPr>
            <w:tcW w:w="6860" w:type="dxa"/>
            <w:vAlign w:val="bottom"/>
          </w:tcPr>
          <w:p>
            <w:pPr>
              <w:ind w:left="120"/>
              <w:spacing w:after="0"/>
              <w:rPr>
                <w:sz w:val="20"/>
                <w:szCs w:val="20"/>
                <w:color w:val="auto"/>
              </w:rPr>
            </w:pPr>
            <w:r>
              <w:rPr>
                <w:rFonts w:ascii="Arial" w:cs="Arial" w:eastAsia="Arial" w:hAnsi="Arial"/>
                <w:sz w:val="22"/>
                <w:szCs w:val="22"/>
                <w:color w:val="auto"/>
              </w:rPr>
              <w:t>respectively)</w:t>
            </w:r>
          </w:p>
        </w:tc>
        <w:tc>
          <w:tcPr>
            <w:tcW w:w="4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233,451,359</w:t>
            </w:r>
          </w:p>
        </w:tc>
        <w:tc>
          <w:tcPr>
            <w:tcW w:w="3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148,735,885</w:t>
            </w:r>
          </w:p>
        </w:tc>
      </w:tr>
      <w:tr>
        <w:trPr>
          <w:trHeight w:val="219"/>
        </w:trPr>
        <w:tc>
          <w:tcPr>
            <w:tcW w:w="6860" w:type="dxa"/>
            <w:vAlign w:val="bottom"/>
          </w:tcPr>
          <w:p>
            <w:pPr>
              <w:ind w:left="120"/>
              <w:spacing w:after="0" w:line="219" w:lineRule="exact"/>
              <w:rPr>
                <w:sz w:val="20"/>
                <w:szCs w:val="20"/>
                <w:color w:val="auto"/>
              </w:rPr>
            </w:pPr>
            <w:r>
              <w:rPr>
                <w:rFonts w:ascii="Arial" w:cs="Arial" w:eastAsia="Arial" w:hAnsi="Arial"/>
                <w:sz w:val="22"/>
                <w:szCs w:val="22"/>
                <w:color w:val="auto"/>
              </w:rPr>
              <w:t>Total of investments (cost—$1,257,022,715 and $1,243,816,175,</w:t>
            </w:r>
          </w:p>
        </w:tc>
        <w:tc>
          <w:tcPr>
            <w:tcW w:w="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70"/>
        </w:trPr>
        <w:tc>
          <w:tcPr>
            <w:tcW w:w="6860" w:type="dxa"/>
            <w:vAlign w:val="bottom"/>
          </w:tcPr>
          <w:p>
            <w:pPr>
              <w:ind w:left="120"/>
              <w:spacing w:after="0"/>
              <w:rPr>
                <w:sz w:val="20"/>
                <w:szCs w:val="20"/>
                <w:color w:val="auto"/>
              </w:rPr>
            </w:pPr>
            <w:r>
              <w:rPr>
                <w:rFonts w:ascii="Arial" w:cs="Arial" w:eastAsia="Arial" w:hAnsi="Arial"/>
                <w:sz w:val="22"/>
                <w:szCs w:val="22"/>
                <w:color w:val="auto"/>
              </w:rPr>
              <w:t>respectively)</w:t>
            </w:r>
          </w:p>
        </w:tc>
        <w:tc>
          <w:tcPr>
            <w:tcW w:w="4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1,219,432,796</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1,132,085,474</w:t>
            </w:r>
          </w:p>
        </w:tc>
      </w:tr>
      <w:tr>
        <w:trPr>
          <w:trHeight w:val="243"/>
        </w:trPr>
        <w:tc>
          <w:tcPr>
            <w:tcW w:w="6860" w:type="dxa"/>
            <w:vAlign w:val="bottom"/>
          </w:tcPr>
          <w:p>
            <w:pPr>
              <w:spacing w:after="0" w:line="243" w:lineRule="exact"/>
              <w:rPr>
                <w:sz w:val="20"/>
                <w:szCs w:val="20"/>
                <w:color w:val="auto"/>
              </w:rPr>
            </w:pPr>
            <w:r>
              <w:rPr>
                <w:rFonts w:ascii="Arial" w:cs="Arial" w:eastAsia="Arial" w:hAnsi="Arial"/>
                <w:sz w:val="22"/>
                <w:szCs w:val="22"/>
                <w:color w:val="auto"/>
              </w:rPr>
              <w:t>Cash and cash equivalents (cost—$59,546,438 and $19,543,625,</w:t>
            </w:r>
          </w:p>
        </w:tc>
        <w:tc>
          <w:tcPr>
            <w:tcW w:w="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0"/>
        </w:trPr>
        <w:tc>
          <w:tcPr>
            <w:tcW w:w="6860" w:type="dxa"/>
            <w:vAlign w:val="bottom"/>
          </w:tcPr>
          <w:p>
            <w:pPr>
              <w:spacing w:after="0"/>
              <w:rPr>
                <w:sz w:val="20"/>
                <w:szCs w:val="20"/>
                <w:color w:val="auto"/>
              </w:rPr>
            </w:pPr>
            <w:r>
              <w:rPr>
                <w:rFonts w:ascii="Arial" w:cs="Arial" w:eastAsia="Arial" w:hAnsi="Arial"/>
                <w:sz w:val="22"/>
                <w:szCs w:val="22"/>
                <w:color w:val="auto"/>
              </w:rPr>
              <w:t>respectively)</w:t>
            </w:r>
          </w:p>
        </w:tc>
        <w:tc>
          <w:tcPr>
            <w:tcW w:w="4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59,516,236</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19,506,154</w:t>
            </w:r>
          </w:p>
        </w:tc>
      </w:tr>
      <w:tr>
        <w:trPr>
          <w:trHeight w:val="274"/>
        </w:trPr>
        <w:tc>
          <w:tcPr>
            <w:tcW w:w="6860" w:type="dxa"/>
            <w:vAlign w:val="bottom"/>
          </w:tcPr>
          <w:p>
            <w:pPr>
              <w:spacing w:after="0"/>
              <w:rPr>
                <w:sz w:val="20"/>
                <w:szCs w:val="20"/>
                <w:color w:val="auto"/>
              </w:rPr>
            </w:pPr>
            <w:r>
              <w:rPr>
                <w:rFonts w:ascii="Arial" w:cs="Arial" w:eastAsia="Arial" w:hAnsi="Arial"/>
                <w:sz w:val="22"/>
                <w:szCs w:val="22"/>
                <w:color w:val="auto"/>
              </w:rPr>
              <w:t>Interest receivable</w:t>
            </w:r>
          </w:p>
        </w:tc>
        <w:tc>
          <w:tcPr>
            <w:tcW w:w="4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6,226,539</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7,606,964</w:t>
            </w:r>
          </w:p>
        </w:tc>
      </w:tr>
    </w:tbl>
    <w:p>
      <w:pPr>
        <w:sectPr>
          <w:pgSz w:w="11900" w:h="16838" w:orient="portrait"/>
          <w:cols w:equalWidth="0" w:num="1">
            <w:col w:w="11240"/>
          </w:cols>
          <w:pgMar w:left="320" w:top="118" w:right="339" w:bottom="0" w:gutter="0" w:footer="0" w:header="0"/>
        </w:sectPr>
      </w:pPr>
    </w:p>
    <w:bookmarkStart w:id="7" w:name="page8"/>
    <w:bookmarkEnd w:id="7"/>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86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4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662,442</w:t>
            </w:r>
          </w:p>
        </w:tc>
        <w:tc>
          <w:tcPr>
            <w:tcW w:w="3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920,235</w:t>
            </w:r>
          </w:p>
        </w:tc>
        <w:tc>
          <w:tcPr>
            <w:tcW w:w="80" w:type="dxa"/>
            <w:vAlign w:val="bottom"/>
          </w:tcPr>
          <w:p>
            <w:pPr>
              <w:spacing w:after="0"/>
              <w:rPr>
                <w:sz w:val="23"/>
                <w:szCs w:val="23"/>
                <w:color w:val="auto"/>
              </w:rPr>
            </w:pPr>
          </w:p>
        </w:tc>
      </w:tr>
      <w:tr>
        <w:trPr>
          <w:trHeight w:val="267"/>
        </w:trPr>
        <w:tc>
          <w:tcPr>
            <w:tcW w:w="6860" w:type="dxa"/>
            <w:vAlign w:val="bottom"/>
          </w:tcPr>
          <w:p>
            <w:pPr>
              <w:ind w:left="320"/>
              <w:spacing w:after="0"/>
              <w:rPr>
                <w:sz w:val="20"/>
                <w:szCs w:val="20"/>
                <w:color w:val="auto"/>
              </w:rPr>
            </w:pPr>
            <w:r>
              <w:rPr>
                <w:rFonts w:ascii="Arial" w:cs="Arial" w:eastAsia="Arial" w:hAnsi="Arial"/>
                <w:sz w:val="22"/>
                <w:szCs w:val="22"/>
                <w:b w:val="1"/>
                <w:bCs w:val="1"/>
                <w:color w:val="auto"/>
              </w:rPr>
              <w:t>Total assets</w:t>
            </w:r>
          </w:p>
        </w:tc>
        <w:tc>
          <w:tcPr>
            <w:tcW w:w="4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1,285,838,013</w:t>
            </w:r>
          </w:p>
        </w:tc>
        <w:tc>
          <w:tcPr>
            <w:tcW w:w="3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1,160,118,827</w:t>
            </w:r>
          </w:p>
        </w:tc>
        <w:tc>
          <w:tcPr>
            <w:tcW w:w="80" w:type="dxa"/>
            <w:vAlign w:val="bottom"/>
          </w:tcPr>
          <w:p>
            <w:pPr>
              <w:spacing w:after="0"/>
              <w:rPr>
                <w:sz w:val="23"/>
                <w:szCs w:val="23"/>
                <w:color w:val="auto"/>
              </w:rPr>
            </w:pPr>
          </w:p>
        </w:tc>
      </w:tr>
      <w:tr>
        <w:trPr>
          <w:trHeight w:val="256"/>
        </w:trPr>
        <w:tc>
          <w:tcPr>
            <w:tcW w:w="686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4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6860" w:type="dxa"/>
            <w:vAlign w:val="bottom"/>
          </w:tcPr>
          <w:p>
            <w:pPr>
              <w:spacing w:after="0"/>
              <w:rPr>
                <w:sz w:val="20"/>
                <w:szCs w:val="20"/>
                <w:color w:val="auto"/>
              </w:rPr>
            </w:pPr>
            <w:r>
              <w:rPr>
                <w:rFonts w:ascii="Arial" w:cs="Arial" w:eastAsia="Arial" w:hAnsi="Arial"/>
                <w:sz w:val="22"/>
                <w:szCs w:val="22"/>
                <w:color w:val="auto"/>
              </w:rPr>
              <w:t>Distributions payable</w:t>
            </w:r>
          </w:p>
        </w:tc>
        <w:tc>
          <w:tcPr>
            <w:tcW w:w="4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12,068,119</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12,429,712</w:t>
            </w:r>
          </w:p>
        </w:tc>
        <w:tc>
          <w:tcPr>
            <w:tcW w:w="80" w:type="dxa"/>
            <w:vAlign w:val="bottom"/>
          </w:tcPr>
          <w:p>
            <w:pPr>
              <w:spacing w:after="0"/>
              <w:rPr>
                <w:sz w:val="23"/>
                <w:szCs w:val="23"/>
                <w:color w:val="auto"/>
              </w:rPr>
            </w:pPr>
          </w:p>
        </w:tc>
      </w:tr>
      <w:tr>
        <w:trPr>
          <w:trHeight w:val="243"/>
        </w:trPr>
        <w:tc>
          <w:tcPr>
            <w:tcW w:w="6860" w:type="dxa"/>
            <w:vAlign w:val="bottom"/>
          </w:tcPr>
          <w:p>
            <w:pPr>
              <w:spacing w:after="0" w:line="243" w:lineRule="exact"/>
              <w:rPr>
                <w:sz w:val="20"/>
                <w:szCs w:val="20"/>
                <w:color w:val="auto"/>
              </w:rPr>
            </w:pPr>
            <w:r>
              <w:rPr>
                <w:rFonts w:ascii="Arial" w:cs="Arial" w:eastAsia="Arial" w:hAnsi="Arial"/>
                <w:sz w:val="22"/>
                <w:szCs w:val="22"/>
                <w:color w:val="auto"/>
                <w:w w:val="97"/>
              </w:rPr>
              <w:t>BNP Credit Facility payable, at fair value (cost—$171,000,000 and zero,</w:t>
            </w:r>
          </w:p>
        </w:tc>
        <w:tc>
          <w:tcPr>
            <w:tcW w:w="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6860" w:type="dxa"/>
            <w:vAlign w:val="bottom"/>
          </w:tcPr>
          <w:p>
            <w:pPr>
              <w:spacing w:after="0"/>
              <w:rPr>
                <w:sz w:val="20"/>
                <w:szCs w:val="20"/>
                <w:color w:val="auto"/>
              </w:rPr>
            </w:pPr>
            <w:r>
              <w:rPr>
                <w:rFonts w:ascii="Arial" w:cs="Arial" w:eastAsia="Arial" w:hAnsi="Arial"/>
                <w:sz w:val="22"/>
                <w:szCs w:val="22"/>
                <w:color w:val="auto"/>
              </w:rPr>
              <w:t>respectively)</w:t>
            </w:r>
          </w:p>
        </w:tc>
        <w:tc>
          <w:tcPr>
            <w:tcW w:w="4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170,145,000</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r>
      <w:tr>
        <w:trPr>
          <w:trHeight w:val="243"/>
        </w:trPr>
        <w:tc>
          <w:tcPr>
            <w:tcW w:w="6860" w:type="dxa"/>
            <w:vAlign w:val="bottom"/>
          </w:tcPr>
          <w:p>
            <w:pPr>
              <w:spacing w:after="0" w:line="243" w:lineRule="exact"/>
              <w:rPr>
                <w:sz w:val="20"/>
                <w:szCs w:val="20"/>
                <w:color w:val="auto"/>
              </w:rPr>
            </w:pPr>
            <w:r>
              <w:rPr>
                <w:rFonts w:ascii="Arial" w:cs="Arial" w:eastAsia="Arial" w:hAnsi="Arial"/>
                <w:sz w:val="22"/>
                <w:szCs w:val="22"/>
                <w:color w:val="auto"/>
                <w:w w:val="97"/>
              </w:rPr>
              <w:t>SunTrust Credit Facility payable, at fair value ' (cost—$301,636,000 and</w:t>
            </w:r>
          </w:p>
        </w:tc>
        <w:tc>
          <w:tcPr>
            <w:tcW w:w="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6860" w:type="dxa"/>
            <w:vAlign w:val="bottom"/>
          </w:tcPr>
          <w:p>
            <w:pPr>
              <w:spacing w:after="0"/>
              <w:rPr>
                <w:sz w:val="20"/>
                <w:szCs w:val="20"/>
                <w:color w:val="auto"/>
              </w:rPr>
            </w:pPr>
            <w:r>
              <w:rPr>
                <w:rFonts w:ascii="Arial" w:cs="Arial" w:eastAsia="Arial" w:hAnsi="Arial"/>
                <w:sz w:val="22"/>
                <w:szCs w:val="22"/>
                <w:color w:val="auto"/>
              </w:rPr>
              <w:t>$80,520,000, respectively)</w:t>
            </w:r>
          </w:p>
        </w:tc>
        <w:tc>
          <w:tcPr>
            <w:tcW w:w="4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295,245,214</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77,645,830</w:t>
            </w:r>
          </w:p>
        </w:tc>
        <w:tc>
          <w:tcPr>
            <w:tcW w:w="80" w:type="dxa"/>
            <w:vAlign w:val="bottom"/>
          </w:tcPr>
          <w:p>
            <w:pPr>
              <w:spacing w:after="0"/>
              <w:rPr>
                <w:sz w:val="23"/>
                <w:szCs w:val="23"/>
                <w:color w:val="auto"/>
              </w:rPr>
            </w:pPr>
          </w:p>
        </w:tc>
      </w:tr>
      <w:tr>
        <w:trPr>
          <w:trHeight w:val="270"/>
        </w:trPr>
        <w:tc>
          <w:tcPr>
            <w:tcW w:w="6860" w:type="dxa"/>
            <w:vAlign w:val="bottom"/>
          </w:tcPr>
          <w:p>
            <w:pPr>
              <w:spacing w:after="0"/>
              <w:rPr>
                <w:sz w:val="20"/>
                <w:szCs w:val="20"/>
                <w:color w:val="auto"/>
              </w:rPr>
            </w:pPr>
            <w:r>
              <w:rPr>
                <w:rFonts w:ascii="Arial" w:cs="Arial" w:eastAsia="Arial" w:hAnsi="Arial"/>
                <w:sz w:val="22"/>
                <w:szCs w:val="22"/>
                <w:color w:val="auto"/>
              </w:rPr>
              <w:t>2024 Notes payable, net (par—$75,000,000 and zero, respectively)</w:t>
            </w:r>
          </w:p>
        </w:tc>
        <w:tc>
          <w:tcPr>
            <w:tcW w:w="4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72,256,607</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r>
      <w:tr>
        <w:trPr>
          <w:trHeight w:val="270"/>
        </w:trPr>
        <w:tc>
          <w:tcPr>
            <w:tcW w:w="6860" w:type="dxa"/>
            <w:vAlign w:val="bottom"/>
          </w:tcPr>
          <w:p>
            <w:pPr>
              <w:spacing w:after="0"/>
              <w:rPr>
                <w:sz w:val="20"/>
                <w:szCs w:val="20"/>
                <w:color w:val="auto"/>
              </w:rPr>
            </w:pPr>
            <w:r>
              <w:rPr>
                <w:rFonts w:ascii="Arial" w:cs="Arial" w:eastAsia="Arial" w:hAnsi="Arial"/>
                <w:sz w:val="22"/>
                <w:szCs w:val="22"/>
                <w:color w:val="auto"/>
                <w:w w:val="91"/>
              </w:rPr>
              <w:t>2019 Notes payable, at fair value (par—zero and $250,000,000, respectively)</w:t>
            </w:r>
          </w:p>
        </w:tc>
        <w:tc>
          <w:tcPr>
            <w:tcW w:w="400" w:type="dxa"/>
            <w:vAlign w:val="bottom"/>
          </w:tcPr>
          <w:p>
            <w:pPr>
              <w:spacing w:after="0"/>
              <w:rPr>
                <w:sz w:val="23"/>
                <w:szCs w:val="23"/>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251,322,500</w:t>
            </w:r>
          </w:p>
        </w:tc>
        <w:tc>
          <w:tcPr>
            <w:tcW w:w="80" w:type="dxa"/>
            <w:vAlign w:val="bottom"/>
          </w:tcPr>
          <w:p>
            <w:pPr>
              <w:spacing w:after="0"/>
              <w:rPr>
                <w:sz w:val="23"/>
                <w:szCs w:val="23"/>
                <w:color w:val="auto"/>
              </w:rPr>
            </w:pPr>
          </w:p>
        </w:tc>
      </w:tr>
      <w:tr>
        <w:trPr>
          <w:trHeight w:val="243"/>
        </w:trPr>
        <w:tc>
          <w:tcPr>
            <w:tcW w:w="6860" w:type="dxa"/>
            <w:vAlign w:val="bottom"/>
          </w:tcPr>
          <w:p>
            <w:pPr>
              <w:spacing w:after="0" w:line="243" w:lineRule="exact"/>
              <w:rPr>
                <w:sz w:val="20"/>
                <w:szCs w:val="20"/>
                <w:color w:val="auto"/>
              </w:rPr>
            </w:pPr>
            <w:r>
              <w:rPr>
                <w:rFonts w:ascii="Arial" w:cs="Arial" w:eastAsia="Arial" w:hAnsi="Arial"/>
                <w:sz w:val="22"/>
                <w:szCs w:val="22"/>
                <w:color w:val="auto"/>
              </w:rPr>
              <w:t>SBA debentures payable, net (par—$150,000,000 and $180,000,000,</w:t>
            </w:r>
          </w:p>
        </w:tc>
        <w:tc>
          <w:tcPr>
            <w:tcW w:w="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6860" w:type="dxa"/>
            <w:vAlign w:val="bottom"/>
          </w:tcPr>
          <w:p>
            <w:pPr>
              <w:spacing w:after="0"/>
              <w:rPr>
                <w:sz w:val="20"/>
                <w:szCs w:val="20"/>
                <w:color w:val="auto"/>
              </w:rPr>
            </w:pPr>
            <w:r>
              <w:rPr>
                <w:rFonts w:ascii="Arial" w:cs="Arial" w:eastAsia="Arial" w:hAnsi="Arial"/>
                <w:sz w:val="22"/>
                <w:szCs w:val="22"/>
                <w:color w:val="auto"/>
              </w:rPr>
              <w:t>respectively)</w:t>
            </w:r>
          </w:p>
        </w:tc>
        <w:tc>
          <w:tcPr>
            <w:tcW w:w="4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146,111,055</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175,373,229</w:t>
            </w:r>
          </w:p>
        </w:tc>
        <w:tc>
          <w:tcPr>
            <w:tcW w:w="80" w:type="dxa"/>
            <w:vAlign w:val="bottom"/>
          </w:tcPr>
          <w:p>
            <w:pPr>
              <w:spacing w:after="0"/>
              <w:rPr>
                <w:sz w:val="23"/>
                <w:szCs w:val="23"/>
                <w:color w:val="auto"/>
              </w:rPr>
            </w:pPr>
          </w:p>
        </w:tc>
      </w:tr>
      <w:tr>
        <w:trPr>
          <w:trHeight w:val="270"/>
        </w:trPr>
        <w:tc>
          <w:tcPr>
            <w:tcW w:w="6860" w:type="dxa"/>
            <w:vAlign w:val="bottom"/>
          </w:tcPr>
          <w:p>
            <w:pPr>
              <w:spacing w:after="0"/>
              <w:rPr>
                <w:sz w:val="20"/>
                <w:szCs w:val="20"/>
                <w:color w:val="auto"/>
              </w:rPr>
            </w:pPr>
            <w:r>
              <w:rPr>
                <w:rFonts w:ascii="Arial" w:cs="Arial" w:eastAsia="Arial" w:hAnsi="Arial"/>
                <w:sz w:val="22"/>
                <w:szCs w:val="22"/>
                <w:color w:val="auto"/>
              </w:rPr>
              <w:t>Base management fee payable, net</w:t>
            </w:r>
          </w:p>
        </w:tc>
        <w:tc>
          <w:tcPr>
            <w:tcW w:w="4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4,641,480</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4,086,831</w:t>
            </w:r>
          </w:p>
        </w:tc>
        <w:tc>
          <w:tcPr>
            <w:tcW w:w="80" w:type="dxa"/>
            <w:vAlign w:val="bottom"/>
          </w:tcPr>
          <w:p>
            <w:pPr>
              <w:spacing w:after="0"/>
              <w:rPr>
                <w:sz w:val="23"/>
                <w:szCs w:val="23"/>
                <w:color w:val="auto"/>
              </w:rPr>
            </w:pPr>
          </w:p>
        </w:tc>
      </w:tr>
      <w:tr>
        <w:trPr>
          <w:trHeight w:val="270"/>
        </w:trPr>
        <w:tc>
          <w:tcPr>
            <w:tcW w:w="6860" w:type="dxa"/>
            <w:vAlign w:val="bottom"/>
          </w:tcPr>
          <w:p>
            <w:pPr>
              <w:spacing w:after="0"/>
              <w:rPr>
                <w:sz w:val="20"/>
                <w:szCs w:val="20"/>
                <w:color w:val="auto"/>
              </w:rPr>
            </w:pPr>
            <w:r>
              <w:rPr>
                <w:rFonts w:ascii="Arial" w:cs="Arial" w:eastAsia="Arial" w:hAnsi="Arial"/>
                <w:sz w:val="22"/>
                <w:szCs w:val="22"/>
                <w:color w:val="auto"/>
              </w:rPr>
              <w:t>Performance-based incentive fee payable, net</w:t>
            </w:r>
          </w:p>
        </w:tc>
        <w:tc>
          <w:tcPr>
            <w:tcW w:w="400" w:type="dxa"/>
            <w:vAlign w:val="bottom"/>
          </w:tcPr>
          <w:p>
            <w:pPr>
              <w:spacing w:after="0"/>
              <w:rPr>
                <w:sz w:val="23"/>
                <w:szCs w:val="23"/>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2,964,265</w:t>
            </w:r>
          </w:p>
        </w:tc>
        <w:tc>
          <w:tcPr>
            <w:tcW w:w="80" w:type="dxa"/>
            <w:vAlign w:val="bottom"/>
          </w:tcPr>
          <w:p>
            <w:pPr>
              <w:spacing w:after="0"/>
              <w:rPr>
                <w:sz w:val="23"/>
                <w:szCs w:val="23"/>
                <w:color w:val="auto"/>
              </w:rPr>
            </w:pPr>
          </w:p>
        </w:tc>
      </w:tr>
      <w:tr>
        <w:trPr>
          <w:trHeight w:val="270"/>
        </w:trPr>
        <w:tc>
          <w:tcPr>
            <w:tcW w:w="686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4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2,895,695</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6,576,393</w:t>
            </w:r>
          </w:p>
        </w:tc>
        <w:tc>
          <w:tcPr>
            <w:tcW w:w="80" w:type="dxa"/>
            <w:vAlign w:val="bottom"/>
          </w:tcPr>
          <w:p>
            <w:pPr>
              <w:spacing w:after="0"/>
              <w:rPr>
                <w:sz w:val="23"/>
                <w:szCs w:val="23"/>
                <w:color w:val="auto"/>
              </w:rPr>
            </w:pPr>
          </w:p>
        </w:tc>
      </w:tr>
      <w:tr>
        <w:trPr>
          <w:trHeight w:val="274"/>
        </w:trPr>
        <w:tc>
          <w:tcPr>
            <w:tcW w:w="6860" w:type="dxa"/>
            <w:vAlign w:val="bottom"/>
          </w:tcPr>
          <w:p>
            <w:pPr>
              <w:spacing w:after="0"/>
              <w:rPr>
                <w:sz w:val="20"/>
                <w:szCs w:val="20"/>
                <w:color w:val="auto"/>
              </w:rPr>
            </w:pPr>
            <w:r>
              <w:rPr>
                <w:rFonts w:ascii="Arial" w:cs="Arial" w:eastAsia="Arial" w:hAnsi="Arial"/>
                <w:sz w:val="22"/>
                <w:szCs w:val="22"/>
                <w:color w:val="auto"/>
              </w:rPr>
              <w:t>Accrued other expenses</w:t>
            </w:r>
          </w:p>
        </w:tc>
        <w:tc>
          <w:tcPr>
            <w:tcW w:w="4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569,175</w:t>
            </w:r>
          </w:p>
        </w:tc>
        <w:tc>
          <w:tcPr>
            <w:tcW w:w="3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818,172</w:t>
            </w:r>
          </w:p>
        </w:tc>
        <w:tc>
          <w:tcPr>
            <w:tcW w:w="80" w:type="dxa"/>
            <w:vAlign w:val="bottom"/>
          </w:tcPr>
          <w:p>
            <w:pPr>
              <w:spacing w:after="0"/>
              <w:rPr>
                <w:sz w:val="23"/>
                <w:szCs w:val="23"/>
                <w:color w:val="auto"/>
              </w:rPr>
            </w:pPr>
          </w:p>
        </w:tc>
      </w:tr>
      <w:tr>
        <w:trPr>
          <w:trHeight w:val="267"/>
        </w:trPr>
        <w:tc>
          <w:tcPr>
            <w:tcW w:w="6860" w:type="dxa"/>
            <w:vAlign w:val="bottom"/>
          </w:tcPr>
          <w:p>
            <w:pPr>
              <w:ind w:left="320"/>
              <w:spacing w:after="0"/>
              <w:rPr>
                <w:sz w:val="20"/>
                <w:szCs w:val="20"/>
                <w:color w:val="auto"/>
              </w:rPr>
            </w:pPr>
            <w:r>
              <w:rPr>
                <w:rFonts w:ascii="Arial" w:cs="Arial" w:eastAsia="Arial" w:hAnsi="Arial"/>
                <w:sz w:val="22"/>
                <w:szCs w:val="22"/>
                <w:b w:val="1"/>
                <w:bCs w:val="1"/>
                <w:color w:val="auto"/>
              </w:rPr>
              <w:t>Total liabilities</w:t>
            </w:r>
          </w:p>
        </w:tc>
        <w:tc>
          <w:tcPr>
            <w:tcW w:w="4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703,932,345</w:t>
            </w:r>
          </w:p>
        </w:tc>
        <w:tc>
          <w:tcPr>
            <w:tcW w:w="3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531,216,932</w:t>
            </w:r>
          </w:p>
        </w:tc>
        <w:tc>
          <w:tcPr>
            <w:tcW w:w="80" w:type="dxa"/>
            <w:vAlign w:val="bottom"/>
          </w:tcPr>
          <w:p>
            <w:pPr>
              <w:spacing w:after="0"/>
              <w:rPr>
                <w:sz w:val="23"/>
                <w:szCs w:val="23"/>
                <w:color w:val="auto"/>
              </w:rPr>
            </w:pPr>
          </w:p>
        </w:tc>
      </w:tr>
      <w:tr>
        <w:trPr>
          <w:trHeight w:val="250"/>
        </w:trPr>
        <w:tc>
          <w:tcPr>
            <w:tcW w:w="686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686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6860" w:type="dxa"/>
            <w:vAlign w:val="bottom"/>
          </w:tcPr>
          <w:p>
            <w:pPr>
              <w:spacing w:after="0" w:line="243" w:lineRule="exact"/>
              <w:rPr>
                <w:sz w:val="20"/>
                <w:szCs w:val="20"/>
                <w:color w:val="auto"/>
              </w:rPr>
            </w:pPr>
            <w:r>
              <w:rPr>
                <w:rFonts w:ascii="Arial" w:cs="Arial" w:eastAsia="Arial" w:hAnsi="Arial"/>
                <w:sz w:val="22"/>
                <w:szCs w:val="22"/>
                <w:color w:val="auto"/>
                <w:w w:val="92"/>
              </w:rPr>
              <w:t>Common stock, 67,045,105 and 69,053,958 shares issued and outstanding,</w:t>
            </w:r>
          </w:p>
        </w:tc>
        <w:tc>
          <w:tcPr>
            <w:tcW w:w="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6860" w:type="dxa"/>
            <w:vAlign w:val="bottom"/>
          </w:tcPr>
          <w:p>
            <w:pPr>
              <w:spacing w:after="0"/>
              <w:rPr>
                <w:sz w:val="20"/>
                <w:szCs w:val="20"/>
                <w:color w:val="auto"/>
              </w:rPr>
            </w:pPr>
            <w:r>
              <w:rPr>
                <w:rFonts w:ascii="Arial" w:cs="Arial" w:eastAsia="Arial" w:hAnsi="Arial"/>
                <w:sz w:val="22"/>
                <w:szCs w:val="22"/>
                <w:color w:val="auto"/>
              </w:rPr>
              <w:t>respectively.</w:t>
            </w:r>
          </w:p>
        </w:tc>
        <w:tc>
          <w:tcPr>
            <w:tcW w:w="4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6860" w:type="dxa"/>
            <w:vAlign w:val="bottom"/>
          </w:tcPr>
          <w:p>
            <w:pPr>
              <w:ind w:left="100"/>
              <w:spacing w:after="0"/>
              <w:rPr>
                <w:sz w:val="20"/>
                <w:szCs w:val="20"/>
                <w:color w:val="auto"/>
              </w:rPr>
            </w:pPr>
            <w:r>
              <w:rPr>
                <w:rFonts w:ascii="Arial" w:cs="Arial" w:eastAsia="Arial" w:hAnsi="Arial"/>
                <w:sz w:val="22"/>
                <w:szCs w:val="22"/>
                <w:color w:val="auto"/>
              </w:rPr>
              <w:t>Par value $0.001 per share and 100,000,000 shares authorized</w:t>
            </w:r>
          </w:p>
        </w:tc>
        <w:tc>
          <w:tcPr>
            <w:tcW w:w="4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67,045</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69,054</w:t>
            </w:r>
          </w:p>
        </w:tc>
        <w:tc>
          <w:tcPr>
            <w:tcW w:w="80" w:type="dxa"/>
            <w:vAlign w:val="bottom"/>
          </w:tcPr>
          <w:p>
            <w:pPr>
              <w:spacing w:after="0"/>
              <w:rPr>
                <w:sz w:val="23"/>
                <w:szCs w:val="23"/>
                <w:color w:val="auto"/>
              </w:rPr>
            </w:pPr>
          </w:p>
        </w:tc>
      </w:tr>
      <w:tr>
        <w:trPr>
          <w:trHeight w:val="270"/>
        </w:trPr>
        <w:tc>
          <w:tcPr>
            <w:tcW w:w="686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4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788,192,159</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803,729,220</w:t>
            </w:r>
          </w:p>
        </w:tc>
        <w:tc>
          <w:tcPr>
            <w:tcW w:w="80" w:type="dxa"/>
            <w:vAlign w:val="bottom"/>
          </w:tcPr>
          <w:p>
            <w:pPr>
              <w:spacing w:after="0"/>
              <w:rPr>
                <w:sz w:val="23"/>
                <w:szCs w:val="23"/>
                <w:color w:val="auto"/>
              </w:rPr>
            </w:pPr>
          </w:p>
        </w:tc>
      </w:tr>
      <w:tr>
        <w:trPr>
          <w:trHeight w:val="274"/>
        </w:trPr>
        <w:tc>
          <w:tcPr>
            <w:tcW w:w="6860" w:type="dxa"/>
            <w:vAlign w:val="bottom"/>
          </w:tcPr>
          <w:p>
            <w:pPr>
              <w:spacing w:after="0"/>
              <w:rPr>
                <w:sz w:val="20"/>
                <w:szCs w:val="20"/>
                <w:color w:val="auto"/>
              </w:rPr>
            </w:pPr>
            <w:r>
              <w:rPr>
                <w:rFonts w:ascii="Arial" w:cs="Arial" w:eastAsia="Arial" w:hAnsi="Arial"/>
                <w:sz w:val="22"/>
                <w:szCs w:val="22"/>
                <w:color w:val="auto"/>
              </w:rPr>
              <w:t>Accumulated distributable loss</w:t>
            </w:r>
          </w:p>
        </w:tc>
        <w:tc>
          <w:tcPr>
            <w:tcW w:w="400" w:type="dxa"/>
            <w:vAlign w:val="bottom"/>
          </w:tcPr>
          <w:p>
            <w:pPr>
              <w:spacing w:after="0"/>
              <w:rPr>
                <w:sz w:val="23"/>
                <w:szCs w:val="23"/>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22"/>
                <w:szCs w:val="22"/>
                <w:color w:val="auto"/>
              </w:rPr>
              <w:t>(206,353,536)</w:t>
            </w:r>
          </w:p>
        </w:tc>
        <w:tc>
          <w:tcPr>
            <w:tcW w:w="380" w:type="dxa"/>
            <w:vAlign w:val="bottom"/>
          </w:tcPr>
          <w:p>
            <w:pPr>
              <w:spacing w:after="0"/>
              <w:rPr>
                <w:sz w:val="23"/>
                <w:szCs w:val="23"/>
                <w:color w:val="auto"/>
              </w:rPr>
            </w:pPr>
          </w:p>
        </w:tc>
        <w:tc>
          <w:tcPr>
            <w:tcW w:w="1580" w:type="dxa"/>
            <w:vAlign w:val="bottom"/>
            <w:gridSpan w:val="2"/>
          </w:tcPr>
          <w:p>
            <w:pPr>
              <w:jc w:val="right"/>
              <w:spacing w:after="0"/>
              <w:rPr>
                <w:sz w:val="20"/>
                <w:szCs w:val="20"/>
                <w:color w:val="auto"/>
              </w:rPr>
            </w:pPr>
            <w:r>
              <w:rPr>
                <w:rFonts w:ascii="Arial" w:cs="Arial" w:eastAsia="Arial" w:hAnsi="Arial"/>
                <w:sz w:val="22"/>
                <w:szCs w:val="22"/>
                <w:color w:val="auto"/>
              </w:rPr>
              <w:t>(174,896,379)</w:t>
            </w:r>
          </w:p>
        </w:tc>
      </w:tr>
      <w:tr>
        <w:trPr>
          <w:trHeight w:val="267"/>
        </w:trPr>
        <w:tc>
          <w:tcPr>
            <w:tcW w:w="6860" w:type="dxa"/>
            <w:vAlign w:val="bottom"/>
          </w:tcPr>
          <w:p>
            <w:pPr>
              <w:ind w:left="320"/>
              <w:spacing w:after="0"/>
              <w:rPr>
                <w:sz w:val="20"/>
                <w:szCs w:val="20"/>
                <w:color w:val="auto"/>
              </w:rPr>
            </w:pPr>
            <w:r>
              <w:rPr>
                <w:rFonts w:ascii="Arial" w:cs="Arial" w:eastAsia="Arial" w:hAnsi="Arial"/>
                <w:sz w:val="22"/>
                <w:szCs w:val="22"/>
                <w:b w:val="1"/>
                <w:bCs w:val="1"/>
                <w:color w:val="auto"/>
              </w:rPr>
              <w:t>Total net assets</w:t>
            </w:r>
          </w:p>
        </w:tc>
        <w:tc>
          <w:tcPr>
            <w:tcW w:w="4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22"/>
                <w:szCs w:val="22"/>
                <w:color w:val="auto"/>
                <w:w w:val="8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581,905,668</w:t>
            </w:r>
          </w:p>
        </w:tc>
        <w:tc>
          <w:tcPr>
            <w:tcW w:w="340" w:type="dxa"/>
            <w:vAlign w:val="bottom"/>
          </w:tcPr>
          <w:p>
            <w:pPr>
              <w:spacing w:after="0"/>
              <w:rPr>
                <w:sz w:val="23"/>
                <w:szCs w:val="23"/>
                <w:color w:val="auto"/>
              </w:rPr>
            </w:pPr>
          </w:p>
        </w:tc>
        <w:tc>
          <w:tcPr>
            <w:tcW w:w="3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22"/>
                <w:szCs w:val="22"/>
                <w:color w:val="auto"/>
                <w:w w:val="8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628,901,895</w:t>
            </w:r>
          </w:p>
        </w:tc>
        <w:tc>
          <w:tcPr>
            <w:tcW w:w="80" w:type="dxa"/>
            <w:vAlign w:val="bottom"/>
          </w:tcPr>
          <w:p>
            <w:pPr>
              <w:spacing w:after="0"/>
              <w:rPr>
                <w:sz w:val="23"/>
                <w:szCs w:val="23"/>
                <w:color w:val="auto"/>
              </w:rPr>
            </w:pPr>
          </w:p>
        </w:tc>
      </w:tr>
      <w:tr>
        <w:trPr>
          <w:trHeight w:val="264"/>
        </w:trPr>
        <w:tc>
          <w:tcPr>
            <w:tcW w:w="6860" w:type="dxa"/>
            <w:vAlign w:val="bottom"/>
          </w:tcPr>
          <w:p>
            <w:pPr>
              <w:ind w:left="320"/>
              <w:spacing w:after="0"/>
              <w:rPr>
                <w:sz w:val="20"/>
                <w:szCs w:val="20"/>
                <w:color w:val="auto"/>
              </w:rPr>
            </w:pPr>
            <w:r>
              <w:rPr>
                <w:rFonts w:ascii="Arial" w:cs="Arial" w:eastAsia="Arial" w:hAnsi="Arial"/>
                <w:sz w:val="22"/>
                <w:szCs w:val="22"/>
                <w:b w:val="1"/>
                <w:bCs w:val="1"/>
                <w:color w:val="auto"/>
              </w:rPr>
              <w:t>Total liabilities and net assets</w:t>
            </w:r>
          </w:p>
        </w:tc>
        <w:tc>
          <w:tcPr>
            <w:tcW w:w="40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w w:val="8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1,285,838,013</w:t>
            </w:r>
          </w:p>
        </w:tc>
        <w:tc>
          <w:tcPr>
            <w:tcW w:w="340" w:type="dxa"/>
            <w:vAlign w:val="bottom"/>
          </w:tcPr>
          <w:p>
            <w:pPr>
              <w:spacing w:after="0"/>
              <w:rPr>
                <w:sz w:val="22"/>
                <w:szCs w:val="22"/>
                <w:color w:val="auto"/>
              </w:rPr>
            </w:pPr>
          </w:p>
        </w:tc>
        <w:tc>
          <w:tcPr>
            <w:tcW w:w="3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8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1,160,118,827</w:t>
            </w:r>
          </w:p>
        </w:tc>
        <w:tc>
          <w:tcPr>
            <w:tcW w:w="80" w:type="dxa"/>
            <w:vAlign w:val="bottom"/>
          </w:tcPr>
          <w:p>
            <w:pPr>
              <w:spacing w:after="0"/>
              <w:rPr>
                <w:sz w:val="22"/>
                <w:szCs w:val="22"/>
                <w:color w:val="auto"/>
              </w:rPr>
            </w:pPr>
          </w:p>
        </w:tc>
      </w:tr>
      <w:tr>
        <w:trPr>
          <w:trHeight w:val="20"/>
        </w:trPr>
        <w:tc>
          <w:tcPr>
            <w:tcW w:w="6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686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40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w w:val="8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8.68</w:t>
            </w:r>
          </w:p>
        </w:tc>
        <w:tc>
          <w:tcPr>
            <w:tcW w:w="340" w:type="dxa"/>
            <w:vAlign w:val="bottom"/>
          </w:tcPr>
          <w:p>
            <w:pPr>
              <w:spacing w:after="0"/>
              <w:rPr>
                <w:sz w:val="22"/>
                <w:szCs w:val="22"/>
                <w:color w:val="auto"/>
              </w:rPr>
            </w:pPr>
          </w:p>
        </w:tc>
        <w:tc>
          <w:tcPr>
            <w:tcW w:w="3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8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9.11</w:t>
            </w:r>
          </w:p>
        </w:tc>
        <w:tc>
          <w:tcPr>
            <w:tcW w:w="80" w:type="dxa"/>
            <w:vAlign w:val="bottom"/>
          </w:tcPr>
          <w:p>
            <w:pPr>
              <w:spacing w:after="0"/>
              <w:rPr>
                <w:sz w:val="22"/>
                <w:szCs w:val="22"/>
                <w:color w:val="auto"/>
              </w:rPr>
            </w:pPr>
          </w:p>
        </w:tc>
      </w:tr>
      <w:tr>
        <w:trPr>
          <w:trHeight w:val="20"/>
        </w:trPr>
        <w:tc>
          <w:tcPr>
            <w:tcW w:w="6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PENNANTPARK INVESTMENT CORPORATION AND SUBSIDIARIES</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right"/>
              <w:ind w:right="152"/>
              <w:spacing w:after="0"/>
              <w:rPr>
                <w:sz w:val="20"/>
                <w:szCs w:val="20"/>
                <w:color w:val="auto"/>
              </w:rPr>
            </w:pPr>
            <w:r>
              <w:rPr>
                <w:rFonts w:ascii="Arial" w:cs="Arial" w:eastAsia="Arial" w:hAnsi="Arial"/>
                <w:sz w:val="22"/>
                <w:szCs w:val="22"/>
                <w:b w:val="1"/>
                <w:bCs w:val="1"/>
                <w:color w:val="auto"/>
              </w:rPr>
              <w:t>Years Ended September 30,</w:t>
            </w:r>
          </w:p>
        </w:tc>
        <w:tc>
          <w:tcPr>
            <w:tcW w:w="1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65"/>
        </w:trPr>
        <w:tc>
          <w:tcPr>
            <w:tcW w:w="54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2019</w:t>
            </w:r>
          </w:p>
        </w:tc>
        <w:tc>
          <w:tcPr>
            <w:tcW w:w="4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2018</w:t>
            </w:r>
          </w:p>
        </w:tc>
        <w:tc>
          <w:tcPr>
            <w:tcW w:w="4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3"/>
                <w:szCs w:val="23"/>
                <w:color w:val="auto"/>
              </w:rPr>
            </w:pPr>
          </w:p>
        </w:tc>
      </w:tr>
      <w:tr>
        <w:trPr>
          <w:trHeight w:val="256"/>
        </w:trPr>
        <w:tc>
          <w:tcPr>
            <w:tcW w:w="540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540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5400" w:type="dxa"/>
            <w:vAlign w:val="bottom"/>
          </w:tcPr>
          <w:p>
            <w:pPr>
              <w:ind w:left="120"/>
              <w:spacing w:after="0"/>
              <w:rPr>
                <w:sz w:val="20"/>
                <w:szCs w:val="20"/>
                <w:color w:val="auto"/>
              </w:rPr>
            </w:pPr>
            <w:r>
              <w:rPr>
                <w:rFonts w:ascii="Arial" w:cs="Arial" w:eastAsia="Arial" w:hAnsi="Arial"/>
                <w:sz w:val="22"/>
                <w:szCs w:val="22"/>
                <w:color w:val="auto"/>
              </w:rPr>
              <w:t>Interest</w:t>
            </w:r>
          </w:p>
        </w:tc>
        <w:tc>
          <w:tcPr>
            <w:tcW w:w="300" w:type="dxa"/>
            <w:vAlign w:val="bottom"/>
          </w:tcPr>
          <w:p>
            <w:pPr>
              <w:jc w:val="right"/>
              <w:ind w:right="72"/>
              <w:spacing w:after="0"/>
              <w:rPr>
                <w:sz w:val="20"/>
                <w:szCs w:val="20"/>
                <w:color w:val="auto"/>
              </w:rPr>
            </w:pPr>
            <w:r>
              <w:rPr>
                <w:rFonts w:ascii="Arial" w:cs="Arial" w:eastAsia="Arial" w:hAnsi="Arial"/>
                <w:sz w:val="22"/>
                <w:szCs w:val="22"/>
                <w:color w:val="auto"/>
                <w:w w:val="81"/>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88,060,418</w:t>
            </w:r>
          </w:p>
        </w:tc>
        <w:tc>
          <w:tcPr>
            <w:tcW w:w="46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Arial" w:cs="Arial" w:eastAsia="Arial" w:hAnsi="Arial"/>
                <w:sz w:val="22"/>
                <w:szCs w:val="22"/>
                <w:color w:val="auto"/>
                <w:w w:val="81"/>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83,255,593</w:t>
            </w:r>
          </w:p>
        </w:tc>
        <w:tc>
          <w:tcPr>
            <w:tcW w:w="44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84,685,961</w:t>
            </w:r>
          </w:p>
        </w:tc>
        <w:tc>
          <w:tcPr>
            <w:tcW w:w="80" w:type="dxa"/>
            <w:vAlign w:val="bottom"/>
          </w:tcPr>
          <w:p>
            <w:pPr>
              <w:spacing w:after="0"/>
              <w:rPr>
                <w:sz w:val="23"/>
                <w:szCs w:val="23"/>
                <w:color w:val="auto"/>
              </w:rPr>
            </w:pPr>
          </w:p>
        </w:tc>
      </w:tr>
      <w:tr>
        <w:trPr>
          <w:trHeight w:val="270"/>
        </w:trPr>
        <w:tc>
          <w:tcPr>
            <w:tcW w:w="5400" w:type="dxa"/>
            <w:vAlign w:val="bottom"/>
          </w:tcPr>
          <w:p>
            <w:pPr>
              <w:ind w:left="120"/>
              <w:spacing w:after="0"/>
              <w:rPr>
                <w:sz w:val="20"/>
                <w:szCs w:val="20"/>
                <w:color w:val="auto"/>
              </w:rPr>
            </w:pPr>
            <w:r>
              <w:rPr>
                <w:rFonts w:ascii="Arial" w:cs="Arial" w:eastAsia="Arial" w:hAnsi="Arial"/>
                <w:sz w:val="22"/>
                <w:szCs w:val="22"/>
                <w:color w:val="auto"/>
              </w:rPr>
              <w:t>Payment in kind</w:t>
            </w: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6,445,122</w:t>
            </w: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5,645,535</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3,819,996</w:t>
            </w:r>
          </w:p>
        </w:tc>
        <w:tc>
          <w:tcPr>
            <w:tcW w:w="80" w:type="dxa"/>
            <w:vAlign w:val="bottom"/>
          </w:tcPr>
          <w:p>
            <w:pPr>
              <w:spacing w:after="0"/>
              <w:rPr>
                <w:sz w:val="23"/>
                <w:szCs w:val="23"/>
                <w:color w:val="auto"/>
              </w:rPr>
            </w:pPr>
          </w:p>
        </w:tc>
      </w:tr>
      <w:tr>
        <w:trPr>
          <w:trHeight w:val="270"/>
        </w:trPr>
        <w:tc>
          <w:tcPr>
            <w:tcW w:w="5400" w:type="dxa"/>
            <w:vAlign w:val="bottom"/>
          </w:tcPr>
          <w:p>
            <w:pPr>
              <w:ind w:left="120"/>
              <w:spacing w:after="0"/>
              <w:rPr>
                <w:sz w:val="20"/>
                <w:szCs w:val="20"/>
                <w:color w:val="auto"/>
              </w:rPr>
            </w:pPr>
            <w:r>
              <w:rPr>
                <w:rFonts w:ascii="Arial" w:cs="Arial" w:eastAsia="Arial" w:hAnsi="Arial"/>
                <w:sz w:val="22"/>
                <w:szCs w:val="22"/>
                <w:color w:val="auto"/>
              </w:rPr>
              <w:t>Other income</w:t>
            </w: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3,122,988</w:t>
            </w: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6,981,507</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7,079,034</w:t>
            </w:r>
          </w:p>
        </w:tc>
        <w:tc>
          <w:tcPr>
            <w:tcW w:w="80" w:type="dxa"/>
            <w:vAlign w:val="bottom"/>
          </w:tcPr>
          <w:p>
            <w:pPr>
              <w:spacing w:after="0"/>
              <w:rPr>
                <w:sz w:val="23"/>
                <w:szCs w:val="23"/>
                <w:color w:val="auto"/>
              </w:rPr>
            </w:pPr>
          </w:p>
        </w:tc>
      </w:tr>
      <w:tr>
        <w:trPr>
          <w:trHeight w:val="270"/>
        </w:trPr>
        <w:tc>
          <w:tcPr>
            <w:tcW w:w="540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5400" w:type="dxa"/>
            <w:vAlign w:val="bottom"/>
          </w:tcPr>
          <w:p>
            <w:pPr>
              <w:ind w:left="120"/>
              <w:spacing w:after="0"/>
              <w:rPr>
                <w:sz w:val="20"/>
                <w:szCs w:val="20"/>
                <w:color w:val="auto"/>
              </w:rPr>
            </w:pPr>
            <w:r>
              <w:rPr>
                <w:rFonts w:ascii="Arial" w:cs="Arial" w:eastAsia="Arial" w:hAnsi="Arial"/>
                <w:sz w:val="22"/>
                <w:szCs w:val="22"/>
                <w:color w:val="auto"/>
              </w:rPr>
              <w:t>Interest</w:t>
            </w:r>
          </w:p>
        </w:tc>
        <w:tc>
          <w:tcPr>
            <w:tcW w:w="300" w:type="dxa"/>
            <w:vAlign w:val="bottom"/>
          </w:tcPr>
          <w:p>
            <w:pPr>
              <w:spacing w:after="0"/>
              <w:rPr>
                <w:sz w:val="23"/>
                <w:szCs w:val="23"/>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3,013,976</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10,339,444</w:t>
            </w:r>
          </w:p>
        </w:tc>
        <w:tc>
          <w:tcPr>
            <w:tcW w:w="80" w:type="dxa"/>
            <w:vAlign w:val="bottom"/>
          </w:tcPr>
          <w:p>
            <w:pPr>
              <w:spacing w:after="0"/>
              <w:rPr>
                <w:sz w:val="23"/>
                <w:szCs w:val="23"/>
                <w:color w:val="auto"/>
              </w:rPr>
            </w:pPr>
          </w:p>
        </w:tc>
      </w:tr>
      <w:tr>
        <w:trPr>
          <w:trHeight w:val="270"/>
        </w:trPr>
        <w:tc>
          <w:tcPr>
            <w:tcW w:w="5400" w:type="dxa"/>
            <w:vAlign w:val="bottom"/>
          </w:tcPr>
          <w:p>
            <w:pPr>
              <w:ind w:left="120"/>
              <w:spacing w:after="0"/>
              <w:rPr>
                <w:sz w:val="20"/>
                <w:szCs w:val="20"/>
                <w:color w:val="auto"/>
              </w:rPr>
            </w:pPr>
            <w:r>
              <w:rPr>
                <w:rFonts w:ascii="Arial" w:cs="Arial" w:eastAsia="Arial" w:hAnsi="Arial"/>
                <w:sz w:val="22"/>
                <w:szCs w:val="22"/>
                <w:color w:val="auto"/>
              </w:rPr>
              <w:t>Payment in kind</w:t>
            </w:r>
          </w:p>
        </w:tc>
        <w:tc>
          <w:tcPr>
            <w:tcW w:w="300" w:type="dxa"/>
            <w:vAlign w:val="bottom"/>
          </w:tcPr>
          <w:p>
            <w:pPr>
              <w:spacing w:after="0"/>
              <w:rPr>
                <w:sz w:val="23"/>
                <w:szCs w:val="23"/>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2,031,589</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5,475,491</w:t>
            </w:r>
          </w:p>
        </w:tc>
        <w:tc>
          <w:tcPr>
            <w:tcW w:w="80" w:type="dxa"/>
            <w:vAlign w:val="bottom"/>
          </w:tcPr>
          <w:p>
            <w:pPr>
              <w:spacing w:after="0"/>
              <w:rPr>
                <w:sz w:val="23"/>
                <w:szCs w:val="23"/>
                <w:color w:val="auto"/>
              </w:rPr>
            </w:pPr>
          </w:p>
        </w:tc>
      </w:tr>
      <w:tr>
        <w:trPr>
          <w:trHeight w:val="270"/>
        </w:trPr>
        <w:tc>
          <w:tcPr>
            <w:tcW w:w="5400" w:type="dxa"/>
            <w:vAlign w:val="bottom"/>
          </w:tcPr>
          <w:p>
            <w:pPr>
              <w:ind w:left="120"/>
              <w:spacing w:after="0"/>
              <w:rPr>
                <w:sz w:val="20"/>
                <w:szCs w:val="20"/>
                <w:color w:val="auto"/>
              </w:rPr>
            </w:pPr>
            <w:r>
              <w:rPr>
                <w:rFonts w:ascii="Arial" w:cs="Arial" w:eastAsia="Arial" w:hAnsi="Arial"/>
                <w:sz w:val="22"/>
                <w:szCs w:val="22"/>
                <w:color w:val="auto"/>
              </w:rPr>
              <w:t>Other income</w:t>
            </w:r>
          </w:p>
        </w:tc>
        <w:tc>
          <w:tcPr>
            <w:tcW w:w="300" w:type="dxa"/>
            <w:vAlign w:val="bottom"/>
          </w:tcPr>
          <w:p>
            <w:pPr>
              <w:spacing w:after="0"/>
              <w:rPr>
                <w:sz w:val="23"/>
                <w:szCs w:val="23"/>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1,609,935</w:t>
            </w:r>
          </w:p>
        </w:tc>
        <w:tc>
          <w:tcPr>
            <w:tcW w:w="80" w:type="dxa"/>
            <w:vAlign w:val="bottom"/>
          </w:tcPr>
          <w:p>
            <w:pPr>
              <w:spacing w:after="0"/>
              <w:rPr>
                <w:sz w:val="23"/>
                <w:szCs w:val="23"/>
                <w:color w:val="auto"/>
              </w:rPr>
            </w:pPr>
          </w:p>
        </w:tc>
      </w:tr>
      <w:tr>
        <w:trPr>
          <w:trHeight w:val="270"/>
        </w:trPr>
        <w:tc>
          <w:tcPr>
            <w:tcW w:w="540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5400" w:type="dxa"/>
            <w:vAlign w:val="bottom"/>
          </w:tcPr>
          <w:p>
            <w:pPr>
              <w:ind w:left="120"/>
              <w:spacing w:after="0"/>
              <w:rPr>
                <w:sz w:val="20"/>
                <w:szCs w:val="20"/>
                <w:color w:val="auto"/>
              </w:rPr>
            </w:pPr>
            <w:r>
              <w:rPr>
                <w:rFonts w:ascii="Arial" w:cs="Arial" w:eastAsia="Arial" w:hAnsi="Arial"/>
                <w:sz w:val="22"/>
                <w:szCs w:val="22"/>
                <w:color w:val="auto"/>
              </w:rPr>
              <w:t>Interest</w:t>
            </w: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9,381,881</w:t>
            </w: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4,499,350</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734,163</w:t>
            </w:r>
          </w:p>
        </w:tc>
        <w:tc>
          <w:tcPr>
            <w:tcW w:w="80" w:type="dxa"/>
            <w:vAlign w:val="bottom"/>
          </w:tcPr>
          <w:p>
            <w:pPr>
              <w:spacing w:after="0"/>
              <w:rPr>
                <w:sz w:val="23"/>
                <w:szCs w:val="23"/>
                <w:color w:val="auto"/>
              </w:rPr>
            </w:pPr>
          </w:p>
        </w:tc>
      </w:tr>
      <w:tr>
        <w:trPr>
          <w:trHeight w:val="270"/>
        </w:trPr>
        <w:tc>
          <w:tcPr>
            <w:tcW w:w="5400" w:type="dxa"/>
            <w:vAlign w:val="bottom"/>
          </w:tcPr>
          <w:p>
            <w:pPr>
              <w:ind w:left="120"/>
              <w:spacing w:after="0"/>
              <w:rPr>
                <w:sz w:val="20"/>
                <w:szCs w:val="20"/>
                <w:color w:val="auto"/>
              </w:rPr>
            </w:pPr>
            <w:r>
              <w:rPr>
                <w:rFonts w:ascii="Arial" w:cs="Arial" w:eastAsia="Arial" w:hAnsi="Arial"/>
                <w:sz w:val="22"/>
                <w:szCs w:val="22"/>
                <w:color w:val="auto"/>
              </w:rPr>
              <w:t>Payment in kind</w:t>
            </w: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4,319,300</w:t>
            </w: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2,850,498</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10,790,300</w:t>
            </w:r>
          </w:p>
        </w:tc>
        <w:tc>
          <w:tcPr>
            <w:tcW w:w="80" w:type="dxa"/>
            <w:vAlign w:val="bottom"/>
          </w:tcPr>
          <w:p>
            <w:pPr>
              <w:spacing w:after="0"/>
              <w:rPr>
                <w:sz w:val="23"/>
                <w:szCs w:val="23"/>
                <w:color w:val="auto"/>
              </w:rPr>
            </w:pPr>
          </w:p>
        </w:tc>
      </w:tr>
      <w:tr>
        <w:trPr>
          <w:trHeight w:val="274"/>
        </w:trPr>
        <w:tc>
          <w:tcPr>
            <w:tcW w:w="5400" w:type="dxa"/>
            <w:vAlign w:val="bottom"/>
          </w:tcPr>
          <w:p>
            <w:pPr>
              <w:ind w:left="120"/>
              <w:spacing w:after="0"/>
              <w:rPr>
                <w:sz w:val="20"/>
                <w:szCs w:val="20"/>
                <w:color w:val="auto"/>
              </w:rPr>
            </w:pPr>
            <w:r>
              <w:rPr>
                <w:rFonts w:ascii="Arial" w:cs="Arial" w:eastAsia="Arial" w:hAnsi="Arial"/>
                <w:sz w:val="22"/>
                <w:szCs w:val="22"/>
                <w:color w:val="auto"/>
              </w:rPr>
              <w:t>Other income</w:t>
            </w: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776,945</w:t>
            </w: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r>
      <w:tr>
        <w:trPr>
          <w:trHeight w:val="267"/>
        </w:trPr>
        <w:tc>
          <w:tcPr>
            <w:tcW w:w="5400" w:type="dxa"/>
            <w:vAlign w:val="bottom"/>
          </w:tcPr>
          <w:p>
            <w:pPr>
              <w:ind w:left="120"/>
              <w:spacing w:after="0"/>
              <w:rPr>
                <w:sz w:val="20"/>
                <w:szCs w:val="20"/>
                <w:color w:val="auto"/>
              </w:rPr>
            </w:pPr>
            <w:r>
              <w:rPr>
                <w:rFonts w:ascii="Arial" w:cs="Arial" w:eastAsia="Arial" w:hAnsi="Arial"/>
                <w:sz w:val="22"/>
                <w:szCs w:val="22"/>
                <w:b w:val="1"/>
                <w:bCs w:val="1"/>
                <w:color w:val="auto"/>
              </w:rPr>
              <w:t>Total investment income</w:t>
            </w:r>
          </w:p>
        </w:tc>
        <w:tc>
          <w:tcPr>
            <w:tcW w:w="300" w:type="dxa"/>
            <w:vAlign w:val="bottom"/>
            <w:tcBorders>
              <w:top w:val="single" w:sz="8" w:color="auto"/>
              <w:bottom w:val="single" w:sz="8" w:color="auto"/>
            </w:tcBorders>
          </w:tcPr>
          <w:p>
            <w:pPr>
              <w:spacing w:after="0"/>
              <w:rPr>
                <w:sz w:val="23"/>
                <w:szCs w:val="23"/>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112,106,654</w:t>
            </w:r>
          </w:p>
        </w:tc>
        <w:tc>
          <w:tcPr>
            <w:tcW w:w="46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108,278,048</w:t>
            </w:r>
          </w:p>
        </w:tc>
        <w:tc>
          <w:tcPr>
            <w:tcW w:w="44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124,534,324</w:t>
            </w:r>
          </w:p>
        </w:tc>
        <w:tc>
          <w:tcPr>
            <w:tcW w:w="80" w:type="dxa"/>
            <w:vAlign w:val="bottom"/>
          </w:tcPr>
          <w:p>
            <w:pPr>
              <w:spacing w:after="0"/>
              <w:rPr>
                <w:sz w:val="23"/>
                <w:szCs w:val="23"/>
                <w:color w:val="auto"/>
              </w:rPr>
            </w:pPr>
          </w:p>
        </w:tc>
      </w:tr>
      <w:tr>
        <w:trPr>
          <w:trHeight w:val="256"/>
        </w:trPr>
        <w:tc>
          <w:tcPr>
            <w:tcW w:w="540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5400" w:type="dxa"/>
            <w:vAlign w:val="bottom"/>
          </w:tcPr>
          <w:p>
            <w:pPr>
              <w:ind w:left="120"/>
              <w:spacing w:after="0"/>
              <w:rPr>
                <w:sz w:val="20"/>
                <w:szCs w:val="20"/>
                <w:color w:val="auto"/>
              </w:rPr>
            </w:pPr>
            <w:r>
              <w:rPr>
                <w:rFonts w:ascii="Arial" w:cs="Arial" w:eastAsia="Arial" w:hAnsi="Arial"/>
                <w:sz w:val="22"/>
                <w:szCs w:val="22"/>
                <w:color w:val="auto"/>
              </w:rPr>
              <w:t>Base management fee</w:t>
            </w: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18,225,229</w:t>
            </w: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17,468,376</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24,218,029</w:t>
            </w:r>
          </w:p>
        </w:tc>
        <w:tc>
          <w:tcPr>
            <w:tcW w:w="80" w:type="dxa"/>
            <w:vAlign w:val="bottom"/>
          </w:tcPr>
          <w:p>
            <w:pPr>
              <w:spacing w:after="0"/>
              <w:rPr>
                <w:sz w:val="23"/>
                <w:szCs w:val="23"/>
                <w:color w:val="auto"/>
              </w:rPr>
            </w:pPr>
          </w:p>
        </w:tc>
      </w:tr>
      <w:tr>
        <w:trPr>
          <w:trHeight w:val="270"/>
        </w:trPr>
        <w:tc>
          <w:tcPr>
            <w:tcW w:w="5400" w:type="dxa"/>
            <w:vAlign w:val="bottom"/>
          </w:tcPr>
          <w:p>
            <w:pPr>
              <w:ind w:left="120"/>
              <w:spacing w:after="0"/>
              <w:rPr>
                <w:sz w:val="20"/>
                <w:szCs w:val="20"/>
                <w:color w:val="auto"/>
              </w:rPr>
            </w:pPr>
            <w:r>
              <w:rPr>
                <w:rFonts w:ascii="Arial" w:cs="Arial" w:eastAsia="Arial" w:hAnsi="Arial"/>
                <w:sz w:val="22"/>
                <w:szCs w:val="22"/>
                <w:color w:val="auto"/>
              </w:rPr>
              <w:t>Performance-based incentive fee</w:t>
            </w: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5,146,696</w:t>
            </w: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11,492,928</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11,077,956</w:t>
            </w:r>
          </w:p>
        </w:tc>
        <w:tc>
          <w:tcPr>
            <w:tcW w:w="80" w:type="dxa"/>
            <w:vAlign w:val="bottom"/>
          </w:tcPr>
          <w:p>
            <w:pPr>
              <w:spacing w:after="0"/>
              <w:rPr>
                <w:sz w:val="23"/>
                <w:szCs w:val="23"/>
                <w:color w:val="auto"/>
              </w:rPr>
            </w:pPr>
          </w:p>
        </w:tc>
      </w:tr>
      <w:tr>
        <w:trPr>
          <w:trHeight w:val="270"/>
        </w:trPr>
        <w:tc>
          <w:tcPr>
            <w:tcW w:w="5400" w:type="dxa"/>
            <w:vAlign w:val="bottom"/>
          </w:tcPr>
          <w:p>
            <w:pPr>
              <w:ind w:left="120"/>
              <w:spacing w:after="0"/>
              <w:rPr>
                <w:sz w:val="20"/>
                <w:szCs w:val="20"/>
                <w:color w:val="auto"/>
              </w:rPr>
            </w:pPr>
            <w:r>
              <w:rPr>
                <w:rFonts w:ascii="Arial" w:cs="Arial" w:eastAsia="Arial" w:hAnsi="Arial"/>
                <w:sz w:val="22"/>
                <w:szCs w:val="22"/>
                <w:color w:val="auto"/>
              </w:rPr>
              <w:t>Interest and expenses on debt</w:t>
            </w: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28,943,312</w:t>
            </w: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22,818,492</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26,642,113</w:t>
            </w:r>
          </w:p>
        </w:tc>
        <w:tc>
          <w:tcPr>
            <w:tcW w:w="80" w:type="dxa"/>
            <w:vAlign w:val="bottom"/>
          </w:tcPr>
          <w:p>
            <w:pPr>
              <w:spacing w:after="0"/>
              <w:rPr>
                <w:sz w:val="23"/>
                <w:szCs w:val="23"/>
                <w:color w:val="auto"/>
              </w:rPr>
            </w:pPr>
          </w:p>
        </w:tc>
      </w:tr>
      <w:tr>
        <w:trPr>
          <w:trHeight w:val="270"/>
        </w:trPr>
        <w:tc>
          <w:tcPr>
            <w:tcW w:w="5400" w:type="dxa"/>
            <w:vAlign w:val="bottom"/>
          </w:tcPr>
          <w:p>
            <w:pPr>
              <w:ind w:left="120"/>
              <w:spacing w:after="0"/>
              <w:rPr>
                <w:sz w:val="20"/>
                <w:szCs w:val="20"/>
                <w:color w:val="auto"/>
              </w:rPr>
            </w:pPr>
            <w:r>
              <w:rPr>
                <w:rFonts w:ascii="Arial" w:cs="Arial" w:eastAsia="Arial" w:hAnsi="Arial"/>
                <w:sz w:val="22"/>
                <w:szCs w:val="22"/>
                <w:color w:val="auto"/>
              </w:rPr>
              <w:t>Administrative services expenses</w:t>
            </w: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2,113,895</w:t>
            </w: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2,086,500</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3,576,000</w:t>
            </w:r>
          </w:p>
        </w:tc>
        <w:tc>
          <w:tcPr>
            <w:tcW w:w="80" w:type="dxa"/>
            <w:vAlign w:val="bottom"/>
          </w:tcPr>
          <w:p>
            <w:pPr>
              <w:spacing w:after="0"/>
              <w:rPr>
                <w:sz w:val="23"/>
                <w:szCs w:val="23"/>
                <w:color w:val="auto"/>
              </w:rPr>
            </w:pPr>
          </w:p>
        </w:tc>
      </w:tr>
      <w:tr>
        <w:trPr>
          <w:trHeight w:val="274"/>
        </w:trPr>
        <w:tc>
          <w:tcPr>
            <w:tcW w:w="5400" w:type="dxa"/>
            <w:vAlign w:val="bottom"/>
          </w:tcPr>
          <w:p>
            <w:pPr>
              <w:ind w:left="120"/>
              <w:spacing w:after="0"/>
              <w:rPr>
                <w:sz w:val="20"/>
                <w:szCs w:val="20"/>
                <w:color w:val="auto"/>
              </w:rPr>
            </w:pPr>
            <w:r>
              <w:rPr>
                <w:rFonts w:ascii="Arial" w:cs="Arial" w:eastAsia="Arial" w:hAnsi="Arial"/>
                <w:sz w:val="22"/>
                <w:szCs w:val="22"/>
                <w:color w:val="auto"/>
              </w:rPr>
              <w:t>Other general and administrative expenses</w:t>
            </w:r>
          </w:p>
        </w:tc>
        <w:tc>
          <w:tcPr>
            <w:tcW w:w="3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2,637,820</w:t>
            </w:r>
          </w:p>
        </w:tc>
        <w:tc>
          <w:tcPr>
            <w:tcW w:w="4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2,504,853</w:t>
            </w:r>
          </w:p>
        </w:tc>
        <w:tc>
          <w:tcPr>
            <w:tcW w:w="4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2,662,640</w:t>
            </w:r>
          </w:p>
        </w:tc>
        <w:tc>
          <w:tcPr>
            <w:tcW w:w="80" w:type="dxa"/>
            <w:vAlign w:val="bottom"/>
          </w:tcPr>
          <w:p>
            <w:pPr>
              <w:spacing w:after="0"/>
              <w:rPr>
                <w:sz w:val="23"/>
                <w:szCs w:val="23"/>
                <w:color w:val="auto"/>
              </w:rPr>
            </w:pPr>
          </w:p>
        </w:tc>
      </w:tr>
      <w:tr>
        <w:trPr>
          <w:trHeight w:val="213"/>
        </w:trPr>
        <w:tc>
          <w:tcPr>
            <w:tcW w:w="5400" w:type="dxa"/>
            <w:vAlign w:val="bottom"/>
          </w:tcPr>
          <w:p>
            <w:pPr>
              <w:ind w:left="120"/>
              <w:spacing w:after="0" w:line="212" w:lineRule="exact"/>
              <w:rPr>
                <w:sz w:val="20"/>
                <w:szCs w:val="20"/>
                <w:color w:val="auto"/>
              </w:rPr>
            </w:pPr>
            <w:r>
              <w:rPr>
                <w:rFonts w:ascii="Arial" w:cs="Arial" w:eastAsia="Arial" w:hAnsi="Arial"/>
                <w:sz w:val="22"/>
                <w:szCs w:val="22"/>
                <w:b w:val="1"/>
                <w:bCs w:val="1"/>
                <w:color w:val="auto"/>
                <w:w w:val="91"/>
              </w:rPr>
              <w:t>Expenses before management fee waiver, provision for</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80"/>
        </w:trPr>
        <w:tc>
          <w:tcPr>
            <w:tcW w:w="5400" w:type="dxa"/>
            <w:vAlign w:val="bottom"/>
          </w:tcPr>
          <w:p>
            <w:pPr>
              <w:ind w:left="120"/>
              <w:spacing w:after="0"/>
              <w:rPr>
                <w:sz w:val="20"/>
                <w:szCs w:val="20"/>
                <w:color w:val="auto"/>
              </w:rPr>
            </w:pPr>
            <w:r>
              <w:rPr>
                <w:rFonts w:ascii="Arial" w:cs="Arial" w:eastAsia="Arial" w:hAnsi="Arial"/>
                <w:sz w:val="22"/>
                <w:szCs w:val="22"/>
                <w:b w:val="1"/>
                <w:bCs w:val="1"/>
                <w:color w:val="auto"/>
              </w:rPr>
              <w:t>taxes and financing costs</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57,066,952</w:t>
            </w:r>
          </w:p>
        </w:tc>
        <w:tc>
          <w:tcPr>
            <w:tcW w:w="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56,371,149</w:t>
            </w:r>
          </w:p>
        </w:tc>
        <w:tc>
          <w:tcPr>
            <w:tcW w:w="4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68,176,738</w:t>
            </w:r>
          </w:p>
        </w:tc>
        <w:tc>
          <w:tcPr>
            <w:tcW w:w="80" w:type="dxa"/>
            <w:vAlign w:val="bottom"/>
          </w:tcPr>
          <w:p>
            <w:pPr>
              <w:spacing w:after="0"/>
              <w:rPr>
                <w:sz w:val="24"/>
                <w:szCs w:val="24"/>
                <w:color w:val="auto"/>
              </w:rPr>
            </w:pPr>
          </w:p>
        </w:tc>
      </w:tr>
      <w:tr>
        <w:trPr>
          <w:trHeight w:val="259"/>
        </w:trPr>
        <w:tc>
          <w:tcPr>
            <w:tcW w:w="5400" w:type="dxa"/>
            <w:vAlign w:val="bottom"/>
          </w:tcPr>
          <w:p>
            <w:pPr>
              <w:ind w:left="120"/>
              <w:spacing w:after="0"/>
              <w:rPr>
                <w:sz w:val="20"/>
                <w:szCs w:val="20"/>
                <w:color w:val="auto"/>
              </w:rPr>
            </w:pPr>
            <w:r>
              <w:rPr>
                <w:rFonts w:ascii="Arial" w:cs="Arial" w:eastAsia="Arial" w:hAnsi="Arial"/>
                <w:sz w:val="22"/>
                <w:szCs w:val="22"/>
                <w:color w:val="auto"/>
              </w:rPr>
              <w:t>Management Fees waiver</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(1,427,253)</w:t>
            </w: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(5,647,358)</w:t>
            </w:r>
          </w:p>
        </w:tc>
        <w:tc>
          <w:tcPr>
            <w:tcW w:w="80" w:type="dxa"/>
            <w:vAlign w:val="bottom"/>
          </w:tcPr>
          <w:p>
            <w:pPr>
              <w:spacing w:after="0"/>
              <w:rPr>
                <w:sz w:val="22"/>
                <w:szCs w:val="22"/>
                <w:color w:val="auto"/>
              </w:rPr>
            </w:pPr>
          </w:p>
        </w:tc>
      </w:tr>
      <w:tr>
        <w:trPr>
          <w:trHeight w:val="270"/>
        </w:trPr>
        <w:tc>
          <w:tcPr>
            <w:tcW w:w="5400" w:type="dxa"/>
            <w:vAlign w:val="bottom"/>
          </w:tcPr>
          <w:p>
            <w:pPr>
              <w:ind w:left="120"/>
              <w:spacing w:after="0"/>
              <w:rPr>
                <w:sz w:val="20"/>
                <w:szCs w:val="20"/>
                <w:color w:val="auto"/>
              </w:rPr>
            </w:pPr>
            <w:r>
              <w:rPr>
                <w:rFonts w:ascii="Arial" w:cs="Arial" w:eastAsia="Arial" w:hAnsi="Arial"/>
                <w:sz w:val="22"/>
                <w:szCs w:val="22"/>
                <w:color w:val="auto"/>
              </w:rPr>
              <w:t>Provision for taxes</w:t>
            </w: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1,200,000</w:t>
            </w: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1,700,000</w:t>
            </w:r>
          </w:p>
        </w:tc>
        <w:tc>
          <w:tcPr>
            <w:tcW w:w="80" w:type="dxa"/>
            <w:vAlign w:val="bottom"/>
          </w:tcPr>
          <w:p>
            <w:pPr>
              <w:spacing w:after="0"/>
              <w:rPr>
                <w:sz w:val="23"/>
                <w:szCs w:val="23"/>
                <w:color w:val="auto"/>
              </w:rPr>
            </w:pPr>
          </w:p>
        </w:tc>
      </w:tr>
      <w:tr>
        <w:trPr>
          <w:trHeight w:val="274"/>
        </w:trPr>
        <w:tc>
          <w:tcPr>
            <w:tcW w:w="5400" w:type="dxa"/>
            <w:vAlign w:val="bottom"/>
          </w:tcPr>
          <w:p>
            <w:pPr>
              <w:ind w:left="120"/>
              <w:spacing w:after="0"/>
              <w:rPr>
                <w:sz w:val="20"/>
                <w:szCs w:val="20"/>
                <w:color w:val="auto"/>
              </w:rPr>
            </w:pPr>
            <w:r>
              <w:rPr>
                <w:rFonts w:ascii="Arial" w:cs="Arial" w:eastAsia="Arial" w:hAnsi="Arial"/>
                <w:sz w:val="22"/>
                <w:szCs w:val="22"/>
                <w:color w:val="auto"/>
              </w:rPr>
              <w:t>Make-whole premium</w:t>
            </w: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2,162,526</w:t>
            </w: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r>
    </w:tbl>
    <w:p>
      <w:pPr>
        <w:sectPr>
          <w:pgSz w:w="11900" w:h="16914" w:orient="portrait"/>
          <w:cols w:equalWidth="0" w:num="1">
            <w:col w:w="11080"/>
          </w:cols>
          <w:pgMar w:left="340" w:top="118" w:right="47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5400" w:type="dxa"/>
            <w:vAlign w:val="bottom"/>
          </w:tcPr>
          <w:p>
            <w:pPr>
              <w:ind w:left="120"/>
              <w:spacing w:after="0"/>
              <w:rPr>
                <w:sz w:val="20"/>
                <w:szCs w:val="20"/>
                <w:color w:val="auto"/>
              </w:rPr>
            </w:pPr>
            <w:r>
              <w:rPr>
                <w:rFonts w:ascii="Arial" w:cs="Arial" w:eastAsia="Arial" w:hAnsi="Arial"/>
                <w:sz w:val="22"/>
                <w:szCs w:val="22"/>
                <w:color w:val="auto"/>
              </w:rPr>
              <w:t>Credit facility amendment and debt issuance costs</w:t>
            </w: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7,080,205</w:t>
            </w: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3,866,633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400" w:type="dxa"/>
            <w:vAlign w:val="bottom"/>
          </w:tcPr>
          <w:p>
            <w:pPr>
              <w:ind w:left="120"/>
              <w:spacing w:after="0"/>
              <w:rPr>
                <w:sz w:val="20"/>
                <w:szCs w:val="20"/>
                <w:color w:val="auto"/>
              </w:rPr>
            </w:pPr>
            <w:r>
              <w:rPr>
                <w:rFonts w:ascii="Arial" w:cs="Arial" w:eastAsia="Arial" w:hAnsi="Arial"/>
                <w:sz w:val="22"/>
                <w:szCs w:val="22"/>
                <w:b w:val="1"/>
                <w:bCs w:val="1"/>
                <w:color w:val="auto"/>
              </w:rPr>
              <w:t>Net expenses</w:t>
            </w:r>
          </w:p>
        </w:tc>
        <w:tc>
          <w:tcPr>
            <w:tcW w:w="260" w:type="dxa"/>
            <w:vAlign w:val="bottom"/>
            <w:tcBorders>
              <w:top w:val="single" w:sz="8" w:color="auto"/>
              <w:bottom w:val="single" w:sz="8" w:color="auto"/>
            </w:tcBorders>
          </w:tcPr>
          <w:p>
            <w:pPr>
              <w:spacing w:after="0"/>
              <w:rPr>
                <w:sz w:val="23"/>
                <w:szCs w:val="2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67,509,683</w:t>
            </w:r>
          </w:p>
        </w:tc>
        <w:tc>
          <w:tcPr>
            <w:tcW w:w="46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54,943,896</w:t>
            </w:r>
          </w:p>
        </w:tc>
        <w:tc>
          <w:tcPr>
            <w:tcW w:w="44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68,096,013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400" w:type="dxa"/>
            <w:vAlign w:val="bottom"/>
          </w:tcPr>
          <w:p>
            <w:pPr>
              <w:ind w:left="120"/>
              <w:spacing w:after="0"/>
              <w:rPr>
                <w:sz w:val="20"/>
                <w:szCs w:val="20"/>
                <w:color w:val="auto"/>
              </w:rPr>
            </w:pPr>
            <w:r>
              <w:rPr>
                <w:rFonts w:ascii="Arial" w:cs="Arial" w:eastAsia="Arial" w:hAnsi="Arial"/>
                <w:sz w:val="22"/>
                <w:szCs w:val="22"/>
                <w:b w:val="1"/>
                <w:bCs w:val="1"/>
                <w:color w:val="auto"/>
              </w:rPr>
              <w:t>Net investment income</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44,596,971</w:t>
            </w:r>
          </w:p>
        </w:tc>
        <w:tc>
          <w:tcPr>
            <w:tcW w:w="4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53,334,152</w:t>
            </w:r>
          </w:p>
        </w:tc>
        <w:tc>
          <w:tcPr>
            <w:tcW w:w="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56,438,311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line="209" w:lineRule="exact"/>
              <w:rPr>
                <w:sz w:val="20"/>
                <w:szCs w:val="20"/>
                <w:color w:val="auto"/>
              </w:rPr>
            </w:pPr>
            <w:r>
              <w:rPr>
                <w:rFonts w:ascii="Arial" w:cs="Arial" w:eastAsia="Arial" w:hAnsi="Arial"/>
                <w:sz w:val="22"/>
                <w:szCs w:val="22"/>
                <w:b w:val="1"/>
                <w:bCs w:val="1"/>
                <w:color w:val="auto"/>
              </w:rPr>
              <w:t>Realized and change in unrealized (loss) gain on</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400" w:type="dxa"/>
            <w:vAlign w:val="bottom"/>
          </w:tcPr>
          <w:p>
            <w:pPr>
              <w:spacing w:after="0"/>
              <w:rPr>
                <w:sz w:val="20"/>
                <w:szCs w:val="20"/>
                <w:color w:val="auto"/>
              </w:rPr>
            </w:pPr>
            <w:r>
              <w:rPr>
                <w:rFonts w:ascii="Arial" w:cs="Arial" w:eastAsia="Arial" w:hAnsi="Arial"/>
                <w:sz w:val="22"/>
                <w:szCs w:val="22"/>
                <w:b w:val="1"/>
                <w:bCs w:val="1"/>
                <w:color w:val="auto"/>
              </w:rPr>
              <w:t>investments and debt:</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0" w:type="dxa"/>
            <w:vAlign w:val="bottom"/>
          </w:tcPr>
          <w:p>
            <w:pPr>
              <w:spacing w:after="0"/>
              <w:rPr>
                <w:sz w:val="20"/>
                <w:szCs w:val="20"/>
                <w:color w:val="auto"/>
              </w:rPr>
            </w:pPr>
            <w:r>
              <w:rPr>
                <w:rFonts w:ascii="Arial" w:cs="Arial" w:eastAsia="Arial" w:hAnsi="Arial"/>
                <w:sz w:val="22"/>
                <w:szCs w:val="22"/>
                <w:color w:val="auto"/>
              </w:rPr>
              <w:t>Net realized (loss) gain on investments on:</w:t>
            </w: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00" w:type="dxa"/>
            <w:vAlign w:val="bottom"/>
          </w:tcPr>
          <w:p>
            <w:pPr>
              <w:ind w:left="120"/>
              <w:spacing w:after="0"/>
              <w:rPr>
                <w:sz w:val="20"/>
                <w:szCs w:val="20"/>
                <w:color w:val="auto"/>
              </w:rPr>
            </w:pPr>
            <w:r>
              <w:rPr>
                <w:rFonts w:ascii="Arial" w:cs="Arial" w:eastAsia="Arial" w:hAnsi="Arial"/>
                <w:sz w:val="22"/>
                <w:szCs w:val="22"/>
                <w:color w:val="auto"/>
              </w:rPr>
              <w:t>Non-controlled, non-affiliated investments</w:t>
            </w:r>
          </w:p>
        </w:tc>
        <w:tc>
          <w:tcPr>
            <w:tcW w:w="260" w:type="dxa"/>
            <w:vAlign w:val="bottom"/>
          </w:tcPr>
          <w:p>
            <w:pPr>
              <w:spacing w:after="0"/>
              <w:rPr>
                <w:sz w:val="23"/>
                <w:szCs w:val="23"/>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22"/>
                <w:szCs w:val="22"/>
                <w:color w:val="auto"/>
              </w:rPr>
              <w:t>(51,940,526)</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34,813,876</w:t>
            </w: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2,567,041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400" w:type="dxa"/>
            <w:vAlign w:val="bottom"/>
          </w:tcPr>
          <w:p>
            <w:pPr>
              <w:ind w:left="120"/>
              <w:spacing w:after="0"/>
              <w:rPr>
                <w:sz w:val="20"/>
                <w:szCs w:val="20"/>
                <w:color w:val="auto"/>
              </w:rPr>
            </w:pPr>
            <w:r>
              <w:rPr>
                <w:rFonts w:ascii="Arial" w:cs="Arial" w:eastAsia="Arial" w:hAnsi="Arial"/>
                <w:sz w:val="22"/>
                <w:szCs w:val="22"/>
                <w:color w:val="auto"/>
              </w:rPr>
              <w:t>Non-controlled and controlled, affiliated investments</w:t>
            </w:r>
          </w:p>
        </w:tc>
        <w:tc>
          <w:tcPr>
            <w:tcW w:w="260" w:type="dxa"/>
            <w:vAlign w:val="bottom"/>
          </w:tcPr>
          <w:p>
            <w:pPr>
              <w:spacing w:after="0"/>
              <w:rPr>
                <w:sz w:val="23"/>
                <w:szCs w:val="23"/>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22"/>
                <w:szCs w:val="22"/>
                <w:color w:val="auto"/>
              </w:rPr>
              <w:t>(56,575,132)</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11,042,330</w:t>
            </w: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(33,594,078)</w:t>
            </w:r>
          </w:p>
        </w:tc>
        <w:tc>
          <w:tcPr>
            <w:tcW w:w="0" w:type="dxa"/>
            <w:vAlign w:val="bottom"/>
          </w:tcPr>
          <w:p>
            <w:pPr>
              <w:spacing w:after="0"/>
              <w:rPr>
                <w:sz w:val="1"/>
                <w:szCs w:val="1"/>
                <w:color w:val="auto"/>
              </w:rPr>
            </w:pPr>
          </w:p>
        </w:tc>
      </w:tr>
      <w:tr>
        <w:trPr>
          <w:trHeight w:val="259"/>
        </w:trPr>
        <w:tc>
          <w:tcPr>
            <w:tcW w:w="5400" w:type="dxa"/>
            <w:vAlign w:val="bottom"/>
          </w:tcPr>
          <w:p>
            <w:pPr>
              <w:ind w:left="120"/>
              <w:spacing w:after="0"/>
              <w:rPr>
                <w:sz w:val="20"/>
                <w:szCs w:val="20"/>
                <w:color w:val="auto"/>
              </w:rPr>
            </w:pPr>
            <w:r>
              <w:rPr>
                <w:rFonts w:ascii="Arial" w:cs="Arial" w:eastAsia="Arial" w:hAnsi="Arial"/>
                <w:sz w:val="22"/>
                <w:szCs w:val="22"/>
                <w:b w:val="1"/>
                <w:bCs w:val="1"/>
                <w:color w:val="auto"/>
              </w:rPr>
              <w:t>Net realized (loss) gain on investments</w:t>
            </w:r>
          </w:p>
        </w:tc>
        <w:tc>
          <w:tcPr>
            <w:tcW w:w="2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94"/>
              </w:rPr>
              <w:t>(108,515,658)</w:t>
            </w:r>
          </w:p>
        </w:tc>
        <w:tc>
          <w:tcPr>
            <w:tcW w:w="46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45,856,206</w:t>
            </w:r>
          </w:p>
        </w:tc>
        <w:tc>
          <w:tcPr>
            <w:tcW w:w="4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97"/>
              </w:rPr>
              <w:t>(31,027,037)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line="243" w:lineRule="exact"/>
              <w:rPr>
                <w:sz w:val="20"/>
                <w:szCs w:val="20"/>
                <w:color w:val="auto"/>
              </w:rPr>
            </w:pPr>
            <w:r>
              <w:rPr>
                <w:rFonts w:ascii="Arial" w:cs="Arial" w:eastAsia="Arial" w:hAnsi="Arial"/>
                <w:sz w:val="22"/>
                <w:szCs w:val="22"/>
                <w:color w:val="auto"/>
              </w:rPr>
              <w:t>Net change in change in unrealized appreciation</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00" w:type="dxa"/>
            <w:vAlign w:val="bottom"/>
          </w:tcPr>
          <w:p>
            <w:pPr>
              <w:spacing w:after="0"/>
              <w:rPr>
                <w:sz w:val="20"/>
                <w:szCs w:val="20"/>
                <w:color w:val="auto"/>
              </w:rPr>
            </w:pPr>
            <w:r>
              <w:rPr>
                <w:rFonts w:ascii="Arial" w:cs="Arial" w:eastAsia="Arial" w:hAnsi="Arial"/>
                <w:sz w:val="22"/>
                <w:szCs w:val="22"/>
                <w:color w:val="auto"/>
              </w:rPr>
              <w:t>(depreciation) on:</w:t>
            </w: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00" w:type="dxa"/>
            <w:vAlign w:val="bottom"/>
          </w:tcPr>
          <w:p>
            <w:pPr>
              <w:ind w:left="120"/>
              <w:spacing w:after="0"/>
              <w:rPr>
                <w:sz w:val="20"/>
                <w:szCs w:val="20"/>
                <w:color w:val="auto"/>
              </w:rPr>
            </w:pPr>
            <w:r>
              <w:rPr>
                <w:rFonts w:ascii="Arial" w:cs="Arial" w:eastAsia="Arial" w:hAnsi="Arial"/>
                <w:sz w:val="22"/>
                <w:szCs w:val="22"/>
                <w:color w:val="auto"/>
              </w:rPr>
              <w:t>Non-controlled, non-affiliated investments</w:t>
            </w: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22,788,117</w:t>
            </w: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22"/>
                <w:szCs w:val="22"/>
                <w:color w:val="auto"/>
              </w:rPr>
              <w:t>(16,751,386)</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16,950,900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00" w:type="dxa"/>
            <w:vAlign w:val="bottom"/>
          </w:tcPr>
          <w:p>
            <w:pPr>
              <w:ind w:left="120"/>
              <w:spacing w:after="0"/>
              <w:rPr>
                <w:sz w:val="20"/>
                <w:szCs w:val="20"/>
                <w:color w:val="auto"/>
              </w:rPr>
            </w:pPr>
            <w:r>
              <w:rPr>
                <w:rFonts w:ascii="Arial" w:cs="Arial" w:eastAsia="Arial" w:hAnsi="Arial"/>
                <w:sz w:val="22"/>
                <w:szCs w:val="22"/>
                <w:color w:val="auto"/>
              </w:rPr>
              <w:t>Non-controlled and controlled, affiliated investments</w:t>
            </w: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51,361,260</w:t>
            </w: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22"/>
                <w:szCs w:val="22"/>
                <w:color w:val="auto"/>
              </w:rPr>
              <w:t>(38,586,621)</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26,904,281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400" w:type="dxa"/>
            <w:vAlign w:val="bottom"/>
          </w:tcPr>
          <w:p>
            <w:pPr>
              <w:ind w:left="120"/>
              <w:spacing w:after="0"/>
              <w:rPr>
                <w:sz w:val="20"/>
                <w:szCs w:val="20"/>
                <w:color w:val="auto"/>
              </w:rPr>
            </w:pPr>
            <w:r>
              <w:rPr>
                <w:rFonts w:ascii="Arial" w:cs="Arial" w:eastAsia="Arial" w:hAnsi="Arial"/>
                <w:sz w:val="22"/>
                <w:szCs w:val="22"/>
                <w:color w:val="auto"/>
              </w:rPr>
              <w:t>Debt depreciation (appreciation)</w:t>
            </w: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5,694,116</w:t>
            </w: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3,861,111</w:t>
            </w: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(7,554,954)</w:t>
            </w:r>
          </w:p>
        </w:tc>
        <w:tc>
          <w:tcPr>
            <w:tcW w:w="0" w:type="dxa"/>
            <w:vAlign w:val="bottom"/>
          </w:tcPr>
          <w:p>
            <w:pPr>
              <w:spacing w:after="0"/>
              <w:rPr>
                <w:sz w:val="1"/>
                <w:szCs w:val="1"/>
                <w:color w:val="auto"/>
              </w:rPr>
            </w:pPr>
          </w:p>
        </w:tc>
      </w:tr>
      <w:tr>
        <w:trPr>
          <w:trHeight w:val="213"/>
        </w:trPr>
        <w:tc>
          <w:tcPr>
            <w:tcW w:w="5400" w:type="dxa"/>
            <w:vAlign w:val="bottom"/>
          </w:tcPr>
          <w:p>
            <w:pPr>
              <w:spacing w:after="0" w:line="212" w:lineRule="exact"/>
              <w:rPr>
                <w:sz w:val="20"/>
                <w:szCs w:val="20"/>
                <w:color w:val="auto"/>
              </w:rPr>
            </w:pPr>
            <w:r>
              <w:rPr>
                <w:rFonts w:ascii="Arial" w:cs="Arial" w:eastAsia="Arial" w:hAnsi="Arial"/>
                <w:sz w:val="22"/>
                <w:szCs w:val="22"/>
                <w:b w:val="1"/>
                <w:bCs w:val="1"/>
                <w:color w:val="auto"/>
                <w:w w:val="92"/>
              </w:rPr>
              <w:t>Net change in unrealized appreciation (depreciation) on</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400" w:type="dxa"/>
            <w:vAlign w:val="bottom"/>
          </w:tcPr>
          <w:p>
            <w:pPr>
              <w:spacing w:after="0"/>
              <w:rPr>
                <w:sz w:val="20"/>
                <w:szCs w:val="20"/>
                <w:color w:val="auto"/>
              </w:rPr>
            </w:pPr>
            <w:r>
              <w:rPr>
                <w:rFonts w:ascii="Arial" w:cs="Arial" w:eastAsia="Arial" w:hAnsi="Arial"/>
                <w:sz w:val="22"/>
                <w:szCs w:val="22"/>
                <w:b w:val="1"/>
                <w:bCs w:val="1"/>
                <w:color w:val="auto"/>
              </w:rPr>
              <w:t>investments and debt</w:t>
            </w: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79,843,493</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22"/>
                <w:szCs w:val="22"/>
                <w:color w:val="auto"/>
              </w:rPr>
              <w:t>(51,476,896)</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36,300,227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400" w:type="dxa"/>
            <w:vAlign w:val="bottom"/>
          </w:tcPr>
          <w:p>
            <w:pPr>
              <w:spacing w:after="0" w:line="212" w:lineRule="exact"/>
              <w:rPr>
                <w:sz w:val="20"/>
                <w:szCs w:val="20"/>
                <w:color w:val="auto"/>
              </w:rPr>
            </w:pPr>
            <w:r>
              <w:rPr>
                <w:rFonts w:ascii="Arial" w:cs="Arial" w:eastAsia="Arial" w:hAnsi="Arial"/>
                <w:sz w:val="22"/>
                <w:szCs w:val="22"/>
                <w:b w:val="1"/>
                <w:bCs w:val="1"/>
                <w:color w:val="auto"/>
                <w:w w:val="95"/>
              </w:rPr>
              <w:t>Net realized and change in unrealized (loss) gain from</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400" w:type="dxa"/>
            <w:vAlign w:val="bottom"/>
          </w:tcPr>
          <w:p>
            <w:pPr>
              <w:spacing w:after="0"/>
              <w:rPr>
                <w:sz w:val="20"/>
                <w:szCs w:val="20"/>
                <w:color w:val="auto"/>
              </w:rPr>
            </w:pPr>
            <w:r>
              <w:rPr>
                <w:rFonts w:ascii="Arial" w:cs="Arial" w:eastAsia="Arial" w:hAnsi="Arial"/>
                <w:sz w:val="22"/>
                <w:szCs w:val="22"/>
                <w:b w:val="1"/>
                <w:bCs w:val="1"/>
                <w:color w:val="auto"/>
              </w:rPr>
              <w:t>investments and debt</w:t>
            </w:r>
          </w:p>
        </w:tc>
        <w:tc>
          <w:tcPr>
            <w:tcW w:w="260" w:type="dxa"/>
            <w:vAlign w:val="bottom"/>
          </w:tcPr>
          <w:p>
            <w:pPr>
              <w:spacing w:after="0"/>
              <w:rPr>
                <w:sz w:val="24"/>
                <w:szCs w:val="24"/>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22"/>
                <w:szCs w:val="22"/>
                <w:color w:val="auto"/>
              </w:rPr>
              <w:t>(28,672,165)</w:t>
            </w:r>
          </w:p>
        </w:tc>
        <w:tc>
          <w:tcPr>
            <w:tcW w:w="320" w:type="dxa"/>
            <w:vAlign w:val="bottom"/>
          </w:tcPr>
          <w:p>
            <w:pPr>
              <w:spacing w:after="0"/>
              <w:rPr>
                <w:sz w:val="24"/>
                <w:szCs w:val="24"/>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22"/>
                <w:szCs w:val="22"/>
                <w:color w:val="auto"/>
              </w:rPr>
              <w:t>(5,620,690)</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5,273,190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5400" w:type="dxa"/>
            <w:vAlign w:val="bottom"/>
          </w:tcPr>
          <w:p>
            <w:pPr>
              <w:spacing w:after="0"/>
              <w:rPr>
                <w:sz w:val="20"/>
                <w:szCs w:val="20"/>
                <w:color w:val="auto"/>
              </w:rPr>
            </w:pPr>
            <w:r>
              <w:rPr>
                <w:rFonts w:ascii="Arial" w:cs="Arial" w:eastAsia="Arial" w:hAnsi="Arial"/>
                <w:sz w:val="22"/>
                <w:szCs w:val="22"/>
                <w:b w:val="1"/>
                <w:bCs w:val="1"/>
                <w:color w:val="auto"/>
                <w:w w:val="99"/>
              </w:rPr>
              <w:t>Net increase in net assets resulting from operations</w:t>
            </w:r>
          </w:p>
        </w:tc>
        <w:tc>
          <w:tcPr>
            <w:tcW w:w="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15,924,806</w:t>
            </w:r>
          </w:p>
        </w:tc>
        <w:tc>
          <w:tcPr>
            <w:tcW w:w="46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47,713,462</w:t>
            </w:r>
          </w:p>
        </w:tc>
        <w:tc>
          <w:tcPr>
            <w:tcW w:w="440" w:type="dxa"/>
            <w:vAlign w:val="bottom"/>
          </w:tcPr>
          <w:p>
            <w:pPr>
              <w:spacing w:after="0"/>
              <w:rPr>
                <w:sz w:val="23"/>
                <w:szCs w:val="23"/>
                <w:color w:val="auto"/>
              </w:rPr>
            </w:pPr>
          </w:p>
        </w:tc>
        <w:tc>
          <w:tcPr>
            <w:tcW w:w="3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61,711,501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400" w:type="dxa"/>
            <w:vAlign w:val="bottom"/>
          </w:tcPr>
          <w:p>
            <w:pPr>
              <w:spacing w:after="0" w:line="216" w:lineRule="exact"/>
              <w:rPr>
                <w:sz w:val="20"/>
                <w:szCs w:val="20"/>
                <w:color w:val="auto"/>
              </w:rPr>
            </w:pPr>
            <w:r>
              <w:rPr>
                <w:rFonts w:ascii="Arial" w:cs="Arial" w:eastAsia="Arial" w:hAnsi="Arial"/>
                <w:sz w:val="22"/>
                <w:szCs w:val="22"/>
                <w:color w:val="auto"/>
                <w:w w:val="99"/>
              </w:rPr>
              <w:t>Net increase in net assets resulting from operations per</w:t>
            </w:r>
          </w:p>
        </w:tc>
        <w:tc>
          <w:tcPr>
            <w:tcW w:w="260" w:type="dxa"/>
            <w:vAlign w:val="bottom"/>
            <w:vMerge w:val="restart"/>
          </w:tcPr>
          <w:p>
            <w:pPr>
              <w:jc w:val="right"/>
              <w:ind w:right="32"/>
              <w:spacing w:after="0"/>
              <w:rPr>
                <w:sz w:val="20"/>
                <w:szCs w:val="20"/>
                <w:color w:val="auto"/>
              </w:rPr>
            </w:pPr>
            <w:r>
              <w:rPr>
                <w:rFonts w:ascii="Arial" w:cs="Arial" w:eastAsia="Arial" w:hAnsi="Arial"/>
                <w:sz w:val="22"/>
                <w:szCs w:val="22"/>
                <w:color w:val="auto"/>
                <w:w w:val="81"/>
              </w:rPr>
              <w:t>$</w:t>
            </w:r>
          </w:p>
        </w:tc>
        <w:tc>
          <w:tcPr>
            <w:tcW w:w="1320" w:type="dxa"/>
            <w:vAlign w:val="bottom"/>
            <w:vMerge w:val="restart"/>
          </w:tcPr>
          <w:p>
            <w:pPr>
              <w:jc w:val="right"/>
              <w:spacing w:after="0"/>
              <w:rPr>
                <w:sz w:val="20"/>
                <w:szCs w:val="20"/>
                <w:color w:val="auto"/>
              </w:rPr>
            </w:pPr>
            <w:r>
              <w:rPr>
                <w:rFonts w:ascii="Arial" w:cs="Arial" w:eastAsia="Arial" w:hAnsi="Arial"/>
                <w:sz w:val="22"/>
                <w:szCs w:val="22"/>
                <w:color w:val="auto"/>
              </w:rPr>
              <w:t>0.24</w:t>
            </w:r>
          </w:p>
        </w:tc>
        <w:tc>
          <w:tcPr>
            <w:tcW w:w="460" w:type="dxa"/>
            <w:vAlign w:val="bottom"/>
          </w:tcPr>
          <w:p>
            <w:pPr>
              <w:spacing w:after="0"/>
              <w:rPr>
                <w:sz w:val="18"/>
                <w:szCs w:val="18"/>
                <w:color w:val="auto"/>
              </w:rPr>
            </w:pPr>
          </w:p>
        </w:tc>
        <w:tc>
          <w:tcPr>
            <w:tcW w:w="320" w:type="dxa"/>
            <w:vAlign w:val="bottom"/>
            <w:vMerge w:val="restart"/>
          </w:tcPr>
          <w:p>
            <w:pPr>
              <w:jc w:val="right"/>
              <w:ind w:right="92"/>
              <w:spacing w:after="0"/>
              <w:rPr>
                <w:sz w:val="20"/>
                <w:szCs w:val="20"/>
                <w:color w:val="auto"/>
              </w:rPr>
            </w:pPr>
            <w:r>
              <w:rPr>
                <w:rFonts w:ascii="Arial" w:cs="Arial" w:eastAsia="Arial" w:hAnsi="Arial"/>
                <w:sz w:val="22"/>
                <w:szCs w:val="22"/>
                <w:color w:val="auto"/>
                <w:w w:val="81"/>
              </w:rPr>
              <w:t>$</w:t>
            </w:r>
          </w:p>
        </w:tc>
        <w:tc>
          <w:tcPr>
            <w:tcW w:w="1260" w:type="dxa"/>
            <w:vAlign w:val="bottom"/>
            <w:vMerge w:val="restart"/>
          </w:tcPr>
          <w:p>
            <w:pPr>
              <w:jc w:val="right"/>
              <w:spacing w:after="0"/>
              <w:rPr>
                <w:sz w:val="20"/>
                <w:szCs w:val="20"/>
                <w:color w:val="auto"/>
              </w:rPr>
            </w:pPr>
            <w:r>
              <w:rPr>
                <w:rFonts w:ascii="Arial" w:cs="Arial" w:eastAsia="Arial" w:hAnsi="Arial"/>
                <w:sz w:val="22"/>
                <w:szCs w:val="22"/>
                <w:color w:val="auto"/>
              </w:rPr>
              <w:t>0.68</w:t>
            </w:r>
          </w:p>
        </w:tc>
        <w:tc>
          <w:tcPr>
            <w:tcW w:w="440" w:type="dxa"/>
            <w:vAlign w:val="bottom"/>
          </w:tcPr>
          <w:p>
            <w:pPr>
              <w:spacing w:after="0"/>
              <w:rPr>
                <w:sz w:val="18"/>
                <w:szCs w:val="18"/>
                <w:color w:val="auto"/>
              </w:rPr>
            </w:pPr>
          </w:p>
        </w:tc>
        <w:tc>
          <w:tcPr>
            <w:tcW w:w="300" w:type="dxa"/>
            <w:vAlign w:val="bottom"/>
            <w:vMerge w:val="restart"/>
          </w:tcPr>
          <w:p>
            <w:pPr>
              <w:jc w:val="right"/>
              <w:ind w:right="72"/>
              <w:spacing w:after="0"/>
              <w:rPr>
                <w:sz w:val="20"/>
                <w:szCs w:val="20"/>
                <w:color w:val="auto"/>
              </w:rPr>
            </w:pPr>
            <w:r>
              <w:rPr>
                <w:rFonts w:ascii="Arial" w:cs="Arial" w:eastAsia="Arial" w:hAnsi="Arial"/>
                <w:sz w:val="22"/>
                <w:szCs w:val="22"/>
                <w:color w:val="auto"/>
                <w:w w:val="81"/>
              </w:rPr>
              <w:t>$</w:t>
            </w:r>
          </w:p>
        </w:tc>
        <w:tc>
          <w:tcPr>
            <w:tcW w:w="1240" w:type="dxa"/>
            <w:vAlign w:val="bottom"/>
            <w:vMerge w:val="restart"/>
          </w:tcPr>
          <w:p>
            <w:pPr>
              <w:jc w:val="right"/>
              <w:spacing w:after="0"/>
              <w:rPr>
                <w:sz w:val="20"/>
                <w:szCs w:val="20"/>
                <w:color w:val="auto"/>
              </w:rPr>
            </w:pPr>
            <w:r>
              <w:rPr>
                <w:rFonts w:ascii="Arial" w:cs="Arial" w:eastAsia="Arial" w:hAnsi="Arial"/>
                <w:sz w:val="22"/>
                <w:szCs w:val="22"/>
                <w:color w:val="auto"/>
              </w:rPr>
              <w:t>0.87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line="251" w:lineRule="exact"/>
              <w:rPr>
                <w:sz w:val="20"/>
                <w:szCs w:val="20"/>
                <w:color w:val="auto"/>
              </w:rPr>
            </w:pPr>
            <w:r>
              <w:rPr>
                <w:rFonts w:ascii="Arial" w:cs="Arial" w:eastAsia="Arial" w:hAnsi="Arial"/>
                <w:sz w:val="22"/>
                <w:szCs w:val="22"/>
                <w:color w:val="auto"/>
              </w:rPr>
              <w:t>common share</w:t>
            </w:r>
          </w:p>
        </w:tc>
        <w:tc>
          <w:tcPr>
            <w:tcW w:w="260" w:type="dxa"/>
            <w:vAlign w:val="bottom"/>
            <w:tcBorders>
              <w:bottom w:val="single" w:sz="8" w:color="auto"/>
            </w:tcBorders>
            <w:vMerge w:val="continue"/>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40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0.66</w:t>
            </w:r>
          </w:p>
        </w:tc>
        <w:tc>
          <w:tcPr>
            <w:tcW w:w="46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0.75</w:t>
            </w:r>
          </w:p>
        </w:tc>
        <w:tc>
          <w:tcPr>
            <w:tcW w:w="440" w:type="dxa"/>
            <w:vAlign w:val="bottom"/>
          </w:tcPr>
          <w:p>
            <w:pPr>
              <w:spacing w:after="0"/>
              <w:rPr>
                <w:sz w:val="22"/>
                <w:szCs w:val="22"/>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0.79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today has more than $3.2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905-1000 </w:t>
      </w:r>
      <w:r>
        <w:rPr>
          <w:rFonts w:ascii="Arial" w:cs="Arial" w:eastAsia="Arial" w:hAnsi="Arial"/>
          <w:sz w:val="19"/>
          <w:szCs w:val="19"/>
          <w:u w:val="single" w:color="auto"/>
          <w:color w:val="auto"/>
        </w:rPr>
        <w:t>www.pennantpark.com</w:t>
      </w:r>
    </w:p>
    <w:sectPr>
      <w:pgSz w:w="11900" w:h="16838" w:orient="portrait"/>
      <w:cols w:equalWidth="0" w:num="1">
        <w:col w:w="11240"/>
      </w:cols>
      <w:pgMar w:left="320" w:top="132" w:right="339" w:bottom="37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2020-05-05T15:07:33Z</dcterms:created>
  <dcterms:modified xsi:type="dcterms:W3CDTF">2020-05-05T15:07:33Z</dcterms:modified>
</cp:coreProperties>
</file>