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9,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INVESTMENT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8, 2020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280"/>
        <w:spacing w:after="0" w:line="263"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$2,331 was paid for the period May 31, 2020 through May 31, 2021.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Aviv Efrat</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0840"/>
          </w:cols>
          <w:pgMar w:left="440" w:top="233" w:right="6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the Secretary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undersigned, Thomas J. Friedmann, Secretary of PennantPark Investment Corporation, a Maryland corporation (the “Corporation”), does hereby certify that:</w:t>
      </w:r>
    </w:p>
    <w:p>
      <w:pPr>
        <w:spacing w:after="0" w:line="76" w:lineRule="exact"/>
        <w:rPr>
          <w:sz w:val="20"/>
          <w:szCs w:val="20"/>
          <w:color w:val="auto"/>
        </w:rPr>
      </w:pPr>
    </w:p>
    <w:p>
      <w:pPr>
        <w:ind w:left="960" w:right="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2020 through May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9</w:t>
      </w:r>
      <w:r>
        <w:rPr>
          <w:rFonts w:ascii="Arial" w:cs="Arial" w:eastAsia="Arial" w:hAnsi="Arial"/>
          <w:sz w:val="15"/>
          <w:szCs w:val="15"/>
          <w:color w:val="auto"/>
        </w:rPr>
        <w:t>th</w:t>
      </w:r>
      <w:r>
        <w:rPr>
          <w:rFonts w:ascii="Arial" w:cs="Arial" w:eastAsia="Arial" w:hAnsi="Arial"/>
          <w:sz w:val="18"/>
          <w:szCs w:val="18"/>
          <w:color w:val="auto"/>
        </w:rPr>
        <w:t xml:space="preserve"> day of June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20"/>
          </w:cols>
          <w:pgMar w:left="440" w:top="270" w:right="5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3416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16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C Sabino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LTR-4035 Ed. 06-09 Printed in U.S.A.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©2009 The Travelers Companies, Inc.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0" w:space="720"/>
            <w:col w:w="920"/>
          </w:cols>
          <w:pgMar w:left="440" w:top="270" w:right="439" w:bottom="1440" w:gutter="0" w:footer="0" w:header="0"/>
          <w:type w:val="continuous"/>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3416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t>One Tower Square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06183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05/26/2020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Risk Management PLUS+ Online </w:t>
      </w:r>
      <w:r>
        <w:rPr>
          <w:rFonts w:ascii="Arial" w:cs="Arial" w:eastAsia="Arial" w:hAnsi="Arial"/>
          <w:sz w:val="12"/>
          <w:szCs w:val="12"/>
          <w:b w:val="1"/>
          <w:bCs w:val="1"/>
          <w:color w:val="auto"/>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6"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9"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r>
        <w:rPr>
          <w:rFonts w:ascii="Arial" w:cs="Arial" w:eastAsia="Arial" w:hAnsi="Arial"/>
          <w:sz w:val="18"/>
          <w:szCs w:val="18"/>
          <w:i w:val="1"/>
          <w:iCs w:val="1"/>
          <w:color w:val="auto"/>
        </w:rPr>
        <w:t>.</w:t>
      </w:r>
    </w:p>
    <w:p>
      <w:pPr>
        <w:spacing w:after="0" w:line="134"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r>
        <w:rPr>
          <w:rFonts w:ascii="Arial" w:cs="Arial" w:eastAsia="Arial" w:hAnsi="Arial"/>
          <w:sz w:val="18"/>
          <w:szCs w:val="18"/>
          <w:i w:val="1"/>
          <w:iCs w:val="1"/>
          <w:color w:val="auto"/>
        </w:rPr>
        <w:t>.</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26" w:lineRule="exact"/>
        <w:rPr>
          <w:rFonts w:ascii="Arial" w:cs="Arial" w:eastAsia="Arial" w:hAnsi="Arial"/>
          <w:sz w:val="18"/>
          <w:szCs w:val="18"/>
          <w:color w:val="auto"/>
        </w:rPr>
      </w:pPr>
    </w:p>
    <w:p>
      <w:pPr>
        <w:ind w:left="424" w:right="240" w:hanging="424"/>
        <w:spacing w:after="0" w:line="282"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w:t>
      </w:r>
      <w:r>
        <w:rPr>
          <w:rFonts w:ascii="Arial" w:cs="Arial" w:eastAsia="Arial" w:hAnsi="Arial"/>
          <w:sz w:val="18"/>
          <w:szCs w:val="18"/>
          <w:i w:val="1"/>
          <w:iCs w:val="1"/>
          <w:color w:val="auto"/>
        </w:rPr>
        <w:t>.</w:t>
      </w:r>
      <w:r>
        <w:rPr>
          <w:rFonts w:ascii="Arial" w:cs="Arial" w:eastAsia="Arial" w:hAnsi="Arial"/>
          <w:sz w:val="18"/>
          <w:szCs w:val="18"/>
          <w:color w:val="auto"/>
        </w:rPr>
        <w:t xml:space="preserve"> Enter your question in the form provided, and the System Administrator will get back to you quickly with the answer.</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44"/>
          </w:cols>
          <w:pgMar w:left="436" w:top="985" w:right="51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LTR-4107 Rev. 06-18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2018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4" w:space="720"/>
            <w:col w:w="840"/>
          </w:cols>
          <w:pgMar w:left="436" w:top="985" w:right="5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This notice provides no coverage, nor does it change any policy terms.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To determine the scope of coverage and the insured’s rights and duties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under the policy, read the entire policy carefully. For more information</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about the content of this notice, the insured should contact their agent or</w:t>
            </w:r>
          </w:p>
        </w:tc>
        <w:tc>
          <w:tcPr>
            <w:tcW w:w="4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Independent Agent And Broker</w:t>
            </w:r>
          </w:p>
        </w:tc>
        <w:tc>
          <w:tcPr>
            <w:tcW w:w="0" w:type="dxa"/>
            <w:vAlign w:val="bottom"/>
          </w:tcPr>
          <w:p>
            <w:pPr>
              <w:spacing w:after="0"/>
              <w:rPr>
                <w:sz w:val="1"/>
                <w:szCs w:val="1"/>
                <w:color w:val="auto"/>
              </w:rPr>
            </w:pP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broker. If there is any conflict between the policy and this notice, the</w:t>
            </w:r>
          </w:p>
        </w:tc>
        <w:tc>
          <w:tcPr>
            <w:tcW w:w="4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Arial" w:cs="Arial" w:eastAsia="Arial" w:hAnsi="Arial"/>
                <w:sz w:val="18"/>
                <w:szCs w:val="18"/>
                <w:color w:val="auto"/>
              </w:rPr>
              <w:t>terms of the policy prevail.</w:t>
            </w:r>
          </w:p>
        </w:tc>
        <w:tc>
          <w:tcPr>
            <w:tcW w:w="4100" w:type="dxa"/>
            <w:vAlign w:val="bottom"/>
          </w:tcPr>
          <w:p>
            <w:pPr>
              <w:jc w:val="right"/>
              <w:spacing w:after="0"/>
              <w:rPr>
                <w:sz w:val="20"/>
                <w:szCs w:val="20"/>
                <w:color w:val="auto"/>
              </w:rPr>
            </w:pPr>
            <w:r>
              <w:rPr>
                <w:rFonts w:ascii="Arial" w:cs="Arial" w:eastAsia="Arial" w:hAnsi="Arial"/>
                <w:sz w:val="18"/>
                <w:szCs w:val="18"/>
                <w:b w:val="1"/>
                <w:bCs w:val="1"/>
                <w:color w:val="auto"/>
              </w:rPr>
              <w:t>Compensation Notice</w:t>
            </w:r>
          </w:p>
        </w:tc>
        <w:tc>
          <w:tcPr>
            <w:tcW w:w="0" w:type="dxa"/>
            <w:vAlign w:val="bottom"/>
          </w:tcPr>
          <w:p>
            <w:pPr>
              <w:spacing w:after="0"/>
              <w:rPr>
                <w:sz w:val="1"/>
                <w:szCs w:val="1"/>
                <w:color w:val="auto"/>
              </w:rPr>
            </w:pPr>
          </w:p>
        </w:tc>
      </w:tr>
      <w:tr>
        <w:trPr>
          <w:trHeight w:val="182"/>
        </w:trPr>
        <w:tc>
          <w:tcPr>
            <w:tcW w:w="1102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020" w:type="dxa"/>
            <w:vAlign w:val="bottom"/>
            <w:gridSpan w:val="2"/>
          </w:tcPr>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www.travelers.com/w3c/legal/Producer_Compensation_Disclosure.html.</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tcPr>
          <w:p>
            <w:pPr>
              <w:spacing w:after="0"/>
              <w:rPr>
                <w:sz w:val="20"/>
                <w:szCs w:val="20"/>
                <w:color w:val="auto"/>
              </w:rPr>
            </w:pPr>
            <w:r>
              <w:rPr>
                <w:rFonts w:ascii="Arial" w:cs="Arial" w:eastAsia="Arial" w:hAnsi="Arial"/>
                <w:sz w:val="18"/>
                <w:szCs w:val="18"/>
                <w:color w:val="auto"/>
              </w:rPr>
              <w:t>Or write or call:</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Travelers, Agency Compensation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One Tower Square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Hartford, Connecticut 06183</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(866) 904.8348</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2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NTC-19036 Rev. 01-19</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Page 1 of 1</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2019 The Travelers Indemnity Company. All rights reserved.</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32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34160"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drawing>
          <wp:anchor simplePos="0" relativeHeight="251657728" behindDoc="1" locked="0" layoutInCell="0" allowOverlap="1">
            <wp:simplePos x="0" y="0"/>
            <wp:positionH relativeFrom="page">
              <wp:posOffset>6363335</wp:posOffset>
            </wp:positionH>
            <wp:positionV relativeFrom="page">
              <wp:posOffset>320040</wp:posOffset>
            </wp:positionV>
            <wp:extent cx="9086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08685" cy="13716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PENNANTPARK INVESTMENT CORPORATION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(hereinafter, “Insured”)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ITEM 2   POLICY PERIOD:</w:t>
            </w:r>
          </w:p>
        </w:tc>
        <w:tc>
          <w:tcPr>
            <w:tcW w:w="6040" w:type="dxa"/>
            <w:vAlign w:val="bottom"/>
            <w:tcBorders>
              <w:top w:val="single" w:sz="8" w:color="auto"/>
            </w:tcBorders>
          </w:tcPr>
          <w:p>
            <w:pPr>
              <w:spacing w:after="0"/>
              <w:rPr>
                <w:sz w:val="21"/>
                <w:szCs w:val="21"/>
                <w:color w:val="auto"/>
              </w:rPr>
            </w:pPr>
          </w:p>
        </w:tc>
      </w:tr>
      <w:tr>
        <w:trPr>
          <w:trHeight w:val="291"/>
        </w:trPr>
        <w:tc>
          <w:tcPr>
            <w:tcW w:w="4980" w:type="dxa"/>
            <w:vAlign w:val="bottom"/>
          </w:tcPr>
          <w:p>
            <w:pPr>
              <w:ind w:left="880"/>
              <w:spacing w:after="0"/>
              <w:rPr>
                <w:sz w:val="20"/>
                <w:szCs w:val="20"/>
                <w:color w:val="auto"/>
              </w:rPr>
            </w:pPr>
            <w:r>
              <w:rPr>
                <w:rFonts w:ascii="Arial" w:cs="Arial" w:eastAsia="Arial" w:hAnsi="Arial"/>
                <w:sz w:val="18"/>
                <w:szCs w:val="18"/>
                <w:color w:val="auto"/>
              </w:rPr>
              <w:t>Inception Date: May 31, 2020</w:t>
            </w:r>
          </w:p>
        </w:tc>
        <w:tc>
          <w:tcPr>
            <w:tcW w:w="6040" w:type="dxa"/>
            <w:vAlign w:val="bottom"/>
          </w:tcPr>
          <w:p>
            <w:pPr>
              <w:ind w:left="280"/>
              <w:spacing w:after="0"/>
              <w:rPr>
                <w:sz w:val="20"/>
                <w:szCs w:val="20"/>
                <w:color w:val="auto"/>
              </w:rPr>
            </w:pPr>
            <w:r>
              <w:rPr>
                <w:rFonts w:ascii="Arial" w:cs="Arial" w:eastAsia="Arial" w:hAnsi="Arial"/>
                <w:sz w:val="18"/>
                <w:szCs w:val="18"/>
                <w:color w:val="auto"/>
              </w:rPr>
              <w:t>Expiration Date: May 31, 2021</w:t>
            </w:r>
          </w:p>
        </w:tc>
      </w:tr>
      <w:tr>
        <w:trPr>
          <w:trHeight w:val="230"/>
        </w:trPr>
        <w:tc>
          <w:tcPr>
            <w:tcW w:w="11020" w:type="dxa"/>
            <w:vAlign w:val="bottom"/>
            <w:gridSpan w:val="2"/>
          </w:tcPr>
          <w:p>
            <w:pPr>
              <w:ind w:left="880"/>
              <w:spacing w:after="0"/>
              <w:rPr>
                <w:sz w:val="20"/>
                <w:szCs w:val="20"/>
                <w:color w:val="auto"/>
              </w:rPr>
            </w:pPr>
            <w:r>
              <w:rPr>
                <w:rFonts w:ascii="Arial" w:cs="Arial" w:eastAsia="Arial" w:hAnsi="Arial"/>
                <w:sz w:val="18"/>
                <w:szCs w:val="18"/>
                <w:color w:val="auto"/>
              </w:rPr>
              <w:t>12:01 A.M. local time as to both dates at the Principal Address stated in ITEM 1.</w:t>
            </w:r>
          </w:p>
        </w:tc>
      </w:tr>
      <w:tr>
        <w:trPr>
          <w:trHeight w:val="257"/>
        </w:trPr>
        <w:tc>
          <w:tcPr>
            <w:tcW w:w="11020" w:type="dxa"/>
            <w:vAlign w:val="bottom"/>
            <w:tcBorders>
              <w:bottom w:val="single" w:sz="8" w:color="auto"/>
            </w:tcBorders>
            <w:gridSpan w:val="2"/>
          </w:tcPr>
          <w:p>
            <w:pPr>
              <w:spacing w:after="0"/>
              <w:rPr>
                <w:sz w:val="22"/>
                <w:szCs w:val="22"/>
                <w:color w:val="auto"/>
              </w:rPr>
            </w:pPr>
          </w:p>
        </w:tc>
      </w:tr>
      <w:tr>
        <w:trPr>
          <w:trHeight w:val="191"/>
        </w:trPr>
        <w:tc>
          <w:tcPr>
            <w:tcW w:w="110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ITEM 3   ALL NOTICES OF CLAIM OR LOSS MUST BE SENT TO THE COMPANY BY EMAIL, FACSIMILE, OR MAIL AS SET</w:t>
            </w:r>
          </w:p>
        </w:tc>
      </w:tr>
      <w:tr>
        <w:trPr>
          <w:trHeight w:val="234"/>
        </w:trPr>
        <w:tc>
          <w:tcPr>
            <w:tcW w:w="4980" w:type="dxa"/>
            <w:vAlign w:val="bottom"/>
          </w:tcPr>
          <w:p>
            <w:pPr>
              <w:ind w:left="880"/>
              <w:spacing w:after="0"/>
              <w:rPr>
                <w:sz w:val="20"/>
                <w:szCs w:val="20"/>
                <w:color w:val="auto"/>
              </w:rPr>
            </w:pPr>
            <w:r>
              <w:rPr>
                <w:rFonts w:ascii="Arial" w:cs="Arial" w:eastAsia="Arial" w:hAnsi="Arial"/>
                <w:sz w:val="18"/>
                <w:szCs w:val="18"/>
                <w:b w:val="1"/>
                <w:bCs w:val="1"/>
                <w:color w:val="auto"/>
              </w:rPr>
              <w:t>FORTH BELOW:</w:t>
            </w:r>
          </w:p>
        </w:tc>
        <w:tc>
          <w:tcPr>
            <w:tcW w:w="6040" w:type="dxa"/>
            <w:vAlign w:val="bottom"/>
          </w:tcPr>
          <w:p>
            <w:pPr>
              <w:spacing w:after="0"/>
              <w:rPr>
                <w:sz w:val="20"/>
                <w:szCs w:val="20"/>
                <w:color w:val="auto"/>
              </w:rPr>
            </w:pPr>
          </w:p>
        </w:tc>
      </w:tr>
      <w:tr>
        <w:trPr>
          <w:trHeight w:val="310"/>
        </w:trPr>
        <w:tc>
          <w:tcPr>
            <w:tcW w:w="4980" w:type="dxa"/>
            <w:vAlign w:val="bottom"/>
          </w:tcPr>
          <w:p>
            <w:pPr>
              <w:ind w:left="880"/>
              <w:spacing w:after="0"/>
              <w:rPr>
                <w:sz w:val="20"/>
                <w:szCs w:val="20"/>
                <w:color w:val="auto"/>
              </w:rPr>
            </w:pPr>
            <w:r>
              <w:rPr>
                <w:rFonts w:ascii="Arial" w:cs="Arial" w:eastAsia="Arial" w:hAnsi="Arial"/>
                <w:sz w:val="18"/>
                <w:szCs w:val="18"/>
                <w:color w:val="auto"/>
              </w:rPr>
              <w:t>Email: BSIclaims@travelers.com</w:t>
            </w:r>
          </w:p>
        </w:tc>
        <w:tc>
          <w:tcPr>
            <w:tcW w:w="6040" w:type="dxa"/>
            <w:vAlign w:val="bottom"/>
          </w:tcPr>
          <w:p>
            <w:pPr>
              <w:spacing w:after="0"/>
              <w:rPr>
                <w:sz w:val="24"/>
                <w:szCs w:val="24"/>
                <w:color w:val="auto"/>
              </w:rPr>
            </w:pPr>
          </w:p>
        </w:tc>
      </w:tr>
      <w:tr>
        <w:trPr>
          <w:trHeight w:val="230"/>
        </w:trPr>
        <w:tc>
          <w:tcPr>
            <w:tcW w:w="4980" w:type="dxa"/>
            <w:vAlign w:val="bottom"/>
          </w:tcPr>
          <w:p>
            <w:pPr>
              <w:ind w:left="880"/>
              <w:spacing w:after="0"/>
              <w:rPr>
                <w:sz w:val="20"/>
                <w:szCs w:val="20"/>
                <w:color w:val="auto"/>
              </w:rPr>
            </w:pPr>
            <w:r>
              <w:rPr>
                <w:rFonts w:ascii="Arial" w:cs="Arial" w:eastAsia="Arial" w:hAnsi="Arial"/>
                <w:sz w:val="18"/>
                <w:szCs w:val="18"/>
                <w:color w:val="auto"/>
              </w:rPr>
              <w:t>Fax: (888) 460-6622</w:t>
            </w:r>
          </w:p>
        </w:tc>
        <w:tc>
          <w:tcPr>
            <w:tcW w:w="6040" w:type="dxa"/>
            <w:vAlign w:val="bottom"/>
          </w:tcPr>
          <w:p>
            <w:pPr>
              <w:spacing w:after="0"/>
              <w:rPr>
                <w:sz w:val="20"/>
                <w:szCs w:val="20"/>
                <w:color w:val="auto"/>
              </w:rPr>
            </w:pPr>
          </w:p>
        </w:tc>
      </w:tr>
      <w:tr>
        <w:trPr>
          <w:trHeight w:val="310"/>
        </w:trPr>
        <w:tc>
          <w:tcPr>
            <w:tcW w:w="4980" w:type="dxa"/>
            <w:vAlign w:val="bottom"/>
          </w:tcPr>
          <w:p>
            <w:pPr>
              <w:ind w:left="880"/>
              <w:spacing w:after="0"/>
              <w:rPr>
                <w:sz w:val="20"/>
                <w:szCs w:val="20"/>
                <w:color w:val="auto"/>
              </w:rPr>
            </w:pPr>
            <w:r>
              <w:rPr>
                <w:rFonts w:ascii="Arial" w:cs="Arial" w:eastAsia="Arial" w:hAnsi="Arial"/>
                <w:sz w:val="18"/>
                <w:szCs w:val="18"/>
                <w:color w:val="auto"/>
              </w:rPr>
              <w:t>Mail: Travelers Bond &amp; Specialty Insurance Claim</w:t>
            </w:r>
          </w:p>
        </w:tc>
        <w:tc>
          <w:tcPr>
            <w:tcW w:w="6040" w:type="dxa"/>
            <w:vAlign w:val="bottom"/>
          </w:tcPr>
          <w:p>
            <w:pPr>
              <w:spacing w:after="0"/>
              <w:rPr>
                <w:sz w:val="24"/>
                <w:szCs w:val="24"/>
                <w:color w:val="auto"/>
              </w:rPr>
            </w:pPr>
          </w:p>
        </w:tc>
      </w:tr>
      <w:tr>
        <w:trPr>
          <w:trHeight w:val="216"/>
        </w:trPr>
        <w:tc>
          <w:tcPr>
            <w:tcW w:w="4980" w:type="dxa"/>
            <w:vAlign w:val="bottom"/>
          </w:tcPr>
          <w:p>
            <w:pPr>
              <w:ind w:left="1340"/>
              <w:spacing w:after="0"/>
              <w:rPr>
                <w:sz w:val="20"/>
                <w:szCs w:val="20"/>
                <w:color w:val="auto"/>
              </w:rPr>
            </w:pPr>
            <w:r>
              <w:rPr>
                <w:rFonts w:ascii="Arial" w:cs="Arial" w:eastAsia="Arial" w:hAnsi="Arial"/>
                <w:sz w:val="18"/>
                <w:szCs w:val="18"/>
                <w:color w:val="auto"/>
                <w:w w:val="99"/>
              </w:rPr>
              <w:t>385 Washington St. – Mail Code 9275-NB03F</w:t>
            </w:r>
          </w:p>
        </w:tc>
        <w:tc>
          <w:tcPr>
            <w:tcW w:w="6040" w:type="dxa"/>
            <w:vAlign w:val="bottom"/>
          </w:tcPr>
          <w:p>
            <w:pPr>
              <w:spacing w:after="0"/>
              <w:rPr>
                <w:sz w:val="18"/>
                <w:szCs w:val="18"/>
                <w:color w:val="auto"/>
              </w:rPr>
            </w:pPr>
          </w:p>
        </w:tc>
      </w:tr>
      <w:tr>
        <w:trPr>
          <w:trHeight w:val="230"/>
        </w:trPr>
        <w:tc>
          <w:tcPr>
            <w:tcW w:w="4980" w:type="dxa"/>
            <w:vAlign w:val="bottom"/>
          </w:tcPr>
          <w:p>
            <w:pPr>
              <w:ind w:left="1340"/>
              <w:spacing w:after="0"/>
              <w:rPr>
                <w:sz w:val="20"/>
                <w:szCs w:val="20"/>
                <w:color w:val="auto"/>
              </w:rPr>
            </w:pPr>
            <w:r>
              <w:rPr>
                <w:rFonts w:ascii="Arial" w:cs="Arial" w:eastAsia="Arial" w:hAnsi="Arial"/>
                <w:sz w:val="18"/>
                <w:szCs w:val="18"/>
                <w:color w:val="auto"/>
              </w:rPr>
              <w:t>St Paul, MN 55102</w:t>
            </w:r>
          </w:p>
        </w:tc>
        <w:tc>
          <w:tcPr>
            <w:tcW w:w="6040" w:type="dxa"/>
            <w:vAlign w:val="bottom"/>
          </w:tcPr>
          <w:p>
            <w:pPr>
              <w:spacing w:after="0"/>
              <w:rPr>
                <w:sz w:val="20"/>
                <w:szCs w:val="20"/>
                <w:color w:val="auto"/>
              </w:rPr>
            </w:pPr>
          </w:p>
        </w:tc>
      </w:tr>
      <w:tr>
        <w:trPr>
          <w:trHeight w:val="324"/>
        </w:trPr>
        <w:tc>
          <w:tcPr>
            <w:tcW w:w="11020" w:type="dxa"/>
            <w:vAlign w:val="bottom"/>
            <w:gridSpan w:val="2"/>
          </w:tcPr>
          <w:p>
            <w:pPr>
              <w:ind w:left="880"/>
              <w:spacing w:after="0"/>
              <w:rPr>
                <w:sz w:val="20"/>
                <w:szCs w:val="20"/>
                <w:color w:val="auto"/>
              </w:rPr>
            </w:pPr>
            <w:r>
              <w:rPr>
                <w:rFonts w:ascii="Arial" w:cs="Arial" w:eastAsia="Arial" w:hAnsi="Arial"/>
                <w:sz w:val="18"/>
                <w:szCs w:val="18"/>
                <w:color w:val="auto"/>
              </w:rPr>
              <w:t>Travelers Bond &amp; Specialty Insurance Claim telephone number: 800-842-8496</w:t>
            </w:r>
          </w:p>
        </w:tc>
      </w:tr>
    </w:tbl>
    <w:p>
      <w:pPr>
        <w:spacing w:after="0" w:line="252" w:lineRule="exact"/>
        <w:rPr>
          <w:sz w:val="20"/>
          <w:szCs w:val="20"/>
          <w:color w:val="auto"/>
        </w:rPr>
      </w:pPr>
    </w:p>
    <w:p>
      <w:pPr>
        <w:ind w:left="880" w:right="500" w:hanging="890"/>
        <w:spacing w:after="0" w:line="308" w:lineRule="auto"/>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SINGLE LOSS</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SINGLE LOSS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12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LIMIT OF</w:t>
            </w:r>
          </w:p>
        </w:tc>
        <w:tc>
          <w:tcPr>
            <w:tcW w:w="2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7720" w:type="dxa"/>
            <w:vAlign w:val="bottom"/>
            <w:gridSpan w:val="3"/>
            <w:vMerge w:val="continue"/>
          </w:tcPr>
          <w:p>
            <w:pPr>
              <w:spacing w:after="0"/>
              <w:rPr>
                <w:sz w:val="15"/>
                <w:szCs w:val="15"/>
                <w:color w:val="auto"/>
              </w:rPr>
            </w:pPr>
          </w:p>
        </w:tc>
        <w:tc>
          <w:tcPr>
            <w:tcW w:w="11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w:t>
            </w:r>
          </w:p>
        </w:tc>
        <w:tc>
          <w:tcPr>
            <w:tcW w:w="144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FIDELITY</w:t>
            </w:r>
          </w:p>
        </w:tc>
        <w:tc>
          <w:tcPr>
            <w:tcW w:w="6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Coverage A.1.   Larceny or Embezzlement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Coverage A.2.   Restoration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B.</w:t>
            </w:r>
          </w:p>
        </w:tc>
        <w:tc>
          <w:tcPr>
            <w:tcW w:w="7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ON PREMISES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auto"/>
            </w:tcBorders>
            <w:gridSpan w:val="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gridSpan w:val="4"/>
          </w:tcPr>
          <w:p>
            <w:pPr>
              <w:spacing w:after="0"/>
              <w:rPr>
                <w:sz w:val="20"/>
                <w:szCs w:val="20"/>
                <w:color w:val="auto"/>
              </w:rPr>
            </w:pPr>
            <w:r>
              <w:rPr>
                <w:rFonts w:ascii="Arial" w:cs="Arial" w:eastAsia="Arial" w:hAnsi="Arial"/>
                <w:sz w:val="18"/>
                <w:szCs w:val="18"/>
                <w:color w:val="auto"/>
              </w:rPr>
              <w:t>IVBB-15001 Ed. 01-16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7"/>
              </w:rPr>
              <w:t>Page 1 of 3</w:t>
            </w:r>
          </w:p>
        </w:tc>
        <w:tc>
          <w:tcPr>
            <w:tcW w:w="0" w:type="dxa"/>
            <w:vAlign w:val="bottom"/>
          </w:tcPr>
          <w:p>
            <w:pPr>
              <w:spacing w:after="0"/>
              <w:rPr>
                <w:sz w:val="1"/>
                <w:szCs w:val="1"/>
                <w:color w:val="auto"/>
              </w:rPr>
            </w:pPr>
          </w:p>
        </w:tc>
      </w:tr>
      <w:tr>
        <w:trPr>
          <w:trHeight w:val="230"/>
        </w:trPr>
        <w:tc>
          <w:tcPr>
            <w:tcW w:w="860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70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 TRANSIT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r>
      <w:tr>
        <w:trPr>
          <w:trHeight w:val="324"/>
        </w:trPr>
        <w:tc>
          <w:tcPr>
            <w:tcW w:w="260" w:type="dxa"/>
            <w:vAlign w:val="bottom"/>
          </w:tcPr>
          <w:p>
            <w:pPr>
              <w:spacing w:after="0"/>
              <w:rPr>
                <w:sz w:val="20"/>
                <w:szCs w:val="20"/>
                <w:color w:val="auto"/>
              </w:rPr>
            </w:pPr>
            <w:r>
              <w:rPr>
                <w:rFonts w:ascii="Arial" w:cs="Arial" w:eastAsia="Arial" w:hAnsi="Arial"/>
                <w:sz w:val="18"/>
                <w:szCs w:val="18"/>
                <w:b w:val="1"/>
                <w:bCs w:val="1"/>
                <w:color w:val="auto"/>
              </w:rPr>
              <w:t>D.</w:t>
            </w:r>
          </w:p>
        </w:tc>
        <w:tc>
          <w:tcPr>
            <w:tcW w:w="7000" w:type="dxa"/>
            <w:vAlign w:val="bottom"/>
          </w:tcPr>
          <w:p>
            <w:pPr>
              <w:ind w:left="100"/>
              <w:spacing w:after="0"/>
              <w:rPr>
                <w:sz w:val="20"/>
                <w:szCs w:val="20"/>
                <w:color w:val="auto"/>
              </w:rPr>
            </w:pPr>
            <w:r>
              <w:rPr>
                <w:rFonts w:ascii="Arial" w:cs="Arial" w:eastAsia="Arial" w:hAnsi="Arial"/>
                <w:sz w:val="18"/>
                <w:szCs w:val="18"/>
                <w:b w:val="1"/>
                <w:bCs w:val="1"/>
                <w:color w:val="auto"/>
              </w:rPr>
              <w:t>FORGERY OR ALTERATION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108"/>
        </w:trPr>
        <w:tc>
          <w:tcPr>
            <w:tcW w:w="26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SECURITIES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r>
      <w:tr>
        <w:trPr>
          <w:trHeight w:val="32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F.  COUNTERFEIT MONEY AND COUNTERFEIT MONEY ORDERS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108"/>
        </w:trPr>
        <w:tc>
          <w:tcPr>
            <w:tcW w:w="7260" w:type="dxa"/>
            <w:vAlign w:val="bottom"/>
            <w:gridSpan w:val="2"/>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  CLAIM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32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H.  STOP PAYMENT ORDERS OR WRONGFUL DISHONOR OF CHECKS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90" w:lineRule="exact"/>
        <w:rPr>
          <w:sz w:val="20"/>
          <w:szCs w:val="20"/>
          <w:color w:val="auto"/>
        </w:rPr>
      </w:pPr>
    </w:p>
    <w:p>
      <w:pPr>
        <w:ind w:left="1220" w:hanging="333"/>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-119380</wp:posOffset>
            </wp:positionV>
            <wp:extent cx="64293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9"/>
              </w:rPr>
              <w:t>Coverage I.1.</w:t>
            </w:r>
          </w:p>
        </w:tc>
        <w:tc>
          <w:tcPr>
            <w:tcW w:w="4580" w:type="dxa"/>
            <w:vAlign w:val="bottom"/>
          </w:tcPr>
          <w:p>
            <w:pPr>
              <w:ind w:left="100"/>
              <w:spacing w:after="0"/>
              <w:rPr>
                <w:sz w:val="20"/>
                <w:szCs w:val="20"/>
                <w:color w:val="auto"/>
              </w:rPr>
            </w:pPr>
            <w:r>
              <w:rPr>
                <w:rFonts w:ascii="Arial" w:cs="Arial" w:eastAsia="Arial" w:hAnsi="Arial"/>
                <w:sz w:val="18"/>
                <w:szCs w:val="18"/>
                <w:color w:val="auto"/>
              </w:rPr>
              <w:t>Computer Fraud</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216"/>
        </w:trPr>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Coverage I.2.</w:t>
            </w: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Fraudulent Instructions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9"/>
              </w:rPr>
              <w:t>Coverage I.3.</w:t>
            </w:r>
          </w:p>
        </w:tc>
        <w:tc>
          <w:tcPr>
            <w:tcW w:w="4580" w:type="dxa"/>
            <w:vAlign w:val="bottom"/>
          </w:tcPr>
          <w:p>
            <w:pPr>
              <w:ind w:left="100"/>
              <w:spacing w:after="0"/>
              <w:rPr>
                <w:sz w:val="20"/>
                <w:szCs w:val="20"/>
                <w:color w:val="auto"/>
              </w:rPr>
            </w:pPr>
            <w:r>
              <w:rPr>
                <w:rFonts w:ascii="Arial" w:cs="Arial" w:eastAsia="Arial" w:hAnsi="Arial"/>
                <w:sz w:val="18"/>
                <w:szCs w:val="18"/>
                <w:color w:val="auto"/>
              </w:rPr>
              <w:t>Restoration Expense</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94"/>
        </w:trPr>
        <w:tc>
          <w:tcPr>
            <w:tcW w:w="6040" w:type="dxa"/>
            <w:vAlign w:val="bottom"/>
            <w:gridSpan w:val="2"/>
          </w:tcPr>
          <w:p>
            <w:pPr>
              <w:spacing w:after="0"/>
              <w:rPr>
                <w:sz w:val="8"/>
                <w:szCs w:val="8"/>
                <w:color w:val="auto"/>
              </w:rPr>
            </w:pPr>
          </w:p>
        </w:tc>
        <w:tc>
          <w:tcPr>
            <w:tcW w:w="2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Insured, by acceptance of this bond, gives notice to the Company canceling or terminating prior bond or policy numbers: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ITEM 6   DISCOVERY PERIOD:</w:t>
            </w:r>
          </w:p>
        </w:tc>
        <w:tc>
          <w:tcPr>
            <w:tcW w:w="7500" w:type="dxa"/>
            <w:vAlign w:val="bottom"/>
            <w:tcBorders>
              <w:top w:val="single" w:sz="8" w:color="auto"/>
            </w:tcBorders>
          </w:tcPr>
          <w:p>
            <w:pPr>
              <w:spacing w:after="0"/>
              <w:rPr>
                <w:sz w:val="21"/>
                <w:szCs w:val="21"/>
                <w:color w:val="auto"/>
              </w:rPr>
            </w:pPr>
          </w:p>
        </w:tc>
      </w:tr>
      <w:tr>
        <w:trPr>
          <w:trHeight w:val="306"/>
        </w:trPr>
        <w:tc>
          <w:tcPr>
            <w:tcW w:w="3520" w:type="dxa"/>
            <w:vAlign w:val="bottom"/>
          </w:tcPr>
          <w:p>
            <w:pPr>
              <w:ind w:left="880"/>
              <w:spacing w:after="0"/>
              <w:rPr>
                <w:sz w:val="20"/>
                <w:szCs w:val="20"/>
                <w:color w:val="auto"/>
              </w:rPr>
            </w:pPr>
            <w:r>
              <w:rPr>
                <w:rFonts w:ascii="Arial" w:cs="Arial" w:eastAsia="Arial" w:hAnsi="Arial"/>
                <w:sz w:val="18"/>
                <w:szCs w:val="18"/>
                <w:color w:val="auto"/>
              </w:rPr>
              <w:t>Additional Premium Percentage:</w:t>
            </w:r>
          </w:p>
        </w:tc>
        <w:tc>
          <w:tcPr>
            <w:tcW w:w="7500" w:type="dxa"/>
            <w:vAlign w:val="bottom"/>
          </w:tcPr>
          <w:p>
            <w:pPr>
              <w:ind w:left="260"/>
              <w:spacing w:after="0"/>
              <w:rPr>
                <w:sz w:val="20"/>
                <w:szCs w:val="20"/>
                <w:color w:val="auto"/>
              </w:rPr>
            </w:pPr>
            <w:r>
              <w:rPr>
                <w:rFonts w:ascii="Arial" w:cs="Arial" w:eastAsia="Arial" w:hAnsi="Arial"/>
                <w:sz w:val="18"/>
                <w:szCs w:val="18"/>
                <w:color w:val="auto"/>
              </w:rPr>
              <w:t>100% of the annualized premium</w:t>
            </w:r>
          </w:p>
        </w:tc>
      </w:tr>
      <w:tr>
        <w:trPr>
          <w:trHeight w:val="324"/>
        </w:trPr>
        <w:tc>
          <w:tcPr>
            <w:tcW w:w="3520" w:type="dxa"/>
            <w:vAlign w:val="bottom"/>
          </w:tcPr>
          <w:p>
            <w:pPr>
              <w:ind w:left="880"/>
              <w:spacing w:after="0"/>
              <w:rPr>
                <w:sz w:val="20"/>
                <w:szCs w:val="20"/>
                <w:color w:val="auto"/>
              </w:rPr>
            </w:pPr>
            <w:r>
              <w:rPr>
                <w:rFonts w:ascii="Arial" w:cs="Arial" w:eastAsia="Arial" w:hAnsi="Arial"/>
                <w:sz w:val="18"/>
                <w:szCs w:val="18"/>
                <w:color w:val="auto"/>
              </w:rPr>
              <w:t>Additional Months:</w:t>
            </w:r>
          </w:p>
        </w:tc>
        <w:tc>
          <w:tcPr>
            <w:tcW w:w="7500" w:type="dxa"/>
            <w:vAlign w:val="bottom"/>
          </w:tcPr>
          <w:p>
            <w:pPr>
              <w:ind w:left="260"/>
              <w:spacing w:after="0"/>
              <w:rPr>
                <w:sz w:val="20"/>
                <w:szCs w:val="20"/>
                <w:color w:val="auto"/>
              </w:rPr>
            </w:pPr>
            <w:r>
              <w:rPr>
                <w:rFonts w:ascii="Arial" w:cs="Arial" w:eastAsia="Arial" w:hAnsi="Arial"/>
                <w:sz w:val="18"/>
                <w:szCs w:val="18"/>
                <w:color w:val="auto"/>
              </w:rPr>
              <w:t>12 months</w:t>
            </w:r>
          </w:p>
        </w:tc>
      </w:tr>
    </w:tbl>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exercised in accordance with section VI. CONDITIONS, S. DISCOVERY PERIOD)</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IVBB-16001-0116; IVBB-19004-0116; IVBB-19010-0116; IVBB-19044-0518; IVBB-19045-0319; IVBB-18023-1217; IVBB-17022-1019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WTW NORTHEAST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396" w:right="4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Page 2 of 3</w:t>
      </w:r>
    </w:p>
    <w:p>
      <w:pPr>
        <w:sectPr>
          <w:pgSz w:w="11900" w:h="16838" w:orient="portrait"/>
          <w:cols w:equalWidth="0" w:num="2">
            <w:col w:w="9380" w:space="720"/>
            <w:col w:w="920"/>
          </w:cols>
          <w:pgMar w:left="440" w:top="396"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2065655"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65655" cy="38608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168910</wp:posOffset>
            </wp:positionV>
            <wp:extent cx="216027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02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President, Bond &amp; Specialty Insurance</w:t>
            </w:r>
          </w:p>
        </w:tc>
        <w:tc>
          <w:tcPr>
            <w:tcW w:w="5600" w:type="dxa"/>
            <w:vAlign w:val="bottom"/>
          </w:tcPr>
          <w:p>
            <w:pPr>
              <w:ind w:left="860"/>
              <w:spacing w:after="0"/>
              <w:rPr>
                <w:sz w:val="20"/>
                <w:szCs w:val="20"/>
                <w:color w:val="auto"/>
              </w:rPr>
            </w:pPr>
            <w:r>
              <w:rPr>
                <w:rFonts w:ascii="Arial" w:cs="Arial" w:eastAsia="Arial" w:hAnsi="Arial"/>
                <w:sz w:val="18"/>
                <w:szCs w:val="18"/>
                <w:color w:val="auto"/>
              </w:rPr>
              <w:t>Corporate Secretary</w:t>
            </w:r>
          </w:p>
        </w:tc>
      </w:tr>
      <w:tr>
        <w:trPr>
          <w:trHeight w:val="196"/>
        </w:trPr>
        <w:tc>
          <w:tcPr>
            <w:tcW w:w="542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IVBB-15001 Ed. 01-16</w:t>
            </w:r>
          </w:p>
        </w:tc>
        <w:tc>
          <w:tcPr>
            <w:tcW w:w="5600" w:type="dxa"/>
            <w:vAlign w:val="bottom"/>
          </w:tcPr>
          <w:p>
            <w:pPr>
              <w:ind w:left="4680"/>
              <w:spacing w:after="0"/>
              <w:rPr>
                <w:sz w:val="20"/>
                <w:szCs w:val="20"/>
                <w:color w:val="auto"/>
              </w:rPr>
            </w:pPr>
            <w:r>
              <w:rPr>
                <w:rFonts w:ascii="Arial" w:cs="Arial" w:eastAsia="Arial" w:hAnsi="Arial"/>
                <w:sz w:val="18"/>
                <w:szCs w:val="18"/>
                <w:color w:val="auto"/>
                <w:w w:val="97"/>
              </w:rPr>
              <w:t>Page 3 of 3</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5600" w:type="dxa"/>
            <w:vAlign w:val="bottom"/>
          </w:tcPr>
          <w:p>
            <w:pPr>
              <w:spacing w:after="0"/>
              <w:rPr>
                <w:sz w:val="20"/>
                <w:szCs w:val="20"/>
                <w:color w:val="auto"/>
              </w:rPr>
            </w:pPr>
          </w:p>
        </w:tc>
      </w:tr>
    </w:tbl>
    <w:p>
      <w:pPr>
        <w:sectPr>
          <w:pgSz w:w="11900" w:h="16838" w:orient="portrait"/>
          <w:cols w:equalWidth="0" w:num="1">
            <w:col w:w="11020"/>
          </w:cols>
          <w:pgMar w:left="440" w:top="517"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34160"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00" w:type="dxa"/>
            <w:vAlign w:val="bottom"/>
            <w:gridSpan w:val="2"/>
          </w:tcPr>
          <w:p>
            <w:pPr>
              <w:jc w:val="right"/>
              <w:ind w:right="10"/>
              <w:spacing w:after="0"/>
              <w:rPr>
                <w:sz w:val="20"/>
                <w:szCs w:val="20"/>
                <w:color w:val="auto"/>
              </w:rPr>
            </w:pPr>
            <w:r>
              <w:rPr>
                <w:rFonts w:ascii="Arial" w:cs="Arial" w:eastAsia="Arial" w:hAnsi="Arial"/>
                <w:sz w:val="18"/>
                <w:szCs w:val="18"/>
                <w:b w:val="1"/>
                <w:bCs w:val="1"/>
                <w:i w:val="1"/>
                <w:iCs w:val="1"/>
                <w:color w:val="auto"/>
              </w:rPr>
              <w:t>Investment Company Bond</w:t>
            </w:r>
          </w:p>
        </w:tc>
      </w:tr>
      <w:tr>
        <w:trPr>
          <w:trHeight w:val="230"/>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1"/>
        </w:trPr>
        <w:tc>
          <w:tcPr>
            <w:tcW w:w="440" w:type="dxa"/>
            <w:vAlign w:val="bottom"/>
            <w:tcBorders>
              <w:bottom w:val="single" w:sz="8" w:color="auto"/>
            </w:tcBorders>
          </w:tcPr>
          <w:p>
            <w:pPr>
              <w:spacing w:after="0"/>
              <w:rPr>
                <w:sz w:val="5"/>
                <w:szCs w:val="5"/>
                <w:color w:val="auto"/>
              </w:rPr>
            </w:pPr>
          </w:p>
        </w:tc>
        <w:tc>
          <w:tcPr>
            <w:tcW w:w="8840" w:type="dxa"/>
            <w:vAlign w:val="bottom"/>
            <w:tcBorders>
              <w:bottom w:val="single" w:sz="8" w:color="auto"/>
            </w:tcBorders>
            <w:gridSpan w:val="3"/>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r>
        <w:trPr>
          <w:trHeight w:val="608"/>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w:t>
            </w:r>
          </w:p>
        </w:tc>
        <w:tc>
          <w:tcPr>
            <w:tcW w:w="884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CONSIDERATION CLAUSE</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884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INSURING AGREEMENTS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FIDELITY</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A.1.</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Larceny or Embezzlement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A.2.</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ON PREMISES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IN TRANSIT</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FORGERY OR ALTERATION</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SECURITIES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F.</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G.</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CLAIM EXPENSE</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I.</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COMPUTER SYSTEMS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I.1.</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Computer Fraud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I.2.</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Fraudulent Instructions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I.3.</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J.</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UNCOLLECTIBLE ITEMS OF DEPOSIT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884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GENERAL AGREEMENTS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ORGANIC GROWTH</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CONSOLIDATION - MERGER - PURCHASE OR ACQUISITION OF ASSETS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REPRESENTATION OF INSURED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JOINT INSURED</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COURT COSTS AND ATTORNEY’S FEES - LEGAL PROCEEDINGS - ELECTION TO DEFEND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DEFINITIONS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EXCLUSIONS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CONDITIONS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ADDITIONAL COMPANIES INCLUDED AS INSURED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DISCOVERY</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BOND PERIOD</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SINGLE LOSS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SINGLE LOSS LIMIT OF INSURANCE</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F.</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DEDUCTIBLE</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G.</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NON-ACCUMULATION OF LIMITS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NOTICE - PROOF OF LOSS - LEGAL PROCEEDINGS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96"/>
        </w:trPr>
        <w:tc>
          <w:tcPr>
            <w:tcW w:w="2720" w:type="dxa"/>
            <w:vAlign w:val="bottom"/>
            <w:tcBorders>
              <w:bottom w:val="single" w:sz="8" w:color="auto"/>
            </w:tcBorders>
            <w:gridSpan w:val="3"/>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42"/>
        </w:trPr>
        <w:tc>
          <w:tcPr>
            <w:tcW w:w="2720" w:type="dxa"/>
            <w:vAlign w:val="bottom"/>
            <w:gridSpan w:val="3"/>
          </w:tcPr>
          <w:p>
            <w:pPr>
              <w:spacing w:after="0"/>
              <w:rPr>
                <w:sz w:val="20"/>
                <w:szCs w:val="20"/>
                <w:color w:val="auto"/>
              </w:rPr>
            </w:pPr>
            <w:r>
              <w:rPr>
                <w:rFonts w:ascii="Arial" w:cs="Arial" w:eastAsia="Arial" w:hAnsi="Arial"/>
                <w:sz w:val="18"/>
                <w:szCs w:val="18"/>
                <w:color w:val="auto"/>
              </w:rPr>
              <w:t>IVBB-16001 Ed. 01-16</w:t>
            </w:r>
          </w:p>
        </w:tc>
        <w:tc>
          <w:tcPr>
            <w:tcW w:w="65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Page 1 of 25</w:t>
            </w: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740" w:type="dxa"/>
            <w:vAlign w:val="bottom"/>
          </w:tcPr>
          <w:p>
            <w:pPr>
              <w:spacing w:after="0"/>
              <w:rPr>
                <w:sz w:val="20"/>
                <w:szCs w:val="20"/>
                <w:color w:val="auto"/>
              </w:rPr>
            </w:pPr>
          </w:p>
        </w:tc>
      </w:tr>
    </w:tbl>
    <w:p>
      <w:pPr>
        <w:sectPr>
          <w:pgSz w:w="11900" w:h="16838" w:orient="portrait"/>
          <w:cols w:equalWidth="0" w:num="1">
            <w:col w:w="11020"/>
          </w:cols>
          <w:pgMar w:left="440" w:top="58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I.</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VALUATION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J.</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ASSIGNMENT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K.</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SUBROGATION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L.</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RECOVERIES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M.</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COOPERATION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N.</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ANTI-BUNDLING</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O.</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P.</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OTHER INSURANCE OR INDEMNITY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Q.</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COVERED PROPERTY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R.</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S.</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DISCOVERY PERIOD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T.</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HEADINGS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96"/>
        </w:trPr>
        <w:tc>
          <w:tcPr>
            <w:tcW w:w="8600" w:type="dxa"/>
            <w:vAlign w:val="bottom"/>
            <w:tcBorders>
              <w:bottom w:val="single" w:sz="8" w:color="auto"/>
            </w:tcBorders>
            <w:gridSpan w:val="2"/>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r>
      <w:tr>
        <w:trPr>
          <w:trHeight w:val="229"/>
        </w:trPr>
        <w:tc>
          <w:tcPr>
            <w:tcW w:w="8600" w:type="dxa"/>
            <w:vAlign w:val="bottom"/>
            <w:gridSpan w:val="2"/>
          </w:tcPr>
          <w:p>
            <w:pPr>
              <w:spacing w:after="0"/>
              <w:rPr>
                <w:sz w:val="20"/>
                <w:szCs w:val="20"/>
                <w:color w:val="auto"/>
              </w:rPr>
            </w:pPr>
            <w:r>
              <w:rPr>
                <w:rFonts w:ascii="Arial" w:cs="Arial" w:eastAsia="Arial" w:hAnsi="Arial"/>
                <w:sz w:val="18"/>
                <w:szCs w:val="18"/>
                <w:color w:val="auto"/>
              </w:rPr>
              <w:t>IVBB-16001 Ed. 01-16</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Page 2 of 25</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4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right"/>
        <w:ind w:right="8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3416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7500"/>
                    </a:xfrm>
                    <a:prstGeom prst="rect">
                      <a:avLst/>
                    </a:prstGeom>
                    <a:noFill/>
                  </pic:spPr>
                </pic:pic>
              </a:graphicData>
            </a:graphic>
          </wp:anchor>
        </w:drawing>
        <w:t>Investment Company Bond</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80" w:lineRule="exact"/>
        <w:rPr>
          <w:rFonts w:ascii="Arial" w:cs="Arial" w:eastAsia="Arial" w:hAnsi="Arial"/>
          <w:sz w:val="18"/>
          <w:szCs w:val="18"/>
          <w:b w:val="1"/>
          <w:bCs w:val="1"/>
          <w:i w:val="1"/>
          <w:iCs w:val="1"/>
          <w:color w:val="auto"/>
        </w:rPr>
      </w:pPr>
    </w:p>
    <w:p>
      <w:pPr>
        <w:ind w:left="444"/>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8"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234" w:lineRule="exact"/>
        <w:rPr>
          <w:rFonts w:ascii="Arial" w:cs="Arial" w:eastAsia="Arial" w:hAnsi="Arial"/>
          <w:sz w:val="18"/>
          <w:szCs w:val="18"/>
          <w:b w:val="1"/>
          <w:bCs w:val="1"/>
          <w:i w:val="1"/>
          <w:iCs w:val="1"/>
          <w:color w:val="auto"/>
        </w:rPr>
      </w:pPr>
    </w:p>
    <w:p>
      <w:pPr>
        <w:ind w:left="964" w:hanging="532"/>
        <w:spacing w:after="0"/>
        <w:tabs>
          <w:tab w:leader="none" w:pos="96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color w:val="auto"/>
        </w:rPr>
      </w:pPr>
    </w:p>
    <w:p>
      <w:pPr>
        <w:ind w:left="984" w:right="540" w:firstLine="441"/>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 Coverage A.2. Restoration Expenses</w:t>
      </w:r>
    </w:p>
    <w:p>
      <w:pPr>
        <w:spacing w:after="0" w:line="1" w:lineRule="exact"/>
        <w:rPr>
          <w:rFonts w:ascii="Arial" w:cs="Arial" w:eastAsia="Arial" w:hAnsi="Arial"/>
          <w:sz w:val="18"/>
          <w:szCs w:val="18"/>
          <w:b w:val="1"/>
          <w:bCs w:val="1"/>
          <w:color w:val="auto"/>
        </w:rPr>
      </w:pPr>
    </w:p>
    <w:p>
      <w:pPr>
        <w:ind w:left="1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373" w:lineRule="exact"/>
        <w:rPr>
          <w:rFonts w:ascii="Arial" w:cs="Arial" w:eastAsia="Arial" w:hAnsi="Arial"/>
          <w:sz w:val="18"/>
          <w:szCs w:val="18"/>
          <w:b w:val="1"/>
          <w:bCs w:val="1"/>
          <w:color w:val="auto"/>
        </w:rPr>
      </w:pPr>
    </w:p>
    <w:p>
      <w:pPr>
        <w:ind w:left="964" w:hanging="532"/>
        <w:spacing w:after="0"/>
        <w:tabs>
          <w:tab w:leader="none" w:pos="96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2"/>
          <w:numId w:val="9"/>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64" w:hanging="533"/>
        <w:spacing w:after="0"/>
        <w:tabs>
          <w:tab w:leader="none" w:pos="1964" w:val="left"/>
        </w:tabs>
        <w:numPr>
          <w:ilvl w:val="3"/>
          <w:numId w:val="9"/>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64" w:right="40" w:hanging="533"/>
        <w:spacing w:after="0" w:line="277" w:lineRule="auto"/>
        <w:tabs>
          <w:tab w:leader="none" w:pos="1964" w:val="left"/>
        </w:tabs>
        <w:numPr>
          <w:ilvl w:val="3"/>
          <w:numId w:val="9"/>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-2239645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1424" w:right="20"/>
        <w:spacing w:after="0" w:line="255" w:lineRule="auto"/>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within offices or premises located anywhere. The premises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will be deemed premises of the Insured, but solely as respects loss of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Coverage for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held by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is limited to the extent of the Insured’s interest therein as effected by the making of appropriate entries on the books and records of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unless the amount of such loss exceeds the amount recoverable or recovered under any bond or policy or participants’ fund insuring the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against such loss.</w:t>
      </w:r>
    </w:p>
    <w:p>
      <w:pPr>
        <w:spacing w:after="0" w:line="81" w:lineRule="exact"/>
        <w:rPr>
          <w:sz w:val="20"/>
          <w:szCs w:val="20"/>
          <w:color w:val="auto"/>
        </w:rPr>
      </w:pPr>
    </w:p>
    <w:p>
      <w:pPr>
        <w:ind w:left="1424" w:right="30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24" w:right="220" w:hanging="439"/>
        <w:spacing w:after="0" w:line="258" w:lineRule="auto"/>
        <w:tabs>
          <w:tab w:leader="none" w:pos="1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699516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4"/>
          </w:cols>
          <w:pgMar w:left="436" w:top="584" w:right="459" w:bottom="1440" w:gutter="0" w:footer="0" w:header="0"/>
        </w:sect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Page 3 of 25</w:t>
      </w:r>
    </w:p>
    <w:p>
      <w:pPr>
        <w:sectPr>
          <w:pgSz w:w="11900" w:h="16838" w:orient="portrait"/>
          <w:cols w:equalWidth="0" w:num="2">
            <w:col w:w="9304" w:space="720"/>
            <w:col w:w="980"/>
          </w:cols>
          <w:pgMar w:left="436" w:top="584" w:right="459" w:bottom="1440" w:gutter="0" w:footer="0" w:header="0"/>
          <w:type w:val="continuous"/>
        </w:sectPr>
      </w:pPr>
    </w:p>
    <w:bookmarkStart w:id="11" w:name="page12"/>
    <w:bookmarkEnd w:id="11"/>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98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337" w:lineRule="exact"/>
        <w:rPr>
          <w:rFonts w:ascii="Arial" w:cs="Arial" w:eastAsia="Arial" w:hAnsi="Arial"/>
          <w:sz w:val="18"/>
          <w:szCs w:val="18"/>
          <w:b w:val="1"/>
          <w:bCs w:val="1"/>
          <w:color w:val="auto"/>
        </w:rPr>
      </w:pPr>
    </w:p>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980" w:right="26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1420" w:hanging="439"/>
        <w:spacing w:after="0" w:line="282"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acquired ,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Page 4 of 25</w:t>
      </w:r>
    </w:p>
    <w:p>
      <w:pPr>
        <w:sectPr>
          <w:pgSz w:w="11900" w:h="16838" w:orient="portrait"/>
          <w:cols w:equalWidth="0" w:num="2">
            <w:col w:w="9300" w:space="720"/>
            <w:col w:w="960"/>
          </w:cols>
          <w:pgMar w:left="440" w:top="270" w:right="479" w:bottom="1440" w:gutter="0" w:footer="0" w:header="0"/>
          <w:type w:val="continuous"/>
        </w:sectPr>
      </w:pPr>
    </w:p>
    <w:bookmarkStart w:id="12" w:name="page13"/>
    <w:bookmarkEnd w:id="12"/>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 that</w:t>
      </w:r>
    </w:p>
    <w:p>
      <w:pPr>
        <w:spacing w:after="0" w:line="130" w:lineRule="exact"/>
        <w:rPr>
          <w:rFonts w:ascii="Arial" w:cs="Arial" w:eastAsia="Arial" w:hAnsi="Arial"/>
          <w:sz w:val="18"/>
          <w:szCs w:val="18"/>
          <w:color w:val="auto"/>
        </w:rPr>
      </w:pPr>
    </w:p>
    <w:p>
      <w:pPr>
        <w:ind w:left="2400" w:right="420" w:hanging="433"/>
        <w:spacing w:after="0" w:line="282" w:lineRule="auto"/>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but only to the extent the</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causes the loss;</w:t>
      </w:r>
    </w:p>
    <w:p>
      <w:pPr>
        <w:spacing w:after="0" w:line="71" w:lineRule="exact"/>
        <w:rPr>
          <w:rFonts w:ascii="Arial" w:cs="Arial" w:eastAsia="Arial" w:hAnsi="Arial"/>
          <w:sz w:val="18"/>
          <w:szCs w:val="18"/>
          <w:color w:val="auto"/>
        </w:rPr>
      </w:pPr>
    </w:p>
    <w:p>
      <w:pPr>
        <w:ind w:left="2400" w:hanging="433"/>
        <w:spacing w:after="0"/>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98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 xml:space="preserve">Damages that the Insured becomes legally liable to pay its customers resulting directly from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w:t>
      </w:r>
    </w:p>
    <w:p>
      <w:pPr>
        <w:spacing w:after="0" w:line="157" w:lineRule="exact"/>
        <w:rPr>
          <w:rFonts w:ascii="Arial" w:cs="Arial" w:eastAsia="Arial" w:hAnsi="Arial"/>
          <w:sz w:val="18"/>
          <w:szCs w:val="18"/>
          <w:b w:val="1"/>
          <w:bCs w:val="1"/>
          <w:color w:val="auto"/>
        </w:rPr>
      </w:pPr>
    </w:p>
    <w:p>
      <w:pPr>
        <w:ind w:left="1420" w:right="200" w:hanging="439"/>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20" w:right="560" w:hanging="439"/>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Page 5 of 25</w:t>
      </w:r>
    </w:p>
    <w:p>
      <w:pPr>
        <w:sectPr>
          <w:pgSz w:w="11900" w:h="16838" w:orient="portrait"/>
          <w:cols w:equalWidth="0" w:num="2">
            <w:col w:w="9300" w:space="720"/>
            <w:col w:w="1000"/>
          </w:cols>
          <w:pgMar w:left="440" w:top="270" w:right="439" w:bottom="1440" w:gutter="0" w:footer="0" w:header="0"/>
          <w:type w:val="continuous"/>
        </w:sectPr>
      </w:pPr>
    </w:p>
    <w:bookmarkStart w:id="13" w:name="page14"/>
    <w:bookmarkEnd w:id="13"/>
    <w:p>
      <w:pPr>
        <w:ind w:left="984" w:right="7720" w:hanging="552"/>
        <w:spacing w:after="0" w:line="422" w:lineRule="auto"/>
        <w:tabs>
          <w:tab w:leader="none" w:pos="96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COMPUTER SYSTEMS </w:t>
      </w:r>
      <w:r>
        <w:rPr>
          <w:rFonts w:ascii="Arial" w:cs="Arial" w:eastAsia="Arial" w:hAnsi="Arial"/>
          <w:sz w:val="16"/>
          <w:szCs w:val="16"/>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I.2. Fraudulent Instructions</w:t>
      </w:r>
    </w:p>
    <w:p>
      <w:pPr>
        <w:spacing w:after="0" w:line="113" w:lineRule="exact"/>
        <w:rPr>
          <w:sz w:val="20"/>
          <w:szCs w:val="20"/>
          <w:color w:val="auto"/>
        </w:rPr>
      </w:pPr>
    </w:p>
    <w:p>
      <w:pPr>
        <w:ind w:left="1424" w:right="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w:t>
      </w:r>
      <w:r>
        <w:rPr>
          <w:rFonts w:ascii="Arial" w:cs="Arial" w:eastAsia="Arial" w:hAnsi="Arial"/>
          <w:sz w:val="18"/>
          <w:szCs w:val="18"/>
          <w:color w:val="auto"/>
        </w:rPr>
        <w:t>, prior to causing the transfer of the funds, used its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5" w:lineRule="exact"/>
        <w:rPr>
          <w:sz w:val="20"/>
          <w:szCs w:val="20"/>
          <w:color w:val="auto"/>
        </w:rPr>
      </w:pPr>
    </w:p>
    <w:p>
      <w:pPr>
        <w:ind w:left="2404" w:hanging="433"/>
        <w:spacing w:after="0"/>
        <w:tabs>
          <w:tab w:leader="none" w:pos="24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404" w:hanging="433"/>
        <w:spacing w:after="0"/>
        <w:tabs>
          <w:tab w:leader="none" w:pos="24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424" w:right="24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I.3. Restoration Expenses</w:t>
      </w:r>
    </w:p>
    <w:p>
      <w:pPr>
        <w:spacing w:after="0" w:line="113" w:lineRule="exact"/>
        <w:rPr>
          <w:sz w:val="20"/>
          <w:szCs w:val="20"/>
          <w:color w:val="auto"/>
        </w:rPr>
      </w:pPr>
    </w:p>
    <w:p>
      <w:pPr>
        <w:ind w:left="1424" w:right="16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someone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964" w:hanging="532"/>
        <w:spacing w:after="0"/>
        <w:tabs>
          <w:tab w:leader="none" w:pos="96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jc w:val="both"/>
        <w:ind w:left="984"/>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Items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84"/>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984" w:right="4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984" w:right="1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 Regulation CC begins from the date a deposit was first credited to any fund in the exchange program.</w:t>
      </w:r>
    </w:p>
    <w:p>
      <w:pPr>
        <w:spacing w:after="0" w:line="314"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234" w:lineRule="exact"/>
        <w:rPr>
          <w:rFonts w:ascii="Arial" w:cs="Arial" w:eastAsia="Arial" w:hAnsi="Arial"/>
          <w:sz w:val="18"/>
          <w:szCs w:val="18"/>
          <w:b w:val="1"/>
          <w:bCs w:val="1"/>
          <w:i w:val="1"/>
          <w:iCs w:val="1"/>
          <w:color w:val="auto"/>
        </w:rPr>
      </w:pPr>
    </w:p>
    <w:p>
      <w:pPr>
        <w:ind w:left="424"/>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984" w:right="8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4"/>
          </w:cols>
          <w:pgMar w:left="436" w:top="270" w:right="539" w:bottom="1440" w:gutter="0" w:footer="0" w:header="0"/>
        </w:sectPr>
      </w:pP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6 of 25</w:t>
      </w:r>
    </w:p>
    <w:p>
      <w:pPr>
        <w:sectPr>
          <w:pgSz w:w="11900" w:h="16838" w:orient="portrait"/>
          <w:cols w:equalWidth="0" w:num="2">
            <w:col w:w="9304" w:space="720"/>
            <w:col w:w="900"/>
          </w:cols>
          <w:pgMar w:left="436" w:top="270" w:right="539" w:bottom="1440" w:gutter="0" w:footer="0" w:header="0"/>
          <w:type w:val="continuous"/>
        </w:sectPr>
      </w:pPr>
    </w:p>
    <w:bookmarkStart w:id="14" w:name="page15"/>
    <w:bookmarkEnd w:id="14"/>
    <w:p>
      <w:pPr>
        <w:ind w:left="980" w:right="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4"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980" w:right="2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1420" w:right="840" w:hanging="439"/>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1960" w:hanging="533"/>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1980"/>
        <w:spacing w:after="0" w:line="272"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2" w:lineRule="exact"/>
        <w:rPr>
          <w:rFonts w:ascii="Arial" w:cs="Arial" w:eastAsia="Arial" w:hAnsi="Arial"/>
          <w:sz w:val="18"/>
          <w:szCs w:val="18"/>
          <w:color w:val="auto"/>
        </w:rPr>
      </w:pPr>
    </w:p>
    <w:p>
      <w:pPr>
        <w:ind w:left="1960" w:hanging="533"/>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1980" w:right="40"/>
        <w:spacing w:after="0" w:line="275"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0"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98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4" w:lineRule="exact"/>
        <w:rPr>
          <w:rFonts w:ascii="Arial" w:cs="Arial" w:eastAsia="Arial" w:hAnsi="Arial"/>
          <w:sz w:val="18"/>
          <w:szCs w:val="18"/>
          <w:b w:val="1"/>
          <w:bCs w:val="1"/>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98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jc w:val="both"/>
        <w:ind w:left="98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99516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Page 7 of 25</w:t>
      </w:r>
    </w:p>
    <w:p>
      <w:pPr>
        <w:sectPr>
          <w:pgSz w:w="11900" w:h="16838" w:orient="portrait"/>
          <w:cols w:equalWidth="0" w:num="2">
            <w:col w:w="9300" w:space="720"/>
            <w:col w:w="960"/>
          </w:cols>
          <w:pgMar w:left="440" w:top="270" w:right="479" w:bottom="1440" w:gutter="0" w:footer="0" w:header="0"/>
          <w:type w:val="continuous"/>
        </w:sectPr>
      </w:pPr>
    </w:p>
    <w:bookmarkStart w:id="15" w:name="page16"/>
    <w:bookmarkEnd w:id="15"/>
    <w:p>
      <w:pPr>
        <w:ind w:left="9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16"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980" w:right="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8" w:lineRule="exact"/>
        <w:rPr>
          <w:rFonts w:ascii="Arial" w:cs="Arial" w:eastAsia="Arial" w:hAnsi="Arial"/>
          <w:sz w:val="18"/>
          <w:szCs w:val="18"/>
          <w:b w:val="1"/>
          <w:bCs w:val="1"/>
          <w:color w:val="auto"/>
        </w:rPr>
      </w:pPr>
    </w:p>
    <w:p>
      <w:pPr>
        <w:ind w:left="1960" w:hanging="533"/>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right="100" w:hanging="533"/>
        <w:spacing w:after="0" w:line="282"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60" w:right="80" w:hanging="532"/>
        <w:spacing w:after="0" w:line="282"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 verify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Page 8 of 25</w:t>
      </w:r>
    </w:p>
    <w:p>
      <w:pPr>
        <w:sectPr>
          <w:pgSz w:w="11900" w:h="16838" w:orient="portrait"/>
          <w:cols w:equalWidth="0" w:num="2">
            <w:col w:w="9300" w:space="720"/>
            <w:col w:w="980"/>
          </w:cols>
          <w:pgMar w:left="440" w:top="274" w:right="459" w:bottom="1440" w:gutter="0" w:footer="0" w:header="0"/>
          <w:type w:val="continuous"/>
        </w:sectPr>
      </w:pPr>
    </w:p>
    <w:bookmarkStart w:id="16" w:name="page17"/>
    <w:bookmarkEnd w:id="16"/>
    <w:p>
      <w:pPr>
        <w:ind w:left="960" w:right="80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960" w:right="58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60" w:right="360" w:hanging="532"/>
        <w:spacing w:after="0" w:line="277"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42" w:lineRule="exact"/>
        <w:rPr>
          <w:rFonts w:ascii="Arial" w:cs="Arial" w:eastAsia="Arial" w:hAnsi="Arial"/>
          <w:sz w:val="17"/>
          <w:szCs w:val="17"/>
          <w:color w:val="auto"/>
        </w:rPr>
      </w:pPr>
    </w:p>
    <w:p>
      <w:pPr>
        <w:ind w:left="960" w:hanging="532"/>
        <w:spacing w:after="0" w:line="263"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that is rented by, owned by, leased by, licensed to, or under the direct operational control of,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46" w:lineRule="exact"/>
        <w:rPr>
          <w:sz w:val="20"/>
          <w:szCs w:val="20"/>
          <w:color w:val="auto"/>
        </w:rPr>
      </w:pPr>
    </w:p>
    <w:p>
      <w:pPr>
        <w:ind w:left="960" w:hanging="532"/>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160" w:hanging="439"/>
        <w:spacing w:after="0" w:line="282"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60" w:right="620" w:hanging="532"/>
        <w:spacing w:after="0" w:line="282"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9 of 25</w:t>
      </w:r>
    </w:p>
    <w:p>
      <w:pPr>
        <w:sectPr>
          <w:pgSz w:w="11900" w:h="16838" w:orient="portrait"/>
          <w:cols w:equalWidth="0" w:num="2">
            <w:col w:w="9300" w:space="720"/>
            <w:col w:w="920"/>
          </w:cols>
          <w:pgMar w:left="440" w:top="270" w:right="519" w:bottom="1440" w:gutter="0" w:footer="0" w:header="0"/>
          <w:type w:val="continuous"/>
        </w:sectPr>
      </w:pPr>
    </w:p>
    <w:bookmarkStart w:id="17" w:name="page18"/>
    <w:bookmarkEnd w:id="17"/>
    <w:p>
      <w:pPr>
        <w:ind w:left="960" w:right="300" w:hanging="532"/>
        <w:spacing w:after="0" w:line="282"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960" w:right="60" w:hanging="532"/>
        <w:spacing w:after="0" w:line="282"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hanging="532"/>
        <w:spacing w:after="0"/>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20" w:right="40" w:hanging="439"/>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jc w:val="both"/>
        <w:ind w:left="1420" w:right="120" w:hanging="439"/>
        <w:spacing w:after="0" w:line="263"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5" w:lineRule="exact"/>
        <w:rPr>
          <w:rFonts w:ascii="Arial" w:cs="Arial" w:eastAsia="Arial" w:hAnsi="Arial"/>
          <w:sz w:val="18"/>
          <w:szCs w:val="18"/>
          <w:color w:val="auto"/>
        </w:rPr>
      </w:pPr>
    </w:p>
    <w:p>
      <w:pPr>
        <w:ind w:left="960" w:right="380" w:hanging="532"/>
        <w:spacing w:after="0" w:line="258"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8" w:lineRule="exact"/>
        <w:rPr>
          <w:rFonts w:ascii="Arial" w:cs="Arial" w:eastAsia="Arial" w:hAnsi="Arial"/>
          <w:sz w:val="18"/>
          <w:szCs w:val="18"/>
          <w:b w:val="1"/>
          <w:bCs w:val="1"/>
          <w:color w:val="auto"/>
        </w:rPr>
      </w:pPr>
    </w:p>
    <w:p>
      <w:pPr>
        <w:ind w:left="960" w:right="160" w:hanging="532"/>
        <w:spacing w:after="0" w:line="281" w:lineRule="auto"/>
        <w:tabs>
          <w:tab w:leader="none" w:pos="9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960" w:right="500" w:hanging="532"/>
        <w:spacing w:after="0" w:line="277"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right="140" w:hanging="439"/>
        <w:spacing w:after="0" w:line="263"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5" w:lineRule="exact"/>
        <w:rPr>
          <w:rFonts w:ascii="Arial" w:cs="Arial" w:eastAsia="Arial" w:hAnsi="Arial"/>
          <w:sz w:val="18"/>
          <w:szCs w:val="18"/>
          <w:color w:val="auto"/>
        </w:rPr>
      </w:pPr>
    </w:p>
    <w:p>
      <w:pPr>
        <w:ind w:left="1420" w:right="200" w:hanging="439"/>
        <w:spacing w:after="0" w:line="282"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20" w:hanging="439"/>
        <w:spacing w:after="0" w:line="255"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natural person assigned to perform the usual duties of an employee within the premises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under the Insured’s supervision, by contract, including such persons provided by any employment agency furnishing temporary personnel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on a contingent or part-time basis, and including a natural person who is leased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8" w:lineRule="exact"/>
        <w:rPr>
          <w:rFonts w:ascii="Arial" w:cs="Arial" w:eastAsia="Arial" w:hAnsi="Arial"/>
          <w:sz w:val="18"/>
          <w:szCs w:val="18"/>
          <w:color w:val="auto"/>
        </w:rPr>
      </w:pPr>
    </w:p>
    <w:p>
      <w:pPr>
        <w:ind w:left="1420" w:hanging="439"/>
        <w:spacing w:after="0" w:line="259"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10 of 25</w:t>
      </w:r>
    </w:p>
    <w:p>
      <w:pPr>
        <w:sectPr>
          <w:pgSz w:w="11900" w:h="16838" w:orient="portrait"/>
          <w:cols w:equalWidth="0" w:num="2">
            <w:col w:w="9200" w:space="720"/>
            <w:col w:w="1080"/>
          </w:cols>
          <w:pgMar w:left="440" w:top="270" w:right="459" w:bottom="1440" w:gutter="0" w:footer="0" w:header="0"/>
          <w:type w:val="continuous"/>
        </w:sectPr>
      </w:pPr>
    </w:p>
    <w:bookmarkStart w:id="18" w:name="page19"/>
    <w:bookmarkEnd w:id="18"/>
    <w:p>
      <w:pPr>
        <w:ind w:left="1420" w:right="140" w:hanging="439"/>
        <w:spacing w:after="0" w:line="261"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R.2.);</w:t>
      </w:r>
    </w:p>
    <w:p>
      <w:pPr>
        <w:spacing w:after="0" w:line="85" w:lineRule="exact"/>
        <w:rPr>
          <w:rFonts w:ascii="Arial" w:cs="Arial" w:eastAsia="Arial" w:hAnsi="Arial"/>
          <w:sz w:val="18"/>
          <w:szCs w:val="18"/>
          <w:color w:val="auto"/>
        </w:rPr>
      </w:pPr>
    </w:p>
    <w:p>
      <w:pPr>
        <w:ind w:left="1420" w:right="240" w:hanging="439"/>
        <w:spacing w:after="0" w:line="303" w:lineRule="auto"/>
        <w:tabs>
          <w:tab w:leader="none" w:pos="1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any director or trustee of an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underwriter (distributor), transfer agent, shareholder accounting record keeper, or administrator authorized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Insured;</w:t>
      </w:r>
    </w:p>
    <w:p>
      <w:pPr>
        <w:spacing w:after="0" w:line="60" w:lineRule="exact"/>
        <w:rPr>
          <w:rFonts w:ascii="Arial" w:cs="Arial" w:eastAsia="Arial" w:hAnsi="Arial"/>
          <w:sz w:val="16"/>
          <w:szCs w:val="16"/>
          <w:color w:val="auto"/>
        </w:rPr>
      </w:pPr>
    </w:p>
    <w:p>
      <w:pPr>
        <w:ind w:left="1420" w:right="160" w:hanging="43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20" w:right="240" w:hanging="439"/>
        <w:spacing w:after="0" w:line="308"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any such Insured, provided that only employees or partners of a transfer agent, shareholder accounting record- keeper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0" w:lineRule="exact"/>
        <w:rPr>
          <w:sz w:val="20"/>
          <w:szCs w:val="20"/>
          <w:color w:val="auto"/>
        </w:rPr>
      </w:pPr>
    </w:p>
    <w:p>
      <w:pPr>
        <w:ind w:left="980" w:right="1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960" w:right="40" w:hanging="532"/>
        <w:spacing w:after="0" w:line="266" w:lineRule="auto"/>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26" w:lineRule="exact"/>
        <w:rPr>
          <w:rFonts w:ascii="Arial" w:cs="Arial" w:eastAsia="Arial" w:hAnsi="Arial"/>
          <w:sz w:val="18"/>
          <w:szCs w:val="18"/>
          <w:color w:val="auto"/>
        </w:rPr>
      </w:pPr>
    </w:p>
    <w:p>
      <w:pPr>
        <w:ind w:left="1420" w:right="280" w:hanging="439"/>
        <w:spacing w:after="0" w:line="282"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 stock brokerage firm, mutual fund, liquid assets fund or similar investment institution; 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11 of 25</w:t>
      </w:r>
    </w:p>
    <w:p>
      <w:pPr>
        <w:sectPr>
          <w:pgSz w:w="11900" w:h="16838" w:orient="portrait"/>
          <w:cols w:equalWidth="0" w:num="2">
            <w:col w:w="9220" w:space="720"/>
            <w:col w:w="1080"/>
          </w:cols>
          <w:pgMar w:left="440" w:top="270" w:right="439" w:bottom="1440" w:gutter="0" w:footer="0" w:header="0"/>
          <w:type w:val="continuous"/>
        </w:sectPr>
      </w:pPr>
    </w:p>
    <w:bookmarkStart w:id="19" w:name="page20"/>
    <w:bookmarkEnd w:id="19"/>
    <w:p>
      <w:pPr>
        <w:ind w:left="960" w:right="220" w:hanging="532"/>
        <w:spacing w:after="0" w:line="282" w:lineRule="auto"/>
        <w:tabs>
          <w:tab w:leader="none" w:pos="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98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71" w:lineRule="exact"/>
        <w:rPr>
          <w:rFonts w:ascii="Arial" w:cs="Arial" w:eastAsia="Arial" w:hAnsi="Arial"/>
          <w:sz w:val="18"/>
          <w:szCs w:val="18"/>
          <w:b w:val="1"/>
          <w:bCs w:val="1"/>
          <w:color w:val="auto"/>
        </w:rPr>
      </w:pPr>
    </w:p>
    <w:p>
      <w:pPr>
        <w:ind w:left="980" w:right="1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960" w:right="160" w:hanging="532"/>
        <w:spacing w:after="0" w:line="282" w:lineRule="auto"/>
        <w:tabs>
          <w:tab w:leader="none" w:pos="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30"/>
        </w:numPr>
        <w:rPr>
          <w:rFonts w:ascii="Arial" w:cs="Arial" w:eastAsia="Arial" w:hAnsi="Arial"/>
          <w:sz w:val="17"/>
          <w:szCs w:val="17"/>
          <w:color w:val="auto"/>
        </w:rPr>
      </w:pPr>
      <w:r>
        <w:rPr>
          <w:rFonts w:ascii="Arial" w:cs="Arial" w:eastAsia="Arial" w:hAnsi="Arial"/>
          <w:sz w:val="17"/>
          <w:szCs w:val="17"/>
          <w:color w:val="auto"/>
        </w:rPr>
        <w:t xml:space="preserve">purports and reasonably appears to be from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or another office of the Insured;</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30"/>
        </w:numPr>
        <w:rPr>
          <w:rFonts w:ascii="Arial" w:cs="Arial" w:eastAsia="Arial" w:hAnsi="Arial"/>
          <w:sz w:val="16"/>
          <w:szCs w:val="16"/>
          <w:color w:val="auto"/>
        </w:rPr>
      </w:pPr>
      <w:r>
        <w:rPr>
          <w:rFonts w:ascii="Arial" w:cs="Arial" w:eastAsia="Arial" w:hAnsi="Arial"/>
          <w:sz w:val="16"/>
          <w:szCs w:val="16"/>
          <w:color w:val="auto"/>
        </w:rPr>
        <w:t xml:space="preserve">was in fact transmitted by someone other than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 and</w:t>
      </w:r>
    </w:p>
    <w:p>
      <w:pPr>
        <w:spacing w:after="0" w:line="157" w:lineRule="exact"/>
        <w:rPr>
          <w:rFonts w:ascii="Arial" w:cs="Arial" w:eastAsia="Arial" w:hAnsi="Arial"/>
          <w:sz w:val="16"/>
          <w:szCs w:val="16"/>
          <w:color w:val="auto"/>
        </w:rPr>
      </w:pPr>
    </w:p>
    <w:p>
      <w:pPr>
        <w:ind w:left="1960" w:right="400" w:hanging="533"/>
        <w:spacing w:after="0" w:line="277"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60" w:right="340" w:hanging="533"/>
        <w:spacing w:after="0" w:line="282"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60" w:hanging="533"/>
        <w:spacing w:after="0" w:line="266"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780" w:hanging="439"/>
        <w:spacing w:after="0" w:line="282"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980" w:right="24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color w:val="auto"/>
        </w:rPr>
      </w:pPr>
    </w:p>
    <w:p>
      <w:pPr>
        <w:ind w:left="1420" w:right="100" w:hanging="439"/>
        <w:spacing w:after="0" w:line="282"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12 of 25</w:t>
      </w:r>
    </w:p>
    <w:p>
      <w:pPr>
        <w:sectPr>
          <w:pgSz w:w="11900" w:h="16838" w:orient="portrait"/>
          <w:cols w:equalWidth="0" w:num="2">
            <w:col w:w="9200" w:space="720"/>
            <w:col w:w="1060"/>
          </w:cols>
          <w:pgMar w:left="440" w:top="270" w:right="479" w:bottom="1440" w:gutter="0" w:footer="0" w:header="0"/>
          <w:type w:val="continuous"/>
        </w:sectPr>
      </w:pPr>
    </w:p>
    <w:bookmarkStart w:id="20" w:name="page21"/>
    <w:bookmarkEnd w:id="20"/>
    <w:p>
      <w:pPr>
        <w:ind w:left="960" w:right="260" w:hanging="532"/>
        <w:spacing w:after="0" w:line="347" w:lineRule="auto"/>
        <w:tabs>
          <w:tab w:leader="none" w:pos="9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60" w:right="80" w:hanging="532"/>
        <w:spacing w:after="0" w:line="282"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960" w:right="180" w:hanging="532"/>
        <w:spacing w:after="0" w:line="277"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960" w:hanging="532"/>
        <w:spacing w:after="0" w:line="266" w:lineRule="auto"/>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 the</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right="500" w:hanging="532"/>
        <w:spacing w:after="0" w:line="277" w:lineRule="auto"/>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ind w:left="960" w:hanging="532"/>
        <w:spacing w:after="0" w:line="266" w:lineRule="auto"/>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20" w:hanging="439"/>
        <w:spacing w:after="0" w:line="282" w:lineRule="auto"/>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p>
    <w:p>
      <w:pPr>
        <w:spacing w:after="0" w:line="135" w:lineRule="exact"/>
        <w:rPr>
          <w:sz w:val="20"/>
          <w:szCs w:val="20"/>
          <w:color w:val="auto"/>
        </w:rPr>
      </w:pPr>
    </w:p>
    <w:p>
      <w:pPr>
        <w:ind w:left="960" w:right="40" w:hanging="532"/>
        <w:spacing w:after="0" w:line="296" w:lineRule="auto"/>
        <w:tabs>
          <w:tab w:leader="none" w:pos="9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p>
    <w:p>
      <w:pPr>
        <w:spacing w:after="0" w:line="66" w:lineRule="exact"/>
        <w:rPr>
          <w:rFonts w:ascii="Arial" w:cs="Arial" w:eastAsia="Arial" w:hAnsi="Arial"/>
          <w:sz w:val="16"/>
          <w:szCs w:val="16"/>
          <w:b w:val="1"/>
          <w:bCs w:val="1"/>
          <w:color w:val="auto"/>
        </w:rPr>
      </w:pPr>
    </w:p>
    <w:p>
      <w:pPr>
        <w:ind w:left="960" w:hanging="532"/>
        <w:spacing w:after="0"/>
        <w:tabs>
          <w:tab w:leader="none" w:pos="9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960" w:hanging="532"/>
        <w:spacing w:after="0"/>
        <w:tabs>
          <w:tab w:leader="none" w:pos="9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13 of 25</w:t>
      </w:r>
    </w:p>
    <w:p>
      <w:pPr>
        <w:sectPr>
          <w:pgSz w:w="11900" w:h="16838" w:orient="portrait"/>
          <w:cols w:equalWidth="0" w:num="2">
            <w:col w:w="9200" w:space="720"/>
            <w:col w:w="1060"/>
          </w:cols>
          <w:pgMar w:left="440" w:top="270" w:right="479" w:bottom="1440" w:gutter="0" w:footer="0" w:header="0"/>
          <w:type w:val="continuous"/>
        </w:sectPr>
      </w:pPr>
    </w:p>
    <w:bookmarkStart w:id="21" w:name="page22"/>
    <w:bookmarkEnd w:id="21"/>
    <w:p>
      <w:pPr>
        <w:ind w:left="1420" w:hanging="439"/>
        <w:spacing w:after="0" w:line="266"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140" w:hanging="439"/>
        <w:spacing w:after="0" w:line="266"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1420" w:right="160" w:hanging="439"/>
        <w:spacing w:after="0" w:line="282"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960" w:right="40" w:hanging="532"/>
        <w:spacing w:after="0" w:line="294" w:lineRule="auto"/>
        <w:tabs>
          <w:tab w:leader="none" w:pos="9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51"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1420" w:right="10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9" w:lineRule="exact"/>
        <w:rPr>
          <w:rFonts w:ascii="Arial" w:cs="Arial" w:eastAsia="Arial" w:hAnsi="Arial"/>
          <w:sz w:val="18"/>
          <w:szCs w:val="18"/>
          <w:color w:val="auto"/>
        </w:rPr>
      </w:pPr>
    </w:p>
    <w:p>
      <w:pPr>
        <w:ind w:left="1420" w:right="32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20" w:right="44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960" w:right="420" w:hanging="532"/>
        <w:spacing w:after="0" w:line="282"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960" w:right="220" w:hanging="532"/>
        <w:spacing w:after="0" w:line="266"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14 of 25</w:t>
      </w:r>
    </w:p>
    <w:p>
      <w:pPr>
        <w:sectPr>
          <w:pgSz w:w="11900" w:h="16838" w:orient="portrait"/>
          <w:cols w:equalWidth="0" w:num="2">
            <w:col w:w="9200" w:space="720"/>
            <w:col w:w="1000"/>
          </w:cols>
          <w:pgMar w:left="440" w:top="270" w:right="539" w:bottom="1440" w:gutter="0" w:footer="0" w:header="0"/>
          <w:type w:val="continuous"/>
        </w:sectPr>
      </w:pPr>
    </w:p>
    <w:bookmarkStart w:id="22" w:name="page23"/>
    <w:bookmarkEnd w:id="22"/>
    <w:p>
      <w:pPr>
        <w:ind w:left="960" w:hanging="532"/>
        <w:spacing w:after="0"/>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20" w:right="500" w:hanging="439"/>
        <w:spacing w:after="0" w:line="282"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60" w:right="160" w:hanging="532"/>
        <w:spacing w:after="0" w:line="282"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as amended.</w:t>
      </w:r>
    </w:p>
    <w:p>
      <w:pPr>
        <w:spacing w:after="0" w:line="71" w:lineRule="exact"/>
        <w:rPr>
          <w:rFonts w:ascii="Arial" w:cs="Arial" w:eastAsia="Arial" w:hAnsi="Arial"/>
          <w:sz w:val="18"/>
          <w:szCs w:val="18"/>
          <w:b w:val="1"/>
          <w:bCs w:val="1"/>
          <w:color w:val="auto"/>
        </w:rPr>
      </w:pPr>
    </w:p>
    <w:p>
      <w:pPr>
        <w:ind w:left="960" w:right="540" w:hanging="532"/>
        <w:spacing w:after="0" w:line="277"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960" w:right="220" w:hanging="532"/>
        <w:spacing w:after="0" w:line="277"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right="500" w:hanging="439"/>
        <w:spacing w:after="0" w:line="282"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38" w:lineRule="exact"/>
        <w:rPr>
          <w:rFonts w:ascii="Arial" w:cs="Arial" w:eastAsia="Arial" w:hAnsi="Arial"/>
          <w:sz w:val="17"/>
          <w:szCs w:val="17"/>
          <w:color w:val="auto"/>
        </w:rPr>
      </w:pPr>
    </w:p>
    <w:p>
      <w:pPr>
        <w:ind w:left="960" w:hanging="532"/>
        <w:spacing w:after="0" w:line="282"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 authorizing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60" w:right="60" w:hanging="532"/>
        <w:spacing w:after="0" w:line="308" w:lineRule="auto"/>
        <w:tabs>
          <w:tab w:leader="none" w:pos="9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9951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Page 15 of 25</w:t>
      </w:r>
    </w:p>
    <w:p>
      <w:pPr>
        <w:sectPr>
          <w:pgSz w:w="11900" w:h="16838" w:orient="portrait"/>
          <w:cols w:equalWidth="0" w:num="2">
            <w:col w:w="9200" w:space="720"/>
            <w:col w:w="1080"/>
          </w:cols>
          <w:pgMar w:left="440" w:top="274" w:right="459" w:bottom="1440" w:gutter="0" w:footer="0" w:header="0"/>
          <w:type w:val="continuous"/>
        </w:sectPr>
      </w:pPr>
    </w:p>
    <w:bookmarkStart w:id="23" w:name="page24"/>
    <w:bookmarkEnd w:id="23"/>
    <w:p>
      <w:pPr>
        <w:ind w:left="424" w:hanging="424"/>
        <w:spacing w:after="0"/>
        <w:tabs>
          <w:tab w:leader="none" w:pos="424"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964" w:right="40" w:hanging="532"/>
        <w:spacing w:after="0" w:line="27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64" w:hanging="532"/>
        <w:spacing w:after="0" w:line="25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64" w:right="780" w:hanging="532"/>
        <w:spacing w:after="0" w:line="27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64" w:right="300" w:hanging="532"/>
        <w:spacing w:after="0" w:line="301" w:lineRule="auto"/>
        <w:tabs>
          <w:tab w:leader="none" w:pos="964"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8" w:lineRule="exact"/>
        <w:rPr>
          <w:rFonts w:ascii="Arial" w:cs="Arial" w:eastAsia="Arial" w:hAnsi="Arial"/>
          <w:sz w:val="16"/>
          <w:szCs w:val="16"/>
          <w:b w:val="1"/>
          <w:bCs w:val="1"/>
          <w:color w:val="auto"/>
        </w:rPr>
      </w:pPr>
    </w:p>
    <w:p>
      <w:pPr>
        <w:ind w:left="964" w:right="20" w:hanging="532"/>
        <w:spacing w:after="0" w:line="303" w:lineRule="auto"/>
        <w:tabs>
          <w:tab w:leader="none" w:pos="964"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964" w:hanging="532"/>
        <w:spacing w:after="0"/>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24" w:right="900" w:hanging="439"/>
        <w:spacing w:after="0" w:line="277" w:lineRule="auto"/>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280" w:hanging="532"/>
        <w:spacing w:after="0" w:line="27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24" w:right="640" w:hanging="439"/>
        <w:spacing w:after="0" w:line="277" w:lineRule="auto"/>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-4682490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2" w:lineRule="exact"/>
        <w:rPr>
          <w:sz w:val="20"/>
          <w:szCs w:val="20"/>
          <w:color w:val="auto"/>
        </w:rPr>
      </w:pPr>
    </w:p>
    <w:p>
      <w:pPr>
        <w:ind w:left="984" w:right="14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64" w:right="100" w:hanging="532"/>
        <w:spacing w:after="0" w:line="282" w:lineRule="auto"/>
        <w:tabs>
          <w:tab w:leader="none" w:pos="964"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24" w:right="260" w:hanging="439"/>
        <w:spacing w:after="0" w:line="282" w:lineRule="auto"/>
        <w:tabs>
          <w:tab w:leader="none" w:pos="14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24" w:hanging="439"/>
        <w:spacing w:after="0"/>
        <w:tabs>
          <w:tab w:leader="none" w:pos="14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16 of 25</w:t>
      </w:r>
    </w:p>
    <w:p>
      <w:pPr>
        <w:sectPr>
          <w:pgSz w:w="11900" w:h="16838" w:orient="portrait"/>
          <w:cols w:equalWidth="0" w:num="2">
            <w:col w:w="9204" w:space="720"/>
            <w:col w:w="1080"/>
          </w:cols>
          <w:pgMar w:left="436" w:top="274" w:right="459" w:bottom="1440" w:gutter="0" w:footer="0" w:header="0"/>
          <w:type w:val="continuous"/>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60" w:hanging="532"/>
        <w:spacing w:after="0" w:line="259"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60" w:right="40" w:hanging="532"/>
        <w:spacing w:after="0" w:line="257"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960" w:right="220" w:hanging="532"/>
        <w:spacing w:after="0" w:line="308" w:lineRule="auto"/>
        <w:tabs>
          <w:tab w:leader="none" w:pos="96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20" w:hanging="439"/>
        <w:spacing w:after="0" w:line="266"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60" w:right="600" w:hanging="532"/>
        <w:spacing w:after="0" w:line="277"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60" w:right="480" w:hanging="532"/>
        <w:spacing w:after="0" w:line="277"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right="400" w:hanging="439"/>
        <w:spacing w:after="0" w:line="277"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80" w:right="26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960" w:right="460" w:hanging="532"/>
        <w:spacing w:after="0" w:line="263"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5" w:lineRule="exact"/>
        <w:rPr>
          <w:rFonts w:ascii="Arial" w:cs="Arial" w:eastAsia="Arial" w:hAnsi="Arial"/>
          <w:sz w:val="18"/>
          <w:szCs w:val="18"/>
          <w:b w:val="1"/>
          <w:bCs w:val="1"/>
          <w:color w:val="auto"/>
        </w:rPr>
      </w:pPr>
    </w:p>
    <w:p>
      <w:pPr>
        <w:ind w:left="960" w:right="120" w:hanging="532"/>
        <w:spacing w:after="0" w:line="282"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17 of 25</w:t>
      </w:r>
    </w:p>
    <w:p>
      <w:pPr>
        <w:sectPr>
          <w:pgSz w:w="11900" w:h="16838" w:orient="portrait"/>
          <w:cols w:equalWidth="0" w:num="2">
            <w:col w:w="9200" w:space="720"/>
            <w:col w:w="1060"/>
          </w:cols>
          <w:pgMar w:left="440" w:top="274" w:right="479" w:bottom="1440" w:gutter="0" w:footer="0" w:header="0"/>
          <w:type w:val="continuous"/>
        </w:sectPr>
      </w:pPr>
    </w:p>
    <w:bookmarkStart w:id="25" w:name="page26"/>
    <w:bookmarkEnd w:id="25"/>
    <w:p>
      <w:pPr>
        <w:ind w:left="960" w:hanging="532"/>
        <w:spacing w:after="0"/>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20" w:right="20" w:hanging="439"/>
        <w:spacing w:after="0" w:line="277"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resulting directly or indirectly from entries or changes made by an individual authorized to have access to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to design, develop, prepare, supply, service, write, or implement programs for the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77" w:lineRule="exact"/>
        <w:rPr>
          <w:rFonts w:ascii="Arial" w:cs="Arial" w:eastAsia="Arial" w:hAnsi="Arial"/>
          <w:sz w:val="17"/>
          <w:szCs w:val="17"/>
          <w:color w:val="auto"/>
        </w:rPr>
      </w:pPr>
    </w:p>
    <w:p>
      <w:pPr>
        <w:jc w:val="both"/>
        <w:ind w:left="1420" w:right="280" w:hanging="439"/>
        <w:spacing w:after="0" w:line="263"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5" w:lineRule="exact"/>
        <w:rPr>
          <w:rFonts w:ascii="Arial" w:cs="Arial" w:eastAsia="Arial" w:hAnsi="Arial"/>
          <w:sz w:val="18"/>
          <w:szCs w:val="18"/>
          <w:color w:val="auto"/>
        </w:rPr>
      </w:pPr>
    </w:p>
    <w:p>
      <w:pPr>
        <w:ind w:left="1420" w:right="80" w:hanging="439"/>
        <w:spacing w:after="0" w:line="266"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960" w:right="500" w:hanging="532"/>
        <w:spacing w:after="0" w:line="282"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960" w:right="60" w:hanging="532"/>
        <w:spacing w:after="0" w:line="263"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9" w:lineRule="exact"/>
        <w:rPr>
          <w:rFonts w:ascii="Arial" w:cs="Arial" w:eastAsia="Arial" w:hAnsi="Arial"/>
          <w:sz w:val="18"/>
          <w:szCs w:val="18"/>
          <w:b w:val="1"/>
          <w:bCs w:val="1"/>
          <w:color w:val="auto"/>
        </w:rPr>
      </w:pPr>
    </w:p>
    <w:p>
      <w:pPr>
        <w:ind w:left="960" w:right="60" w:hanging="532"/>
        <w:spacing w:after="0" w:line="257"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60" w:right="60" w:hanging="532"/>
        <w:spacing w:after="0" w:line="259"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60" w:hanging="532"/>
        <w:spacing w:after="0" w:line="277"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right="280" w:hanging="532"/>
        <w:spacing w:after="0" w:line="261"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5" w:lineRule="exact"/>
        <w:rPr>
          <w:sz w:val="20"/>
          <w:szCs w:val="20"/>
          <w:color w:val="auto"/>
        </w:rPr>
      </w:pPr>
    </w:p>
    <w:p>
      <w:pPr>
        <w:jc w:val="both"/>
        <w:ind w:left="960" w:right="240" w:hanging="532"/>
        <w:spacing w:after="0" w:line="281" w:lineRule="auto"/>
        <w:tabs>
          <w:tab w:leader="none" w:pos="9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960" w:hanging="532"/>
        <w:spacing w:after="0" w:line="281" w:lineRule="auto"/>
        <w:tabs>
          <w:tab w:leader="none" w:pos="9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699516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Page 18 of 25</w:t>
      </w:r>
    </w:p>
    <w:p>
      <w:pPr>
        <w:sectPr>
          <w:pgSz w:w="11900" w:h="16838" w:orient="portrait"/>
          <w:cols w:equalWidth="0" w:num="2">
            <w:col w:w="9200" w:space="720"/>
            <w:col w:w="1080"/>
          </w:cols>
          <w:pgMar w:left="440" w:top="274" w:right="459" w:bottom="1440" w:gutter="0" w:footer="0" w:header="0"/>
          <w:type w:val="continuous"/>
        </w:sectPr>
      </w:pPr>
    </w:p>
    <w:bookmarkStart w:id="26" w:name="page27"/>
    <w:bookmarkEnd w:id="26"/>
    <w:p>
      <w:pPr>
        <w:ind w:left="960" w:right="80" w:hanging="532"/>
        <w:spacing w:after="0" w:line="281" w:lineRule="auto"/>
        <w:tabs>
          <w:tab w:leader="none" w:pos="9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60" w:right="380" w:hanging="532"/>
        <w:spacing w:after="0" w:line="282" w:lineRule="auto"/>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60" w:right="300" w:hanging="532"/>
        <w:spacing w:after="0" w:line="263" w:lineRule="auto"/>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5" w:lineRule="exact"/>
        <w:rPr>
          <w:rFonts w:ascii="Arial" w:cs="Arial" w:eastAsia="Arial" w:hAnsi="Arial"/>
          <w:sz w:val="18"/>
          <w:szCs w:val="18"/>
          <w:b w:val="1"/>
          <w:bCs w:val="1"/>
          <w:color w:val="auto"/>
        </w:rPr>
      </w:pPr>
    </w:p>
    <w:p>
      <w:pPr>
        <w:ind w:left="960" w:hanging="532"/>
        <w:spacing w:after="0" w:line="266" w:lineRule="auto"/>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either on the premises of a customer of the Insured or under the control of such a customer, by a customer or other person who had authorized access to the customer’s authentication mechanism.</w:t>
      </w:r>
    </w:p>
    <w:p>
      <w:pPr>
        <w:spacing w:after="0" w:line="2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1420" w:right="240" w:hanging="439"/>
        <w:spacing w:after="0" w:line="277"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20" w:hanging="439"/>
        <w:spacing w:after="0" w:line="257"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20" w:right="340" w:hanging="439"/>
        <w:spacing w:after="0" w:line="312" w:lineRule="auto"/>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288" w:lineRule="exact"/>
        <w:rPr>
          <w:rFonts w:ascii="Arial" w:cs="Arial" w:eastAsia="Arial" w:hAnsi="Arial"/>
          <w:sz w:val="17"/>
          <w:szCs w:val="17"/>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98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980" w:right="14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9516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Page 19 of 25</w:t>
      </w:r>
    </w:p>
    <w:p>
      <w:pPr>
        <w:sectPr>
          <w:pgSz w:w="11900" w:h="16838" w:orient="portrait"/>
          <w:cols w:equalWidth="0" w:num="2">
            <w:col w:w="9200" w:space="720"/>
            <w:col w:w="1080"/>
          </w:cols>
          <w:pgMar w:left="440" w:top="270" w:right="459" w:bottom="1440" w:gutter="0" w:footer="0" w:header="0"/>
          <w:type w:val="continuous"/>
        </w:sectPr>
      </w:pPr>
    </w:p>
    <w:bookmarkStart w:id="27" w:name="page28"/>
    <w:bookmarkEnd w:id="27"/>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980" w:right="4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980" w:right="4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12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9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299"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980" w:right="40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1" w:lineRule="exact"/>
        <w:rPr>
          <w:rFonts w:ascii="Arial" w:cs="Arial" w:eastAsia="Arial" w:hAnsi="Arial"/>
          <w:sz w:val="18"/>
          <w:szCs w:val="18"/>
          <w:b w:val="1"/>
          <w:bCs w:val="1"/>
          <w:color w:val="auto"/>
        </w:rPr>
      </w:pPr>
    </w:p>
    <w:p>
      <w:pPr>
        <w:ind w:left="98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980" w:right="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3"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98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1420" w:right="16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20 of 25</w:t>
      </w:r>
    </w:p>
    <w:p>
      <w:pPr>
        <w:sectPr>
          <w:pgSz w:w="11900" w:h="16838" w:orient="portrait"/>
          <w:cols w:equalWidth="0" w:num="2">
            <w:col w:w="9200" w:space="720"/>
            <w:col w:w="1020"/>
          </w:cols>
          <w:pgMar w:left="440" w:top="270" w:right="519" w:bottom="1440" w:gutter="0" w:footer="0" w:header="0"/>
          <w:type w:val="continuous"/>
        </w:sectPr>
      </w:pPr>
    </w:p>
    <w:bookmarkStart w:id="28" w:name="page29"/>
    <w:bookmarkEnd w:id="28"/>
    <w:p>
      <w:pPr>
        <w:ind w:left="1420" w:right="160" w:hanging="439"/>
        <w:spacing w:after="0" w:line="282"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20" w:right="140" w:hanging="439"/>
        <w:spacing w:after="0" w:line="282"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20" w:hanging="439"/>
        <w:spacing w:after="0" w:line="257"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20" w:right="160" w:hanging="439"/>
        <w:spacing w:after="0" w:line="342"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68" w:lineRule="exact"/>
        <w:rPr>
          <w:rFonts w:ascii="Arial" w:cs="Arial" w:eastAsia="Arial" w:hAnsi="Arial"/>
          <w:sz w:val="16"/>
          <w:szCs w:val="16"/>
          <w:color w:val="auto"/>
        </w:rPr>
      </w:pPr>
    </w:p>
    <w:p>
      <w:pPr>
        <w:ind w:left="960" w:hanging="532"/>
        <w:spacing w:after="0"/>
        <w:tabs>
          <w:tab w:leader="none" w:pos="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420" w:right="20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68" w:lineRule="exact"/>
        <w:rPr>
          <w:rFonts w:ascii="Arial" w:cs="Arial" w:eastAsia="Arial" w:hAnsi="Arial"/>
          <w:sz w:val="18"/>
          <w:szCs w:val="18"/>
          <w:color w:val="auto"/>
        </w:rPr>
      </w:pPr>
    </w:p>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420" w:right="2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jc w:val="both"/>
        <w:ind w:left="1420" w:right="60"/>
        <w:spacing w:after="0" w:line="311" w:lineRule="auto"/>
        <w:rPr>
          <w:rFonts w:ascii="Arial" w:cs="Arial" w:eastAsia="Arial" w:hAnsi="Arial"/>
          <w:sz w:val="18"/>
          <w:szCs w:val="18"/>
          <w:color w:val="auto"/>
        </w:rPr>
      </w:pPr>
      <w:r>
        <w:rPr>
          <w:rFonts w:ascii="Arial" w:cs="Arial" w:eastAsia="Arial" w:hAnsi="Arial"/>
          <w:sz w:val="16"/>
          <w:szCs w:val="16"/>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0" w:lineRule="exact"/>
        <w:rPr>
          <w:rFonts w:ascii="Arial" w:cs="Arial" w:eastAsia="Arial" w:hAnsi="Arial"/>
          <w:sz w:val="18"/>
          <w:szCs w:val="18"/>
          <w:color w:val="auto"/>
        </w:rPr>
      </w:pPr>
    </w:p>
    <w:p>
      <w:pPr>
        <w:ind w:left="1420" w:right="80"/>
        <w:spacing w:after="0" w:line="273" w:lineRule="auto"/>
        <w:rPr>
          <w:rFonts w:ascii="Arial" w:cs="Arial" w:eastAsia="Arial" w:hAnsi="Arial"/>
          <w:sz w:val="18"/>
          <w:szCs w:val="18"/>
          <w:color w:val="auto"/>
        </w:rPr>
      </w:pPr>
      <w:r>
        <w:rPr>
          <w:rFonts w:ascii="Arial" w:cs="Arial" w:eastAsia="Arial" w:hAnsi="Arial"/>
          <w:sz w:val="17"/>
          <w:szCs w:val="17"/>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326" w:lineRule="exact"/>
        <w:rPr>
          <w:rFonts w:ascii="Arial" w:cs="Arial" w:eastAsia="Arial" w:hAnsi="Arial"/>
          <w:sz w:val="18"/>
          <w:szCs w:val="18"/>
          <w:color w:val="auto"/>
        </w:rPr>
      </w:pPr>
    </w:p>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420" w:right="16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21 of 25</w:t>
      </w:r>
    </w:p>
    <w:p>
      <w:pPr>
        <w:sectPr>
          <w:pgSz w:w="11900" w:h="16838" w:orient="portrait"/>
          <w:cols w:equalWidth="0" w:num="2">
            <w:col w:w="9200" w:space="720"/>
            <w:col w:w="1080"/>
          </w:cols>
          <w:pgMar w:left="440" w:top="270" w:right="459" w:bottom="1440" w:gutter="0" w:footer="0" w:header="0"/>
          <w:type w:val="continuous"/>
        </w:sectPr>
      </w:pPr>
    </w:p>
    <w:bookmarkStart w:id="29" w:name="page30"/>
    <w:bookmarkEnd w:id="29"/>
    <w:p>
      <w:pPr>
        <w:ind w:left="1420" w:hanging="439"/>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420" w:right="46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14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420" w:right="50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4"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980" w:right="4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98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1420" w:right="48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60" w:right="40" w:hanging="533"/>
        <w:spacing w:after="0" w:line="259" w:lineRule="auto"/>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60" w:hanging="533"/>
        <w:spacing w:after="0"/>
        <w:tabs>
          <w:tab w:leader="none" w:pos="1960" w:val="left"/>
        </w:tabs>
        <w:numPr>
          <w:ilvl w:val="2"/>
          <w:numId w:val="52"/>
        </w:numPr>
        <w:rPr>
          <w:rFonts w:ascii="Arial" w:cs="Arial" w:eastAsia="Arial" w:hAnsi="Arial"/>
          <w:sz w:val="17"/>
          <w:szCs w:val="17"/>
          <w:color w:val="auto"/>
        </w:rPr>
      </w:pPr>
      <w:r>
        <w:rPr>
          <w:rFonts w:ascii="Arial" w:cs="Arial" w:eastAsia="Arial" w:hAnsi="Arial"/>
          <w:sz w:val="17"/>
          <w:szCs w:val="17"/>
          <w:color w:val="auto"/>
        </w:rPr>
        <w:t>second, to the Company in satisfaction of amounts paid or to be paid to the Insured in settlement of the Insured’s claim;</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80" w:right="6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699516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Page 22 of 25</w:t>
      </w:r>
    </w:p>
    <w:p>
      <w:pPr>
        <w:sectPr>
          <w:pgSz w:w="11900" w:h="16838" w:orient="portrait"/>
          <w:cols w:equalWidth="0" w:num="2">
            <w:col w:w="9200" w:space="720"/>
            <w:col w:w="1080"/>
          </w:cols>
          <w:pgMar w:left="440" w:top="274" w:right="459" w:bottom="1440" w:gutter="0" w:footer="0" w:header="0"/>
          <w:type w:val="continuous"/>
        </w:sectPr>
      </w:pPr>
    </w:p>
    <w:bookmarkStart w:id="30" w:name="page31"/>
    <w:bookmarkEnd w:id="30"/>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980" w:right="66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98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980" w:right="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05" w:lineRule="exact"/>
        <w:rPr>
          <w:rFonts w:ascii="Arial" w:cs="Arial" w:eastAsia="Arial" w:hAnsi="Arial"/>
          <w:sz w:val="18"/>
          <w:szCs w:val="18"/>
          <w:b w:val="1"/>
          <w:bCs w:val="1"/>
          <w:color w:val="auto"/>
        </w:rPr>
      </w:pPr>
    </w:p>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Page 23 of 25</w:t>
      </w:r>
    </w:p>
    <w:p>
      <w:pPr>
        <w:sectPr>
          <w:pgSz w:w="11900" w:h="16838" w:orient="portrait"/>
          <w:cols w:equalWidth="0" w:num="2">
            <w:col w:w="9200" w:space="720"/>
            <w:col w:w="1060"/>
          </w:cols>
          <w:pgMar w:left="440" w:top="270" w:right="479" w:bottom="1440" w:gutter="0" w:footer="0" w:header="0"/>
          <w:type w:val="continuous"/>
        </w:sectPr>
      </w:pPr>
    </w:p>
    <w:bookmarkStart w:id="31" w:name="page32"/>
    <w:bookmarkEnd w:id="31"/>
    <w:p>
      <w:pPr>
        <w:ind w:left="960" w:hanging="532"/>
        <w:spacing w:after="0"/>
        <w:tabs>
          <w:tab w:leader="none" w:pos="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60" w:right="80" w:hanging="533"/>
        <w:spacing w:after="0" w:line="277" w:lineRule="auto"/>
        <w:tabs>
          <w:tab w:leader="none" w:pos="1960" w:val="left"/>
        </w:tabs>
        <w:numPr>
          <w:ilvl w:val="2"/>
          <w:numId w:val="56"/>
        </w:numPr>
        <w:rPr>
          <w:rFonts w:ascii="Arial" w:cs="Arial" w:eastAsia="Arial" w:hAnsi="Arial"/>
          <w:sz w:val="17"/>
          <w:szCs w:val="17"/>
          <w:color w:val="auto"/>
        </w:rPr>
      </w:pPr>
      <w:r>
        <w:rPr>
          <w:rFonts w:ascii="Arial" w:cs="Arial" w:eastAsia="Arial" w:hAnsi="Arial"/>
          <w:sz w:val="17"/>
          <w:szCs w:val="17"/>
          <w:color w:val="auto"/>
        </w:rPr>
        <w:t xml:space="preserve">This bond is canceled in its entirety immediately upon receipt by the Company of a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from the Insured or an </w:t>
      </w:r>
      <w:r>
        <w:rPr>
          <w:rFonts w:ascii="Arial" w:cs="Arial" w:eastAsia="Arial" w:hAnsi="Arial"/>
          <w:sz w:val="17"/>
          <w:szCs w:val="17"/>
          <w:b w:val="1"/>
          <w:bCs w:val="1"/>
          <w:color w:val="auto"/>
        </w:rPr>
        <w:t xml:space="preserve">Investment Adviser </w:t>
      </w:r>
      <w:r>
        <w:rPr>
          <w:rFonts w:ascii="Arial" w:cs="Arial" w:eastAsia="Arial" w:hAnsi="Arial"/>
          <w:sz w:val="17"/>
          <w:szCs w:val="17"/>
          <w:color w:val="auto"/>
        </w:rPr>
        <w:t>of its desire to cancel this bond, provided the Insured or</w:t>
      </w:r>
      <w:r>
        <w:rPr>
          <w:rFonts w:ascii="Arial" w:cs="Arial" w:eastAsia="Arial" w:hAnsi="Arial"/>
          <w:sz w:val="17"/>
          <w:szCs w:val="17"/>
          <w:b w:val="1"/>
          <w:bCs w:val="1"/>
          <w:color w:val="auto"/>
        </w:rPr>
        <w:t xml:space="preserve"> Investment Adviser </w:t>
      </w:r>
      <w:r>
        <w:rPr>
          <w:rFonts w:ascii="Arial" w:cs="Arial" w:eastAsia="Arial" w:hAnsi="Arial"/>
          <w:sz w:val="17"/>
          <w:szCs w:val="17"/>
          <w:color w:val="auto"/>
        </w:rPr>
        <w:t>has provided at least 60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advance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however the cancelation will not be effective until 60 days after receipt of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by all other Insureds.</w:t>
      </w:r>
    </w:p>
    <w:p>
      <w:pPr>
        <w:spacing w:after="0" w:line="73" w:lineRule="exact"/>
        <w:rPr>
          <w:rFonts w:ascii="Arial" w:cs="Arial" w:eastAsia="Arial" w:hAnsi="Arial"/>
          <w:sz w:val="17"/>
          <w:szCs w:val="17"/>
          <w:color w:val="auto"/>
        </w:rPr>
      </w:pPr>
    </w:p>
    <w:p>
      <w:pPr>
        <w:ind w:left="1960" w:right="340" w:hanging="533"/>
        <w:spacing w:after="0" w:line="282" w:lineRule="auto"/>
        <w:tabs>
          <w:tab w:leader="none" w:pos="19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60" w:right="160" w:hanging="533"/>
        <w:spacing w:after="0" w:line="266" w:lineRule="auto"/>
        <w:tabs>
          <w:tab w:leader="none" w:pos="19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328" w:lineRule="exact"/>
        <w:rPr>
          <w:rFonts w:ascii="Arial" w:cs="Arial" w:eastAsia="Arial" w:hAnsi="Arial"/>
          <w:sz w:val="18"/>
          <w:szCs w:val="18"/>
          <w:color w:val="auto"/>
        </w:rPr>
      </w:pPr>
    </w:p>
    <w:p>
      <w:pPr>
        <w:ind w:left="1420" w:hanging="439"/>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This bond terminates in its entirety immediately upon the Expiration Date set forth in ITEM 2 of the Declarations.</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6"/>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6"/>
        </w:numPr>
        <w:rPr>
          <w:rFonts w:ascii="Arial" w:cs="Arial" w:eastAsia="Arial" w:hAnsi="Arial"/>
          <w:sz w:val="16"/>
          <w:szCs w:val="16"/>
          <w:color w:val="auto"/>
        </w:rPr>
      </w:pPr>
      <w:r>
        <w:rPr>
          <w:rFonts w:ascii="Arial" w:cs="Arial" w:eastAsia="Arial" w:hAnsi="Arial"/>
          <w:sz w:val="16"/>
          <w:szCs w:val="16"/>
          <w:color w:val="auto"/>
        </w:rPr>
        <w:t>immediately upon the taking over of such Insured by a receiver or other liquidator or by any State or Federal official,</w:t>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1980" w:right="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60" w:hanging="533"/>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Coverage terminates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as to any partner, officer, or employee of any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400" w:right="160" w:hanging="433"/>
        <w:spacing w:after="0" w:line="277" w:lineRule="auto"/>
        <w:tabs>
          <w:tab w:leader="none" w:pos="2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2400" w:right="160" w:hanging="433"/>
        <w:spacing w:after="0" w:line="263" w:lineRule="auto"/>
        <w:tabs>
          <w:tab w:leader="none" w:pos="2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Page 24 of 25</w:t>
      </w:r>
    </w:p>
    <w:p>
      <w:pPr>
        <w:sectPr>
          <w:pgSz w:w="11900" w:h="16838" w:orient="portrait"/>
          <w:cols w:equalWidth="0" w:num="2">
            <w:col w:w="9200" w:space="720"/>
            <w:col w:w="1000"/>
          </w:cols>
          <w:pgMar w:left="440" w:top="270" w:right="539" w:bottom="1440" w:gutter="0" w:footer="0" w:header="0"/>
          <w:type w:val="continuous"/>
        </w:sectPr>
      </w:pPr>
    </w:p>
    <w:bookmarkStart w:id="32" w:name="page33"/>
    <w:bookmarkEnd w:id="32"/>
    <w:p>
      <w:pPr>
        <w:ind w:left="1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72" w:lineRule="exact"/>
        <w:rPr>
          <w:sz w:val="20"/>
          <w:szCs w:val="20"/>
          <w:color w:val="auto"/>
        </w:rPr>
      </w:pPr>
    </w:p>
    <w:p>
      <w:pPr>
        <w:ind w:left="1980" w:right="4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332" w:lineRule="exact"/>
        <w:rPr>
          <w:sz w:val="20"/>
          <w:szCs w:val="20"/>
          <w:color w:val="auto"/>
        </w:rPr>
      </w:pPr>
    </w:p>
    <w:p>
      <w:pPr>
        <w:ind w:left="1420" w:hanging="439"/>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1420" w:right="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If more than one Insured is named under this bond, the Company will give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each Insured and to the SEC not less than 60 days prior to the effective date of any change or modification that would adversely affect the rights of such Insured.</w:t>
      </w:r>
    </w:p>
    <w:p>
      <w:pPr>
        <w:spacing w:after="0" w:line="339"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980" w:right="2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980" w:right="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1420" w:right="120" w:hanging="439"/>
        <w:spacing w:after="0" w:line="263"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9" w:lineRule="exact"/>
        <w:rPr>
          <w:rFonts w:ascii="Arial" w:cs="Arial" w:eastAsia="Arial" w:hAnsi="Arial"/>
          <w:sz w:val="18"/>
          <w:szCs w:val="18"/>
          <w:color w:val="auto"/>
        </w:rPr>
      </w:pPr>
    </w:p>
    <w:p>
      <w:pPr>
        <w:ind w:left="1420" w:right="440" w:hanging="439"/>
        <w:spacing w:after="0" w:line="277"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980" w:right="42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980" w:right="40"/>
        <w:spacing w:after="0" w:line="263"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6" w:lineRule="exact"/>
        <w:rPr>
          <w:sz w:val="20"/>
          <w:szCs w:val="20"/>
          <w:color w:val="auto"/>
        </w:rPr>
      </w:pPr>
    </w:p>
    <w:p>
      <w:pPr>
        <w:ind w:left="980" w:right="30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68" w:lineRule="exact"/>
        <w:rPr>
          <w:sz w:val="20"/>
          <w:szCs w:val="20"/>
          <w:color w:val="auto"/>
        </w:rPr>
      </w:pPr>
    </w:p>
    <w:p>
      <w:pPr>
        <w:ind w:left="960" w:hanging="532"/>
        <w:spacing w:after="0"/>
        <w:tabs>
          <w:tab w:leader="none" w:pos="9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98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25 of 25</w:t>
      </w:r>
    </w:p>
    <w:p>
      <w:pPr>
        <w:sectPr>
          <w:pgSz w:w="11900" w:h="16838" w:orient="portrait"/>
          <w:cols w:equalWidth="0" w:num="2">
            <w:col w:w="9200" w:space="720"/>
            <w:col w:w="1040"/>
          </w:cols>
          <w:pgMar w:left="440" w:top="274" w:right="499" w:bottom="1440" w:gutter="0" w:footer="0" w:header="0"/>
          <w:type w:val="continuous"/>
        </w:sectPr>
      </w:pPr>
    </w:p>
    <w:bookmarkStart w:id="33" w:name="page34"/>
    <w:bookmarkEnd w:id="3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0"/>
          </w:cols>
          <w:pgMar w:left="440" w:top="297" w:right="5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IVBB-19004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0" w:space="720"/>
            <w:col w:w="820"/>
          </w:cols>
          <w:pgMar w:left="440" w:top="297" w:right="539" w:bottom="1440" w:gutter="0" w:footer="0" w:header="0"/>
          <w:type w:val="continuous"/>
        </w:sectPr>
      </w:pPr>
    </w:p>
    <w:bookmarkStart w:id="34" w:name="page35"/>
    <w:bookmarkEnd w:id="34"/>
    <w:p>
      <w:pPr>
        <w:jc w:val="center"/>
        <w:ind w:right="-16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ectPr>
          <w:pgSz w:w="11900" w:h="16838" w:orient="portrait"/>
          <w:cols w:equalWidth="0" w:num="1">
            <w:col w:w="10964"/>
          </w:cols>
          <w:pgMar w:left="436" w:top="297" w:right="499" w:bottom="1440" w:gutter="0" w:footer="0" w:header="0"/>
        </w:sectPr>
      </w:pPr>
    </w:p>
    <w:p>
      <w:pPr>
        <w:spacing w:after="0" w:line="37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p>
    <w:p>
      <w:pPr>
        <w:spacing w:after="0" w:line="113" w:lineRule="exact"/>
        <w:rPr>
          <w:rFonts w:ascii="Arial" w:cs="Arial" w:eastAsia="Arial" w:hAnsi="Arial"/>
          <w:sz w:val="18"/>
          <w:szCs w:val="18"/>
          <w:color w:val="auto"/>
        </w:rPr>
      </w:pPr>
    </w:p>
    <w:p>
      <w:pPr>
        <w:jc w:val="both"/>
        <w:ind w:left="44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6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N.ANTI-BUNDLING</w:t>
      </w:r>
    </w:p>
    <w:p>
      <w:pPr>
        <w:spacing w:after="0" w:line="117" w:lineRule="exact"/>
        <w:rPr>
          <w:rFonts w:ascii="Arial" w:cs="Arial" w:eastAsia="Arial" w:hAnsi="Arial"/>
          <w:sz w:val="18"/>
          <w:szCs w:val="18"/>
          <w:color w:val="auto"/>
        </w:rPr>
      </w:pPr>
    </w:p>
    <w:p>
      <w:pPr>
        <w:ind w:left="984" w:right="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 xml:space="preserve">Counterfeit, </w:t>
      </w:r>
      <w:r>
        <w:rPr>
          <w:rFonts w:ascii="Arial" w:cs="Arial" w:eastAsia="Arial" w:hAnsi="Arial"/>
          <w:sz w:val="18"/>
          <w:szCs w:val="18"/>
          <w:color w:val="auto"/>
        </w:rPr>
        <w:t>signature, or endorsement must be on or of the enumerated document itself, not on or of some other document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
        <w:spacing w:after="0"/>
        <w:tabs>
          <w:tab w:leader="none" w:pos="10084" w:val="left"/>
        </w:tabs>
        <w:rPr>
          <w:sz w:val="20"/>
          <w:szCs w:val="20"/>
          <w:color w:val="auto"/>
        </w:rPr>
      </w:pPr>
      <w:r>
        <w:rPr>
          <w:rFonts w:ascii="Arial" w:cs="Arial" w:eastAsia="Arial" w:hAnsi="Arial"/>
          <w:sz w:val="18"/>
          <w:szCs w:val="18"/>
          <w:color w:val="auto"/>
        </w:rPr>
        <w:t>IVBB-19010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0964"/>
          </w:cols>
          <w:pgMar w:left="436" w:top="297" w:right="499" w:bottom="1440" w:gutter="0" w:footer="0" w:header="0"/>
          <w:type w:val="continuous"/>
        </w:sectPr>
      </w:pPr>
    </w:p>
    <w:bookmarkStart w:id="35" w:name="page36"/>
    <w:bookmarkEnd w:id="35"/>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BOND. PLEASE READ IT CAREFULLY.</w:t>
      </w:r>
    </w:p>
    <w:p>
      <w:pPr>
        <w:sectPr>
          <w:pgSz w:w="11900" w:h="16838" w:orient="portrait"/>
          <w:cols w:equalWidth="0" w:num="1">
            <w:col w:w="10920"/>
          </w:cols>
          <w:pgMar w:left="440" w:top="297" w:right="539" w:bottom="1440" w:gutter="0" w:footer="0" w:header="0"/>
        </w:sectPr>
      </w:pPr>
    </w:p>
    <w:p>
      <w:pPr>
        <w:spacing w:after="0" w:line="37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added to section VI. CONDITIONS, E. SINGLE LOSS LIMIT OF INSURANCE: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960" w:right="6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IVBB-19044 Ed. 05-18</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2018 The Travelers Indemnity Company. All rights reserved.</w:t>
      </w:r>
    </w:p>
    <w:p>
      <w:pPr>
        <w:sectPr>
          <w:pgSz w:w="11900" w:h="16838" w:orient="portrait"/>
          <w:cols w:equalWidth="0" w:num="1">
            <w:col w:w="10920"/>
          </w:cols>
          <w:pgMar w:left="440" w:top="297" w:right="539" w:bottom="1440" w:gutter="0" w:footer="0" w:header="0"/>
          <w:type w:val="continuous"/>
        </w:sectPr>
      </w:pPr>
    </w:p>
    <w:bookmarkStart w:id="36" w:name="page37"/>
    <w:bookmarkEnd w:id="36"/>
    <w:p>
      <w:pPr>
        <w:ind w:left="2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1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20"/>
          </w:cols>
          <w:pgMar w:left="440" w:top="297" w:right="5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IVBB-19045 Ed. 03-19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0" w:space="720"/>
            <w:col w:w="820"/>
          </w:cols>
          <w:pgMar w:left="440" w:top="297" w:right="539" w:bottom="1440" w:gutter="0" w:footer="0" w:header="0"/>
          <w:type w:val="continuous"/>
        </w:sectPr>
      </w:pPr>
    </w:p>
    <w:bookmarkStart w:id="37" w:name="page38"/>
    <w:bookmarkEnd w:id="37"/>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1544"/>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89" w:lineRule="exact"/>
        <w:rPr>
          <w:rFonts w:ascii="Arial" w:cs="Arial" w:eastAsia="Arial" w:hAnsi="Arial"/>
          <w:sz w:val="18"/>
          <w:szCs w:val="18"/>
          <w:color w:val="auto"/>
        </w:rPr>
      </w:pPr>
    </w:p>
    <w:p>
      <w:pPr>
        <w:jc w:val="both"/>
        <w:ind w:left="964"/>
        <w:spacing w:after="0" w:line="263"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9" w:lineRule="exact"/>
        <w:rPr>
          <w:rFonts w:ascii="Arial" w:cs="Arial" w:eastAsia="Arial" w:hAnsi="Arial"/>
          <w:sz w:val="18"/>
          <w:szCs w:val="18"/>
          <w:color w:val="auto"/>
        </w:rPr>
      </w:pPr>
    </w:p>
    <w:p>
      <w:pPr>
        <w:ind w:left="1424" w:right="700" w:hanging="439"/>
        <w:spacing w:after="0" w:line="277"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24" w:right="80" w:hanging="439"/>
        <w:spacing w:after="0" w:line="277"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24" w:right="100" w:hanging="439"/>
        <w:spacing w:after="0" w:line="263"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9" w:lineRule="exact"/>
        <w:rPr>
          <w:rFonts w:ascii="Arial" w:cs="Arial" w:eastAsia="Arial" w:hAnsi="Arial"/>
          <w:sz w:val="18"/>
          <w:szCs w:val="18"/>
          <w:color w:val="auto"/>
        </w:rPr>
      </w:pPr>
    </w:p>
    <w:p>
      <w:pPr>
        <w:ind w:left="1424" w:right="520" w:hanging="439"/>
        <w:spacing w:after="0" w:line="342" w:lineRule="auto"/>
        <w:tabs>
          <w:tab w:leader="none" w:pos="1424" w:val="left"/>
        </w:tabs>
        <w:numPr>
          <w:ilvl w:val="2"/>
          <w:numId w:val="63"/>
        </w:numPr>
        <w:rPr>
          <w:rFonts w:ascii="Arial" w:cs="Arial" w:eastAsia="Arial" w:hAnsi="Arial"/>
          <w:sz w:val="16"/>
          <w:szCs w:val="16"/>
          <w:color w:val="auto"/>
        </w:rPr>
      </w:pPr>
      <w:r>
        <w:rPr>
          <w:rFonts w:ascii="Arial" w:cs="Arial" w:eastAsia="Arial" w:hAnsi="Arial"/>
          <w:sz w:val="16"/>
          <w:szCs w:val="16"/>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29" w:lineRule="exact"/>
        <w:rPr>
          <w:rFonts w:ascii="Arial" w:cs="Arial" w:eastAsia="Arial" w:hAnsi="Arial"/>
          <w:sz w:val="16"/>
          <w:szCs w:val="16"/>
          <w:color w:val="auto"/>
        </w:rPr>
      </w:pPr>
    </w:p>
    <w:p>
      <w:pPr>
        <w:ind w:left="1424" w:right="120" w:hanging="439"/>
        <w:spacing w:after="0" w:line="277"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24" w:right="420" w:hanging="439"/>
        <w:spacing w:after="0" w:line="342" w:lineRule="auto"/>
        <w:tabs>
          <w:tab w:leader="none" w:pos="1424" w:val="left"/>
        </w:tabs>
        <w:numPr>
          <w:ilvl w:val="2"/>
          <w:numId w:val="63"/>
        </w:numPr>
        <w:rPr>
          <w:rFonts w:ascii="Arial" w:cs="Arial" w:eastAsia="Arial" w:hAnsi="Arial"/>
          <w:sz w:val="16"/>
          <w:szCs w:val="16"/>
          <w:color w:val="auto"/>
        </w:rPr>
      </w:pPr>
      <w:r>
        <w:rPr>
          <w:rFonts w:ascii="Arial" w:cs="Arial" w:eastAsia="Arial" w:hAnsi="Arial"/>
          <w:sz w:val="16"/>
          <w:szCs w:val="16"/>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29" w:lineRule="exact"/>
        <w:rPr>
          <w:rFonts w:ascii="Arial" w:cs="Arial" w:eastAsia="Arial" w:hAnsi="Arial"/>
          <w:sz w:val="16"/>
          <w:szCs w:val="16"/>
          <w:color w:val="auto"/>
        </w:rPr>
      </w:pPr>
    </w:p>
    <w:p>
      <w:pPr>
        <w:jc w:val="both"/>
        <w:ind w:left="1964" w:right="500" w:hanging="533"/>
        <w:spacing w:after="0" w:line="342" w:lineRule="auto"/>
        <w:tabs>
          <w:tab w:leader="none" w:pos="1964" w:val="left"/>
        </w:tabs>
        <w:numPr>
          <w:ilvl w:val="3"/>
          <w:numId w:val="63"/>
        </w:numPr>
        <w:rPr>
          <w:rFonts w:ascii="Arial" w:cs="Arial" w:eastAsia="Arial" w:hAnsi="Arial"/>
          <w:sz w:val="16"/>
          <w:szCs w:val="16"/>
          <w:color w:val="auto"/>
        </w:rPr>
      </w:pPr>
      <w:r>
        <w:rPr>
          <w:rFonts w:ascii="Arial" w:cs="Arial" w:eastAsia="Arial" w:hAnsi="Arial"/>
          <w:sz w:val="16"/>
          <w:szCs w:val="16"/>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9" w:lineRule="exact"/>
        <w:rPr>
          <w:rFonts w:ascii="Arial" w:cs="Arial" w:eastAsia="Arial" w:hAnsi="Arial"/>
          <w:sz w:val="16"/>
          <w:szCs w:val="16"/>
          <w:color w:val="auto"/>
        </w:rPr>
      </w:pPr>
    </w:p>
    <w:p>
      <w:pPr>
        <w:ind w:left="1964" w:right="100" w:hanging="533"/>
        <w:spacing w:after="0" w:line="277" w:lineRule="auto"/>
        <w:tabs>
          <w:tab w:leader="none" w:pos="1964" w:val="left"/>
        </w:tabs>
        <w:numPr>
          <w:ilvl w:val="3"/>
          <w:numId w:val="63"/>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964" w:hanging="532"/>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30" w:lineRule="exact"/>
        <w:rPr>
          <w:rFonts w:ascii="Arial" w:cs="Arial" w:eastAsia="Arial" w:hAnsi="Arial"/>
          <w:sz w:val="18"/>
          <w:szCs w:val="18"/>
          <w:color w:val="auto"/>
        </w:rPr>
      </w:pPr>
    </w:p>
    <w:p>
      <w:pPr>
        <w:ind w:left="964"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9516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4"/>
          </w:cols>
          <w:pgMar w:left="436" w:top="297" w:right="479" w:bottom="1440" w:gutter="0" w:footer="0" w:header="0"/>
        </w:sect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ectPr>
          <w:pgSz w:w="11900" w:h="16838" w:orient="portrait"/>
          <w:cols w:equalWidth="0" w:num="2">
            <w:col w:w="9384" w:space="720"/>
            <w:col w:w="880"/>
          </w:cols>
          <w:pgMar w:left="436" w:top="297" w:right="479" w:bottom="1440" w:gutter="0" w:footer="0" w:header="0"/>
          <w:type w:val="continuous"/>
        </w:sectPr>
      </w:pPr>
    </w:p>
    <w:bookmarkStart w:id="38" w:name="page39"/>
    <w:bookmarkEnd w:id="38"/>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Renewal with Altered Terms:</w:t>
      </w:r>
    </w:p>
    <w:p>
      <w:pPr>
        <w:spacing w:after="0" w:line="117"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w:t>
      </w:r>
    </w:p>
    <w:p>
      <w:pPr>
        <w:spacing w:after="0" w:line="3" w:lineRule="exact"/>
        <w:rPr>
          <w:sz w:val="20"/>
          <w:szCs w:val="20"/>
          <w:color w:val="auto"/>
        </w:rPr>
      </w:pPr>
    </w:p>
    <w:p>
      <w:pPr>
        <w:ind w:left="440" w:right="60"/>
        <w:spacing w:after="0" w:line="260" w:lineRule="auto"/>
        <w:rPr>
          <w:sz w:val="20"/>
          <w:szCs w:val="20"/>
          <w:color w:val="auto"/>
        </w:rPr>
      </w:pPr>
      <w:r>
        <w:rPr>
          <w:rFonts w:ascii="Arial" w:cs="Arial" w:eastAsia="Arial" w:hAnsi="Arial"/>
          <w:sz w:val="18"/>
          <w:szCs w:val="18"/>
          <w:color w:val="auto"/>
        </w:rPr>
        <w:t>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99516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ectPr>
          <w:pgSz w:w="11900" w:h="16838" w:orient="portrait"/>
          <w:cols w:equalWidth="0" w:num="2">
            <w:col w:w="9380" w:space="720"/>
            <w:col w:w="860"/>
          </w:cols>
          <w:pgMar w:left="440" w:top="274" w:right="499" w:bottom="1440" w:gutter="0" w:footer="0" w:header="0"/>
          <w:type w:val="continuous"/>
        </w:sectPr>
      </w:pPr>
    </w:p>
    <w:bookmarkStart w:id="39" w:name="page40"/>
    <w:bookmarkEnd w:id="39"/>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283210</wp:posOffset>
            </wp:positionH>
            <wp:positionV relativeFrom="page">
              <wp:posOffset>189865</wp:posOffset>
            </wp:positionV>
            <wp:extent cx="6981825" cy="2273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1825" cy="227330"/>
                    </a:xfrm>
                    <a:prstGeom prst="rect">
                      <a:avLst/>
                    </a:prstGeom>
                    <a:noFill/>
                  </pic:spPr>
                </pic:pic>
              </a:graphicData>
            </a:graphic>
          </wp:anchor>
        </w:drawing>
        <w:t>THIS ENDORSEMENT CHANGES THE POLICY. PLEASE READ IT CAREFULLY.</w:t>
      </w:r>
    </w:p>
    <w:p>
      <w:pPr>
        <w:spacing w:after="0" w:line="320" w:lineRule="exact"/>
        <w:rPr>
          <w:sz w:val="20"/>
          <w:szCs w:val="20"/>
          <w:color w:val="auto"/>
        </w:rPr>
      </w:pPr>
    </w:p>
    <w:p>
      <w:pPr>
        <w:ind w:left="2304"/>
        <w:spacing w:after="0"/>
        <w:rPr>
          <w:sz w:val="20"/>
          <w:szCs w:val="20"/>
          <w:color w:val="auto"/>
        </w:rPr>
      </w:pPr>
      <w:r>
        <w:rPr>
          <w:rFonts w:ascii="Arial" w:cs="Arial" w:eastAsia="Arial" w:hAnsi="Arial"/>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 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 R. CANCELATION OR TERMINATION,</w:t>
      </w:r>
      <w:r>
        <w:rPr>
          <w:rFonts w:ascii="Arial" w:cs="Arial" w:eastAsia="Arial" w:hAnsi="Arial"/>
          <w:sz w:val="18"/>
          <w:szCs w:val="18"/>
          <w:color w:val="auto"/>
        </w:rPr>
        <w:t xml:space="preserve"> 2. Termination, c.:</w:t>
      </w:r>
    </w:p>
    <w:p>
      <w:pPr>
        <w:spacing w:after="0" w:line="117" w:lineRule="exact"/>
        <w:rPr>
          <w:rFonts w:ascii="Arial" w:cs="Arial" w:eastAsia="Arial" w:hAnsi="Arial"/>
          <w:sz w:val="18"/>
          <w:szCs w:val="18"/>
          <w:color w:val="auto"/>
        </w:rPr>
      </w:pPr>
    </w:p>
    <w:p>
      <w:pPr>
        <w:ind w:left="444" w:right="4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7" w:lineRule="exact"/>
        <w:rPr>
          <w:rFonts w:ascii="Arial" w:cs="Arial" w:eastAsia="Arial" w:hAnsi="Arial"/>
          <w:sz w:val="18"/>
          <w:szCs w:val="18"/>
          <w:color w:val="auto"/>
        </w:rPr>
      </w:pPr>
    </w:p>
    <w:p>
      <w:pPr>
        <w:ind w:left="444" w:right="16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upon the detection by any Insured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(hereafter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committed any dishonest or fraudulent acts or theft, the Insured must immediately remove the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from a position that may enable the detected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to cause the Insured to suffer a loss by any subsequent dishonest or fraudulent acts or theft. The Insured, within 48 hours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detection, must notify the Company with full and complete particulars of the detected dishonest or fraudulent acts or theft.</w:t>
      </w:r>
    </w:p>
    <w:p>
      <w:pPr>
        <w:spacing w:after="0" w:line="42" w:lineRule="exact"/>
        <w:rPr>
          <w:rFonts w:ascii="Arial" w:cs="Arial" w:eastAsia="Arial" w:hAnsi="Arial"/>
          <w:sz w:val="18"/>
          <w:szCs w:val="18"/>
          <w:color w:val="auto"/>
        </w:rPr>
      </w:pPr>
    </w:p>
    <w:p>
      <w:pPr>
        <w:ind w:left="444" w:right="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For purposes of this section, detection occurs when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who is not in collusion with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becomes aware that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has committed any dishonest or fraudulent acts or theft.</w:t>
      </w:r>
    </w:p>
    <w:p>
      <w:pPr>
        <w:spacing w:after="0" w:line="31" w:lineRule="exact"/>
        <w:rPr>
          <w:rFonts w:ascii="Arial" w:cs="Arial" w:eastAsia="Arial" w:hAnsi="Arial"/>
          <w:sz w:val="18"/>
          <w:szCs w:val="18"/>
          <w:color w:val="auto"/>
        </w:rPr>
      </w:pPr>
    </w:p>
    <w:p>
      <w:pPr>
        <w:ind w:left="444" w:right="1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Coverage under this bond with respect to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31" w:lineRule="exact"/>
        <w:rPr>
          <w:rFonts w:ascii="Arial" w:cs="Arial" w:eastAsia="Arial" w:hAnsi="Arial"/>
          <w:sz w:val="18"/>
          <w:szCs w:val="18"/>
          <w:color w:val="auto"/>
        </w:rPr>
      </w:pPr>
    </w:p>
    <w:p>
      <w:pPr>
        <w:ind w:left="444" w:right="4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Termination of coverage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an Insured located in New York as set forth in c.(1) and c.(2) above will also not apply to any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if: (a) the dishonest act was committed by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prior to becoming employed by the Insured, (b) the dishonest act resulted in a conviction of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and (c) the Insured made a determination to hire or retain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utilizing the factors set out in Correction Law Article 23-A. However, such termination of coverage will apply to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loss caused by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whom there is a bar to employment established by law and the Insured has hired or retained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4"/>
          </w:cols>
          <w:pgMar w:left="436" w:top="337" w:right="539"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IVBB-17022 Rev. 10-19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4" w:space="720"/>
            <w:col w:w="820"/>
          </w:cols>
          <w:pgMar w:left="436" w:top="337" w:right="5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Investment Corporation,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8, 2020 at a meeting of the Board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reviewed the materials presented at the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determined that the Corporation, PennantPark Floating Rate Capital Ltd. (“PFLT”), PennantPark Investment Advisers,</w:t>
      </w:r>
      <w:r>
        <w:rPr>
          <w:rFonts w:ascii="Arial" w:cs="Arial" w:eastAsia="Arial" w:hAnsi="Arial"/>
          <w:sz w:val="18"/>
          <w:szCs w:val="18"/>
          <w:b w:val="1"/>
          <w:bCs w:val="1"/>
          <w:color w:val="auto"/>
        </w:rPr>
        <w:t xml:space="preserve"> </w:t>
      </w:r>
      <w:r>
        <w:rPr>
          <w:rFonts w:ascii="Arial" w:cs="Arial" w:eastAsia="Arial" w:hAnsi="Arial"/>
          <w:sz w:val="18"/>
          <w:szCs w:val="18"/>
          <w:color w:val="auto"/>
        </w:rPr>
        <w:t>LLC (the “Adviser”) and PennantPark Investment Administration, LLC (the “Administrator”) each be covered as an “Insured” under a joint fidelity bond (the “Bond”) having an aggregate coverage of $5 million issued by The Travelers Casualty and Surety Company of America, a reputable fidelity insurance company, against larceny and embezzlement and such other types of losses as are included in standard fidelity bonds, covering the officers and the other employees of the Corporation, PFLT, the Adviser and the Administrator from time to time and containing such provisions as may be required by the rules promulgated under 1940 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PFLT and to the Adviser and the 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270" w:right="439" w:bottom="1440" w:gutter="0" w:footer="0" w:header="0"/>
        </w:sectPr>
      </w:pPr>
    </w:p>
    <w:bookmarkStart w:id="41" w:name="page42"/>
    <w:bookmarkEnd w:id="41"/>
    <w:p>
      <w:pPr>
        <w:ind w:right="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 RESOLVED</w:t>
      </w:r>
      <w:r>
        <w:rPr>
          <w:rFonts w:ascii="Arial" w:cs="Arial" w:eastAsia="Arial" w:hAnsi="Arial"/>
          <w:sz w:val="16"/>
          <w:szCs w:val="16"/>
          <w:color w:val="auto"/>
        </w:rPr>
        <w:t>, that the proposed Joint Fidelity Bond Agreement among the Corporation, PFLT, the Adviser and the Administrator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Aviv Efrat,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to obtain and enter into a joint liability insurance policy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amount as presented at the Meeting for all losses, covering the Corporation, PFLT,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PFLT, the Adviser and the Administrator, as the case may be, subject to such ordinary exceptions as the Officer executing the same deems reasonable or appropriate;</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60% to PFLT and the Corporation and 40% to the Adviser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including the Independent Directors and that the appropriate allocation between each of PFLT and the Corporation and the Adviser and the Administrator, with respect to the joint liability insurance policy,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an officer of the Corporation this 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2020.</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This JOINT FIDELITY BOND AGREEMENT is dated as of June 9, 2020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PNNT, PFLT,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Travelers Casualty and Surety Company of America (the “Bond”);</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PNNT and PFLT is required to provide and maintain a fidelity bond pursuant to Rule 17g-1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(the “1940 Act”);</w:t>
      </w:r>
    </w:p>
    <w:p>
      <w:pPr>
        <w:spacing w:after="0" w:line="162"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left="4" w:right="7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each of PNNT and PFLT, including a majority of the directors who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each of PNNT and PFLT (as defined in the 1940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241" w:lineRule="exact"/>
        <w:rPr>
          <w:sz w:val="20"/>
          <w:szCs w:val="20"/>
          <w:color w:val="auto"/>
        </w:rPr>
      </w:pPr>
    </w:p>
    <w:p>
      <w:pPr>
        <w:ind w:left="4" w:right="20" w:hanging="4"/>
        <w:spacing w:after="0" w:line="277" w:lineRule="auto"/>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left="4" w:right="340" w:hanging="4"/>
        <w:spacing w:after="0" w:line="286" w:lineRule="auto"/>
        <w:tabs>
          <w:tab w:leader="none" w:pos="18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65" w:lineRule="exact"/>
        <w:rPr>
          <w:rFonts w:ascii="Arial" w:cs="Arial" w:eastAsia="Arial" w:hAnsi="Arial"/>
          <w:sz w:val="17"/>
          <w:szCs w:val="17"/>
          <w:color w:val="auto"/>
        </w:rPr>
      </w:pPr>
    </w:p>
    <w:p>
      <w:pPr>
        <w:jc w:val="both"/>
        <w:ind w:left="4" w:right="60" w:hanging="4"/>
        <w:spacing w:after="0" w:line="263" w:lineRule="auto"/>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left="4" w:right="20" w:hanging="4"/>
        <w:spacing w:after="0" w:line="277" w:lineRule="auto"/>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4"/>
          </w:cols>
          <w:pgMar w:left="436" w:top="270" w:right="439" w:bottom="1440" w:gutter="0" w:footer="0" w:header="0"/>
        </w:sectPr>
      </w:pPr>
    </w:p>
    <w:bookmarkStart w:id="43" w:name="page44"/>
    <w:bookmarkEnd w:id="4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PENNANTPARK INVESTMENT ADVISERS,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PENNANTPARK INVESTMENT ADMINISTRATION,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LLC</w:t>
            </w:r>
          </w:p>
        </w:tc>
        <w:tc>
          <w:tcPr>
            <w:tcW w:w="37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Aviv Efrat</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upperLetter"/>
      <w:start w:val="9"/>
    </w:lvl>
  </w:abstractNum>
  <w:abstractNum w:abstractNumId="7">
    <w:nsid w:val="7724C67E"/>
    <w:multiLevelType w:val="hybridMultilevel"/>
    <w:lvl w:ilvl="0">
      <w:lvlJc w:val="left"/>
      <w:lvlText w:val="%1."/>
      <w:numFmt w:val="upperLetter"/>
      <w:start w:val="9"/>
    </w:lvl>
  </w:abstractNum>
  <w:abstractNum w:abstractNumId="8">
    <w:nsid w:val="5C482A97"/>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
    <w:nsid w:val="2463B9EA"/>
    <w:multiLevelType w:val="hybridMultilevel"/>
    <w:lvl w:ilvl="0">
      <w:lvlJc w:val="left"/>
      <w:lvlText w:val="%1."/>
      <w:numFmt w:val="decimal"/>
      <w:start w:val="2"/>
    </w:lvl>
  </w:abstractNum>
  <w:abstractNum w:abstractNumId="10">
    <w:nsid w:val="5E884ADC"/>
    <w:multiLevelType w:val="hybridMultilevel"/>
    <w:lvl w:ilvl="0">
      <w:lvlJc w:val="left"/>
      <w:lvlText w:val="%1."/>
      <w:numFmt w:val="upperLetter"/>
      <w:start w:val="3"/>
    </w:lvl>
    <w:lvl w:ilvl="1">
      <w:lvlJc w:val="left"/>
      <w:lvlText w:val="%2."/>
      <w:numFmt w:val="decimal"/>
      <w:start w:val="1"/>
    </w:lvl>
  </w:abstractNum>
  <w:abstractNum w:abstractNumId="11">
    <w:nsid w:val="51EAD36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2D517796"/>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3">
    <w:nsid w:val="580BD78F"/>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4">
    <w:nsid w:val="153EA438"/>
    <w:multiLevelType w:val="hybridMultilevel"/>
    <w:lvl w:ilvl="0">
      <w:lvlJc w:val="left"/>
      <w:lvlText w:val="%1."/>
      <w:numFmt w:val="upperLetter"/>
      <w:start w:val="6"/>
    </w:lvl>
    <w:lvl w:ilvl="1">
      <w:lvlJc w:val="left"/>
      <w:lvlText w:val="%2."/>
      <w:numFmt w:val="decimal"/>
      <w:start w:val="1"/>
    </w:lvl>
  </w:abstractNum>
  <w:abstractNum w:abstractNumId="15">
    <w:nsid w:val="3855585C"/>
    <w:multiLevelType w:val="hybridMultilevel"/>
    <w:lvl w:ilvl="0">
      <w:lvlJc w:val="left"/>
      <w:lvlText w:val="%1."/>
      <w:numFmt w:val="upperLetter"/>
      <w:start w:val="9"/>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upperLetter"/>
      <w:start w:val="10"/>
    </w:lvl>
    <w:lvl w:ilvl="1">
      <w:lvlJc w:val="left"/>
      <w:lvlText w:val="%2."/>
      <w:numFmt w:val="decimal"/>
      <w:start w:val="1"/>
    </w:lvl>
  </w:abstractNum>
  <w:abstractNum w:abstractNumId="18">
    <w:nsid w:val="2A487CB0"/>
    <w:multiLevelType w:val="hybridMultilevel"/>
    <w:lvl w:ilvl="0">
      <w:lvlJc w:val="left"/>
      <w:lvlText w:val="%1."/>
      <w:numFmt w:val="upperLetter"/>
      <w:start w:val="61"/>
    </w:lvl>
    <w:lvl w:ilvl="1">
      <w:lvlJc w:val="left"/>
      <w:lvlText w:val="%2"/>
      <w:numFmt w:val="upperLetter"/>
      <w:start w:val="1"/>
    </w:lvl>
  </w:abstractNum>
  <w:abstractNum w:abstractNumId="19">
    <w:nsid w:val="1D4ED43B"/>
    <w:multiLevelType w:val="hybridMultilevel"/>
    <w:lvl w:ilvl="0">
      <w:lvlJc w:val="left"/>
      <w:lvlText w:val="%1."/>
      <w:numFmt w:val="upperLetter"/>
      <w:start w:val="2"/>
    </w:lvl>
    <w:lvl w:ilvl="1">
      <w:lvlJc w:val="left"/>
      <w:lvlText w:val="%2."/>
      <w:numFmt w:val="decimal"/>
      <w:start w:val="1"/>
    </w:lvl>
  </w:abstractNum>
  <w:abstractNum w:abstractNumId="20">
    <w:nsid w:val="725A06FB"/>
    <w:multiLevelType w:val="hybridMultilevel"/>
    <w:lvl w:ilvl="0">
      <w:lvlJc w:val="left"/>
      <w:lvlText w:val="%1"/>
      <w:numFmt w:val="upperLetter"/>
      <w:start w:val="1"/>
    </w:lvl>
    <w:lvl w:ilvl="1">
      <w:lvlJc w:val="left"/>
      <w:lvlText w:val="%2."/>
      <w:numFmt w:val="lowerLetter"/>
      <w:start w:val="1"/>
    </w:lvl>
  </w:abstractNum>
  <w:abstractNum w:abstractNumId="21">
    <w:nsid w:val="2CD89A32"/>
    <w:multiLevelType w:val="hybridMultilevel"/>
    <w:lvl w:ilvl="0">
      <w:lvlJc w:val="left"/>
      <w:lvlText w:val="%1."/>
      <w:numFmt w:val="upperLetter"/>
      <w:start w:val="3"/>
    </w:lvl>
    <w:lvl w:ilvl="1">
      <w:lvlJc w:val="left"/>
      <w:lvlText w:val="%2"/>
      <w:numFmt w:val="lowerLetter"/>
      <w:start w:val="1"/>
    </w:lvl>
  </w:abstractNum>
  <w:abstractNum w:abstractNumId="22">
    <w:nsid w:val="57E4CCAF"/>
    <w:multiLevelType w:val="hybridMultilevel"/>
    <w:lvl w:ilvl="0">
      <w:lvlJc w:val="left"/>
      <w:lvlText w:val="%1."/>
      <w:numFmt w:val="upperLetter"/>
      <w:start w:val="5"/>
    </w:lvl>
    <w:lvl w:ilvl="1">
      <w:lvlJc w:val="left"/>
      <w:lvlText w:val="%2."/>
      <w:numFmt w:val="decimal"/>
      <w:start w:val="1"/>
    </w:lvl>
  </w:abstractNum>
  <w:abstractNum w:abstractNumId="23">
    <w:nsid w:val="7A6D8D3C"/>
    <w:multiLevelType w:val="hybridMultilevel"/>
    <w:lvl w:ilvl="0">
      <w:lvlJc w:val="left"/>
      <w:lvlText w:val="%1."/>
      <w:numFmt w:val="upperLetter"/>
      <w:start w:val="1"/>
    </w:lvl>
  </w:abstractNum>
  <w:abstractNum w:abstractNumId="24">
    <w:nsid w:val="4B588F54"/>
    <w:multiLevelType w:val="hybridMultilevel"/>
    <w:lvl w:ilvl="0">
      <w:lvlJc w:val="left"/>
      <w:lvlText w:val="%1."/>
      <w:numFmt w:val="upperLetter"/>
      <w:start w:val="4"/>
    </w:lvl>
    <w:lvl w:ilvl="1">
      <w:lvlJc w:val="left"/>
      <w:lvlText w:val="%2."/>
      <w:numFmt w:val="decimal"/>
      <w:start w:val="1"/>
    </w:lvl>
  </w:abstractNum>
  <w:abstractNum w:abstractNumId="25">
    <w:nsid w:val="542289E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6">
    <w:nsid w:val="6DE91B18"/>
    <w:multiLevelType w:val="hybridMultilevel"/>
    <w:lvl w:ilvl="0">
      <w:lvlJc w:val="left"/>
      <w:lvlText w:val="%1."/>
      <w:numFmt w:val="upperLetter"/>
      <w:start w:val="12"/>
    </w:lvl>
    <w:lvl w:ilvl="1">
      <w:lvlJc w:val="left"/>
      <w:lvlText w:val="%2."/>
      <w:numFmt w:val="decimal"/>
      <w:start w:val="1"/>
    </w:lvl>
  </w:abstractNum>
  <w:abstractNum w:abstractNumId="27">
    <w:nsid w:val="38437FDB"/>
    <w:multiLevelType w:val="hybridMultilevel"/>
    <w:lvl w:ilvl="0">
      <w:lvlJc w:val="left"/>
      <w:lvlText w:val="%1."/>
      <w:numFmt w:val="decimal"/>
      <w:start w:val="6"/>
    </w:lvl>
    <w:lvl w:ilvl="1">
      <w:lvlJc w:val="left"/>
      <w:lvlText w:val="%2."/>
      <w:numFmt w:val="lowerLetter"/>
      <w:start w:val="1"/>
    </w:lvl>
  </w:abstractNum>
  <w:abstractNum w:abstractNumId="28">
    <w:nsid w:val="7644A45C"/>
    <w:multiLevelType w:val="hybridMultilevel"/>
    <w:lvl w:ilvl="0">
      <w:lvlJc w:val="left"/>
      <w:lvlText w:val="%1."/>
      <w:numFmt w:val="upperLetter"/>
      <w:start w:val="19"/>
    </w:lvl>
    <w:lvl w:ilvl="1">
      <w:lvlJc w:val="left"/>
      <w:lvlText w:val="%2."/>
      <w:numFmt w:val="decimal"/>
      <w:start w:val="1"/>
    </w:lvl>
  </w:abstractNum>
  <w:abstractNum w:abstractNumId="29">
    <w:nsid w:val="32FFF902"/>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upperLetter"/>
      <w:start w:val="23"/>
    </w:lvl>
    <w:lvl w:ilvl="1">
      <w:lvlJc w:val="left"/>
      <w:lvlText w:val="%2."/>
      <w:numFmt w:val="lowerLetter"/>
      <w:start w:val="1"/>
    </w:lvl>
  </w:abstractNum>
  <w:abstractNum w:abstractNumId="32">
    <w:nsid w:val="749ABB43"/>
    <w:multiLevelType w:val="hybridMultilevel"/>
    <w:lvl w:ilvl="0">
      <w:lvlJc w:val="left"/>
      <w:lvlText w:val="%1."/>
      <w:numFmt w:val="upperLetter"/>
      <w:start w:val="24"/>
    </w:lvl>
  </w:abstractNum>
  <w:abstractNum w:abstractNumId="33">
    <w:nsid w:val="3DC240FB"/>
    <w:multiLevelType w:val="hybridMultilevel"/>
    <w:lvl w:ilvl="0">
      <w:lvlJc w:val="left"/>
      <w:lvlText w:val="%1."/>
      <w:numFmt w:val="upperLetter"/>
      <w:start w:val="27"/>
    </w:lvl>
    <w:lvl w:ilvl="1">
      <w:lvlJc w:val="left"/>
      <w:lvlText w:val="%2."/>
      <w:numFmt w:val="decimal"/>
      <w:start w:val="1"/>
    </w:lvl>
  </w:abstractNum>
  <w:abstractNum w:abstractNumId="34">
    <w:nsid w:val="1BA026FA"/>
    <w:multiLevelType w:val="hybridMultilevel"/>
    <w:lvl w:ilvl="0">
      <w:lvlJc w:val="left"/>
      <w:lvlText w:val="%1."/>
      <w:numFmt w:val="upperLetter"/>
      <w:start w:val="34"/>
    </w:lvl>
    <w:lvl w:ilvl="1">
      <w:lvlJc w:val="left"/>
      <w:lvlText w:val="%2."/>
      <w:numFmt w:val="decimal"/>
      <w:start w:val="1"/>
    </w:lvl>
  </w:abstractNum>
  <w:abstractNum w:abstractNumId="35">
    <w:nsid w:val="79A1DEAA"/>
    <w:multiLevelType w:val="hybridMultilevel"/>
    <w:lvl w:ilvl="0">
      <w:lvlJc w:val="left"/>
      <w:lvlText w:val="%1"/>
      <w:numFmt w:val="upperLetter"/>
      <w:start w:val="1"/>
    </w:lvl>
    <w:lvl w:ilvl="1">
      <w:lvlJc w:val="left"/>
      <w:lvlText w:val="%2."/>
      <w:numFmt w:val="decimal"/>
      <w:start w:val="2"/>
    </w:lvl>
  </w:abstractNum>
  <w:abstractNum w:abstractNumId="36">
    <w:nsid w:val="75C6C33A"/>
    <w:multiLevelType w:val="hybridMultilevel"/>
    <w:lvl w:ilvl="0">
      <w:lvlJc w:val="left"/>
      <w:lvlText w:val="%1."/>
      <w:numFmt w:val="upperLetter"/>
      <w:start w:val="37"/>
    </w:lvl>
    <w:lvl w:ilvl="1">
      <w:lvlJc w:val="left"/>
      <w:lvlText w:val="%2."/>
      <w:numFmt w:val="decimal"/>
      <w:start w:val="1"/>
    </w:lvl>
  </w:abstractNum>
  <w:abstractNum w:abstractNumId="37">
    <w:nsid w:val="12E685FB"/>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8">
    <w:nsid w:val="70C6A529"/>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9">
    <w:nsid w:val="520EEDD1"/>
    <w:multiLevelType w:val="hybridMultilevel"/>
    <w:lvl w:ilvl="0">
      <w:lvlJc w:val="left"/>
      <w:lvlText w:val="%1."/>
      <w:numFmt w:val="upperLetter"/>
      <w:start w:val="8"/>
    </w:lvl>
    <w:lvl w:ilvl="1">
      <w:lvlJc w:val="left"/>
      <w:lvlText w:val="%2."/>
      <w:numFmt w:val="decimal"/>
      <w:start w:val="1"/>
    </w:lvl>
  </w:abstractNum>
  <w:abstractNum w:abstractNumId="40">
    <w:nsid w:val="374A3FE6"/>
    <w:multiLevelType w:val="hybridMultilevel"/>
    <w:lvl w:ilvl="0">
      <w:lvlJc w:val="left"/>
      <w:lvlText w:val="%1."/>
      <w:numFmt w:val="upperLetter"/>
      <w:start w:val="9"/>
    </w:lvl>
    <w:lvl w:ilvl="1">
      <w:lvlJc w:val="left"/>
      <w:lvlText w:val="%2."/>
      <w:numFmt w:val="decimal"/>
      <w:start w:val="1"/>
    </w:lvl>
  </w:abstractNum>
  <w:abstractNum w:abstractNumId="41">
    <w:nsid w:val="4F4EF005"/>
    <w:multiLevelType w:val="hybridMultilevel"/>
    <w:lvl w:ilvl="0">
      <w:lvlJc w:val="left"/>
      <w:lvlText w:val="%1."/>
      <w:numFmt w:val="upperLetter"/>
      <w:start w:val="13"/>
    </w:lvl>
    <w:lvl w:ilvl="1">
      <w:lvlJc w:val="left"/>
      <w:lvlText w:val="%2."/>
      <w:numFmt w:val="decimal"/>
      <w:start w:val="1"/>
    </w:lvl>
  </w:abstractNum>
  <w:abstractNum w:abstractNumId="42">
    <w:nsid w:val="23F9C13C"/>
    <w:multiLevelType w:val="hybridMultilevel"/>
    <w:lvl w:ilvl="0">
      <w:lvlJc w:val="left"/>
      <w:lvlText w:val="%1."/>
      <w:numFmt w:val="upperLetter"/>
      <w:start w:val="18"/>
    </w:lvl>
  </w:abstractNum>
  <w:abstractNum w:abstractNumId="43">
    <w:nsid w:val="649BB77C"/>
    <w:multiLevelType w:val="hybridMultilevel"/>
    <w:lvl w:ilvl="0">
      <w:lvlJc w:val="left"/>
      <w:lvlText w:val="%1."/>
      <w:numFmt w:val="upperLetter"/>
      <w:start w:val="20"/>
    </w:lvl>
    <w:lvl w:ilvl="1">
      <w:lvlJc w:val="left"/>
      <w:lvlText w:val="%2."/>
      <w:numFmt w:val="decimal"/>
      <w:start w:val="1"/>
    </w:lvl>
  </w:abstractNum>
  <w:abstractNum w:abstractNumId="44">
    <w:nsid w:val="275AC794"/>
    <w:multiLevelType w:val="hybridMultilevel"/>
    <w:lvl w:ilvl="0">
      <w:lvlJc w:val="left"/>
      <w:lvlText w:val="%1."/>
      <w:numFmt w:val="upperLetter"/>
      <w:start w:val="27"/>
    </w:lvl>
  </w:abstractNum>
  <w:abstractNum w:abstractNumId="45">
    <w:nsid w:val="39386575"/>
    <w:multiLevelType w:val="hybridMultilevel"/>
    <w:lvl w:ilvl="0">
      <w:lvlJc w:val="left"/>
      <w:lvlText w:val="%1."/>
      <w:numFmt w:val="upperLetter"/>
      <w:start w:val="29"/>
    </w:lvl>
  </w:abstractNum>
  <w:abstractNum w:abstractNumId="46">
    <w:nsid w:val="1CF10FD8"/>
    <w:multiLevelType w:val="hybridMultilevel"/>
    <w:lvl w:ilvl="0">
      <w:lvlJc w:val="left"/>
      <w:lvlText w:val="%1."/>
      <w:numFmt w:val="upperLetter"/>
      <w:start w:val="1"/>
    </w:lvl>
    <w:lvl w:ilvl="1">
      <w:lvlJc w:val="left"/>
      <w:lvlText w:val="%2."/>
      <w:numFmt w:val="decimal"/>
      <w:start w:val="1"/>
    </w:lvl>
  </w:abstractNum>
  <w:abstractNum w:abstractNumId="47">
    <w:nsid w:val="180115BE"/>
    <w:multiLevelType w:val="hybridMultilevel"/>
    <w:lvl w:ilvl="0">
      <w:lvlJc w:val="left"/>
      <w:lvlText w:val="%1."/>
      <w:numFmt w:val="upperLetter"/>
      <w:start w:val="3"/>
    </w:lvl>
    <w:lvl w:ilvl="1">
      <w:lvlJc w:val="left"/>
      <w:lvlText w:val="%2."/>
      <w:numFmt w:val="decimal"/>
      <w:start w:val="1"/>
    </w:lvl>
  </w:abstractNum>
  <w:abstractNum w:abstractNumId="48">
    <w:nsid w:val="235BA861"/>
    <w:multiLevelType w:val="hybridMultilevel"/>
    <w:lvl w:ilvl="0">
      <w:lvlJc w:val="left"/>
      <w:lvlText w:val="%1"/>
      <w:numFmt w:val="upperLetter"/>
      <w:start w:val="1"/>
    </w:lvl>
    <w:lvl w:ilvl="1">
      <w:lvlJc w:val="left"/>
      <w:lvlText w:val="%2."/>
      <w:numFmt w:val="decimal"/>
      <w:start w:val="2"/>
    </w:lvl>
  </w:abstractNum>
  <w:abstractNum w:abstractNumId="49">
    <w:nsid w:val="47398C89"/>
    <w:multiLevelType w:val="hybridMultilevel"/>
    <w:lvl w:ilvl="0">
      <w:lvlJc w:val="left"/>
      <w:lvlText w:val="%1."/>
      <w:numFmt w:val="upperLetter"/>
      <w:start w:val="9"/>
    </w:lvl>
    <w:lvl w:ilvl="1">
      <w:lvlJc w:val="left"/>
      <w:lvlText w:val="%2."/>
      <w:numFmt w:val="decimal"/>
      <w:start w:val="1"/>
    </w:lvl>
  </w:abstractNum>
  <w:abstractNum w:abstractNumId="50">
    <w:nsid w:val="354FE9F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1">
    <w:nsid w:val="15B5AF5C"/>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2">
    <w:nsid w:val="741226BB"/>
    <w:multiLevelType w:val="hybridMultilevel"/>
    <w:lvl w:ilvl="0">
      <w:lvlJc w:val="left"/>
      <w:lvlText w:val="%1."/>
      <w:numFmt w:val="upperLetter"/>
      <w:start w:val="13"/>
    </w:lvl>
    <w:lvl w:ilvl="1">
      <w:lvlJc w:val="left"/>
      <w:lvlText w:val="%2."/>
      <w:numFmt w:val="decimal"/>
      <w:start w:val="1"/>
    </w:lvl>
  </w:abstractNum>
  <w:abstractNum w:abstractNumId="53">
    <w:nsid w:val="D34B6A8"/>
    <w:multiLevelType w:val="hybridMultilevel"/>
    <w:lvl w:ilvl="0">
      <w:lvlJc w:val="left"/>
      <w:lvlText w:val="%1."/>
      <w:numFmt w:val="upperLetter"/>
      <w:start w:val="14"/>
    </w:lvl>
    <w:lvl w:ilvl="1">
      <w:lvlJc w:val="left"/>
      <w:lvlText w:val="%2."/>
      <w:numFmt w:val="decimal"/>
      <w:start w:val="1"/>
    </w:lvl>
  </w:abstractNum>
  <w:abstractNum w:abstractNumId="54">
    <w:nsid w:val="10233C99"/>
    <w:multiLevelType w:val="hybridMultilevel"/>
    <w:lvl w:ilvl="0">
      <w:lvlJc w:val="left"/>
      <w:lvlText w:val="%1."/>
      <w:numFmt w:val="upperLetter"/>
      <w:start w:val="17"/>
    </w:lvl>
    <w:lvl w:ilvl="1">
      <w:lvlJc w:val="left"/>
      <w:lvlText w:val="%2."/>
      <w:numFmt w:val="decimal"/>
      <w:start w:val="1"/>
    </w:lvl>
  </w:abstractNum>
  <w:abstractNum w:abstractNumId="55">
    <w:nsid w:val="3F6AB60F"/>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6">
    <w:nsid w:val="61574095"/>
    <w:multiLevelType w:val="hybridMultilevel"/>
    <w:lvl w:ilvl="0">
      <w:lvlJc w:val="left"/>
      <w:lvlText w:val="%1."/>
      <w:numFmt w:val="lowerLetter"/>
      <w:start w:val="3"/>
    </w:lvl>
    <w:lvl w:ilvl="1">
      <w:lvlJc w:val="left"/>
      <w:lvlText w:val="(%2)"/>
      <w:numFmt w:val="decimal"/>
      <w:start w:val="1"/>
    </w:lvl>
  </w:abstractNum>
  <w:abstractNum w:abstractNumId="57">
    <w:nsid w:val="7E0C57B1"/>
    <w:multiLevelType w:val="hybridMultilevel"/>
    <w:lvl w:ilvl="0">
      <w:lvlJc w:val="left"/>
      <w:lvlText w:val="%1"/>
      <w:numFmt w:val="upperLetter"/>
      <w:start w:val="1"/>
    </w:lvl>
    <w:lvl w:ilvl="1">
      <w:lvlJc w:val="left"/>
      <w:lvlText w:val="%2."/>
      <w:numFmt w:val="decimal"/>
      <w:start w:val="3"/>
    </w:lvl>
  </w:abstractNum>
  <w:abstractNum w:abstractNumId="58">
    <w:nsid w:val="77AE35EB"/>
    <w:multiLevelType w:val="hybridMultilevel"/>
    <w:lvl w:ilvl="0">
      <w:lvlJc w:val="left"/>
      <w:lvlText w:val="%1."/>
      <w:numFmt w:val="upperLetter"/>
      <w:start w:val="19"/>
    </w:lvl>
    <w:lvl w:ilvl="1">
      <w:lvlJc w:val="left"/>
      <w:lvlText w:val="%2."/>
      <w:numFmt w:val="decimal"/>
      <w:start w:val="1"/>
    </w:lvl>
  </w:abstractNum>
  <w:abstractNum w:abstractNumId="59">
    <w:nsid w:val="579BE4F1"/>
    <w:multiLevelType w:val="hybridMultilevel"/>
    <w:lvl w:ilvl="0">
      <w:lvlJc w:val="left"/>
      <w:lvlText w:val="%1."/>
      <w:numFmt w:val="upperLetter"/>
      <w:start w:val="20"/>
    </w:lvl>
  </w:abstractNum>
  <w:abstractNum w:abstractNumId="60">
    <w:nsid w:val="310C50B3"/>
    <w:multiLevelType w:val="hybridMultilevel"/>
    <w:lvl w:ilvl="0">
      <w:lvlJc w:val="left"/>
      <w:lvlText w:val="%1."/>
      <w:numFmt w:val="decimal"/>
      <w:start w:val="1"/>
    </w:lvl>
    <w:lvl w:ilvl="1">
      <w:lvlJc w:val="left"/>
      <w:lvlText w:val="%2"/>
      <w:numFmt w:val="upperLetter"/>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3">
    <w:nsid w:val="25A70BF7"/>
    <w:multiLevelType w:val="hybridMultilevel"/>
    <w:lvl w:ilvl="0">
      <w:lvlJc w:val="left"/>
      <w:lvlText w:val="%1."/>
      <w:numFmt w:val="decimal"/>
      <w:start w:val="4"/>
    </w:lvl>
  </w:abstractNum>
  <w:abstractNum w:abstractNumId="64">
    <w:nsid w:val="1DBABF00"/>
    <w:multiLevelType w:val="hybridMultilevel"/>
    <w:lvl w:ilvl="0">
      <w:lvlJc w:val="left"/>
      <w:lvlText w:val="%1."/>
      <w:numFmt w:val="decimal"/>
      <w:start w:val="5"/>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2020-06-09T15:08:40Z</dcterms:created>
  <dcterms:modified xsi:type="dcterms:W3CDTF">2020-06-09T15:08:40Z</dcterms:modified>
</cp:coreProperties>
</file>