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340" w:right="1940" w:hanging="3332"/>
        <w:spacing w:after="0" w:line="407" w:lineRule="auto"/>
        <w:tabs>
          <w:tab w:leader="none" w:pos="46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-427355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9"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-7620</wp:posOffset>
            </wp:positionV>
            <wp:extent cx="848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814-00736</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ind w:left="2340"/>
        <w:spacing w:after="0"/>
        <w:tabs>
          <w:tab w:leader="none" w:pos="8120" w:val="left"/>
        </w:tabs>
        <w:rPr>
          <w:sz w:val="20"/>
          <w:szCs w:val="20"/>
          <w:color w:val="auto"/>
        </w:rPr>
      </w:pPr>
      <w:r>
        <w:rPr>
          <w:rFonts w:ascii="Arial" w:cs="Arial" w:eastAsia="Arial" w:hAnsi="Arial"/>
          <w:sz w:val="14"/>
          <w:szCs w:val="14"/>
          <w:b w:val="1"/>
          <w:bCs w:val="1"/>
          <w:color w:val="auto"/>
        </w:rPr>
        <w:t>MARYLAND</w:t>
      </w:r>
      <w:r>
        <w:rPr>
          <w:sz w:val="20"/>
          <w:szCs w:val="20"/>
          <w:color w:val="auto"/>
        </w:rPr>
        <w:tab/>
      </w:r>
      <w:r>
        <w:rPr>
          <w:rFonts w:ascii="Arial" w:cs="Arial" w:eastAsia="Arial" w:hAnsi="Arial"/>
          <w:sz w:val="14"/>
          <w:szCs w:val="14"/>
          <w:b w:val="1"/>
          <w:bCs w:val="1"/>
          <w:color w:val="auto"/>
        </w:rPr>
        <w:t>20-8250744</w:t>
      </w:r>
    </w:p>
    <w:p>
      <w:pPr>
        <w:spacing w:after="0" w:line="28" w:lineRule="exact"/>
        <w:rPr>
          <w:sz w:val="24"/>
          <w:szCs w:val="24"/>
          <w:color w:val="auto"/>
        </w:rPr>
      </w:pPr>
    </w:p>
    <w:p>
      <w:pPr>
        <w:ind w:left="900"/>
        <w:spacing w:after="0"/>
        <w:tabs>
          <w:tab w:leader="none" w:pos="7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ectPr>
          <w:pgSz w:w="11900" w:h="16838" w:orient="portrait"/>
          <w:cols w:equalWidth="0" w:num="1">
            <w:col w:w="11200"/>
          </w:cols>
          <w:pgMar w:left="320" w:top="414" w:right="379" w:bottom="1440" w:gutter="0" w:footer="0" w:header="0"/>
        </w:sect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590 Madison Avenue, 15</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spacing w:after="0" w:line="4"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New York, N.Y.</w:t>
      </w:r>
    </w:p>
    <w:p>
      <w:pPr>
        <w:spacing w:after="0" w:line="66"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(Address of principal executive offices)</w:t>
      </w:r>
    </w:p>
    <w:p>
      <w:pPr>
        <w:jc w:val="right"/>
        <w:spacing w:after="0" w:line="226" w:lineRule="auto"/>
        <w:rPr>
          <w:sz w:val="20"/>
          <w:szCs w:val="20"/>
          <w:color w:val="auto"/>
        </w:rPr>
      </w:pPr>
      <w:r>
        <w:rPr>
          <w:rFonts w:ascii="Arial" w:cs="Arial" w:eastAsia="Arial" w:hAnsi="Arial"/>
          <w:sz w:val="14"/>
          <w:szCs w:val="14"/>
          <w:b w:val="1"/>
          <w:bCs w:val="1"/>
          <w:color w:val="auto"/>
        </w:rPr>
        <w:t>Registrant’s telephone number, including area code (212)-905-1000</w:t>
      </w:r>
    </w:p>
    <w:p>
      <w:pPr>
        <w:ind w:left="38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10022</w:t>
      </w:r>
    </w:p>
    <w:p>
      <w:pPr>
        <w:spacing w:after="0" w:line="4" w:lineRule="exact"/>
        <w:rPr>
          <w:sz w:val="24"/>
          <w:szCs w:val="24"/>
          <w:color w:val="auto"/>
        </w:rPr>
      </w:pPr>
    </w:p>
    <w:p>
      <w:pPr>
        <w:jc w:val="center"/>
        <w:ind w:right="2380"/>
        <w:spacing w:after="0"/>
        <w:rPr>
          <w:sz w:val="20"/>
          <w:szCs w:val="20"/>
          <w:color w:val="auto"/>
        </w:rPr>
      </w:pPr>
      <w:r>
        <w:rPr>
          <w:rFonts w:ascii="Arial" w:cs="Arial" w:eastAsia="Arial" w:hAnsi="Arial"/>
          <w:sz w:val="13"/>
          <w:szCs w:val="13"/>
          <w:b w:val="1"/>
          <w:bCs w:val="1"/>
          <w:color w:val="auto"/>
        </w:rPr>
        <w:t>(Zip Code)</w:t>
      </w:r>
    </w:p>
    <w:p>
      <w:pPr>
        <w:spacing w:after="0" w:line="360" w:lineRule="exact"/>
        <w:rPr>
          <w:sz w:val="24"/>
          <w:szCs w:val="24"/>
          <w:color w:val="auto"/>
        </w:rPr>
      </w:pPr>
    </w:p>
    <w:p>
      <w:pPr>
        <w:sectPr>
          <w:pgSz w:w="11900" w:h="16838" w:orient="portrait"/>
          <w:cols w:equalWidth="0" w:num="2">
            <w:col w:w="7680" w:space="480"/>
            <w:col w:w="3040"/>
          </w:cols>
          <w:pgMar w:left="320" w:top="414" w:right="379" w:bottom="1440" w:gutter="0" w:footer="0" w:header="0"/>
          <w:type w:val="continuous"/>
        </w:sectPr>
      </w:pPr>
    </w:p>
    <w:p>
      <w:pPr>
        <w:ind w:left="2180"/>
        <w:spacing w:after="0"/>
        <w:tabs>
          <w:tab w:leader="none" w:pos="70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 w:lineRule="exact"/>
        <w:rPr>
          <w:sz w:val="24"/>
          <w:szCs w:val="24"/>
          <w:color w:val="auto"/>
        </w:rPr>
      </w:pPr>
    </w:p>
    <w:p>
      <w:pPr>
        <w:ind w:left="1520"/>
        <w:spacing w:after="0"/>
        <w:tabs>
          <w:tab w:leader="none" w:pos="7480" w:val="left"/>
        </w:tabs>
        <w:rPr>
          <w:sz w:val="20"/>
          <w:szCs w:val="20"/>
          <w:color w:val="auto"/>
        </w:rPr>
      </w:pPr>
      <w:r>
        <w:rPr>
          <w:rFonts w:ascii="Arial" w:cs="Arial" w:eastAsia="Arial" w:hAnsi="Arial"/>
          <w:sz w:val="14"/>
          <w:szCs w:val="14"/>
          <w:color w:val="auto"/>
        </w:rPr>
        <w:t>Common Stock, par value $0.001 per share</w:t>
      </w:r>
      <w:r>
        <w:rPr>
          <w:sz w:val="20"/>
          <w:szCs w:val="20"/>
          <w:color w:val="auto"/>
        </w:rPr>
        <w:tab/>
      </w:r>
      <w:r>
        <w:rPr>
          <w:rFonts w:ascii="Arial" w:cs="Arial" w:eastAsia="Arial" w:hAnsi="Arial"/>
          <w:sz w:val="13"/>
          <w:szCs w:val="13"/>
          <w:color w:val="auto"/>
        </w:rPr>
        <w:t>The NASDAQ Stock Market LLC</w:t>
      </w:r>
    </w:p>
    <w:p>
      <w:pPr>
        <w:spacing w:after="0" w:line="53"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45" w:lineRule="exact"/>
        <w:rPr>
          <w:sz w:val="24"/>
          <w:szCs w:val="24"/>
          <w:color w:val="auto"/>
        </w:rPr>
      </w:pPr>
    </w:p>
    <w:p>
      <w:pPr>
        <w:ind w:left="440"/>
        <w:spacing w:after="0" w:line="161" w:lineRule="exact"/>
        <w:tabs>
          <w:tab w:leader="none" w:pos="7320" w:val="left"/>
          <w:tab w:leader="none" w:pos="78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ind w:left="440"/>
        <w:spacing w:after="0" w:line="161" w:lineRule="exact"/>
        <w:tabs>
          <w:tab w:leader="none" w:pos="7440" w:val="left"/>
          <w:tab w:leader="none" w:pos="798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ind w:right="14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31" w:lineRule="exact"/>
        <w:rPr>
          <w:sz w:val="24"/>
          <w:szCs w:val="24"/>
          <w:color w:val="auto"/>
        </w:rPr>
      </w:pPr>
    </w:p>
    <w:p>
      <w:pPr>
        <w:ind w:right="260" w:firstLine="43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ind w:firstLine="43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60" w:firstLine="438"/>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38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5000" w:type="dxa"/>
            <w:vAlign w:val="bottom"/>
          </w:tcPr>
          <w:p>
            <w:pPr>
              <w:ind w:left="7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38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0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12" w:lineRule="exact"/>
        <w:rPr>
          <w:sz w:val="24"/>
          <w:szCs w:val="24"/>
          <w:color w:val="auto"/>
        </w:rPr>
      </w:pPr>
    </w:p>
    <w:p>
      <w:pPr>
        <w:ind w:right="52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2017 based on the closing price on that date of $8.14 on the NASDAQ Global Select Market was approximately $567 million. For the purposes of calculating the aggregate market value of common stock held by non-affiliates, all directors and executive officers of the Registrant have been treated as affiliates. There were 71,060,836 shares of the Registrant’s common stock outstanding as of November 29, 2017.</w:t>
      </w:r>
    </w:p>
    <w:p>
      <w:pPr>
        <w:spacing w:after="0" w:line="34" w:lineRule="exact"/>
        <w:rPr>
          <w:sz w:val="24"/>
          <w:szCs w:val="24"/>
          <w:color w:val="auto"/>
        </w:rPr>
      </w:pPr>
    </w:p>
    <w:p>
      <w:pPr>
        <w:ind w:right="12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2018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520" w:type="dxa"/>
            <w:vAlign w:val="bottom"/>
          </w:tcPr>
          <w:p>
            <w:pPr>
              <w:jc w:val="center"/>
              <w:ind w:left="1108"/>
              <w:spacing w:after="0"/>
              <w:rPr>
                <w:sz w:val="20"/>
                <w:szCs w:val="20"/>
                <w:color w:val="auto"/>
              </w:rPr>
            </w:pPr>
            <w:r>
              <w:rPr>
                <w:rFonts w:ascii="Arial" w:cs="Arial" w:eastAsia="Arial" w:hAnsi="Arial"/>
                <w:sz w:val="14"/>
                <w:szCs w:val="14"/>
                <w:b w:val="1"/>
                <w:bCs w:val="1"/>
                <w:color w:val="auto"/>
              </w:rPr>
              <w:t>PENNANTPARK INVESTMENT CORPORATION</w:t>
            </w:r>
          </w:p>
        </w:tc>
        <w:tc>
          <w:tcPr>
            <w:tcW w:w="196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852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rPr>
              <w:t>FORM 10-K</w:t>
            </w:r>
          </w:p>
        </w:tc>
        <w:tc>
          <w:tcPr>
            <w:tcW w:w="1960" w:type="dxa"/>
            <w:vAlign w:val="bottom"/>
          </w:tcPr>
          <w:p>
            <w:pPr>
              <w:spacing w:after="0"/>
              <w:rPr>
                <w:sz w:val="12"/>
                <w:szCs w:val="12"/>
                <w:color w:val="auto"/>
              </w:rPr>
            </w:pPr>
          </w:p>
        </w:tc>
      </w:tr>
      <w:tr>
        <w:trPr>
          <w:trHeight w:val="148"/>
        </w:trPr>
        <w:tc>
          <w:tcPr>
            <w:tcW w:w="780" w:type="dxa"/>
            <w:vAlign w:val="bottom"/>
          </w:tcPr>
          <w:p>
            <w:pPr>
              <w:spacing w:after="0"/>
              <w:rPr>
                <w:sz w:val="12"/>
                <w:szCs w:val="12"/>
                <w:color w:val="auto"/>
              </w:rPr>
            </w:pPr>
          </w:p>
        </w:tc>
        <w:tc>
          <w:tcPr>
            <w:tcW w:w="852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rPr>
              <w:t>FOR THE FISCAL YEAR ENDED SEPTEMBER 30, 2017</w:t>
            </w:r>
          </w:p>
        </w:tc>
        <w:tc>
          <w:tcPr>
            <w:tcW w:w="1960" w:type="dxa"/>
            <w:vAlign w:val="bottom"/>
          </w:tcPr>
          <w:p>
            <w:pPr>
              <w:spacing w:after="0"/>
              <w:rPr>
                <w:sz w:val="12"/>
                <w:szCs w:val="12"/>
                <w:color w:val="auto"/>
              </w:rPr>
            </w:pPr>
          </w:p>
        </w:tc>
      </w:tr>
      <w:tr>
        <w:trPr>
          <w:trHeight w:val="186"/>
        </w:trPr>
        <w:tc>
          <w:tcPr>
            <w:tcW w:w="780" w:type="dxa"/>
            <w:vAlign w:val="bottom"/>
          </w:tcPr>
          <w:p>
            <w:pPr>
              <w:spacing w:after="0"/>
              <w:rPr>
                <w:sz w:val="16"/>
                <w:szCs w:val="16"/>
                <w:color w:val="auto"/>
              </w:rPr>
            </w:pPr>
          </w:p>
        </w:tc>
        <w:tc>
          <w:tcPr>
            <w:tcW w:w="8520" w:type="dxa"/>
            <w:vAlign w:val="bottom"/>
          </w:tcPr>
          <w:p>
            <w:pPr>
              <w:jc w:val="center"/>
              <w:ind w:left="1108"/>
              <w:spacing w:after="0"/>
              <w:rPr>
                <w:sz w:val="20"/>
                <w:szCs w:val="20"/>
                <w:color w:val="auto"/>
              </w:rPr>
            </w:pPr>
            <w:r>
              <w:rPr>
                <w:rFonts w:ascii="Arial" w:cs="Arial" w:eastAsia="Arial" w:hAnsi="Arial"/>
                <w:sz w:val="14"/>
                <w:szCs w:val="14"/>
                <w:b w:val="1"/>
                <w:bCs w:val="1"/>
                <w:color w:val="auto"/>
              </w:rPr>
              <w:t>TABLE OF CONTENTS</w:t>
            </w:r>
          </w:p>
        </w:tc>
        <w:tc>
          <w:tcPr>
            <w:tcW w:w="1960" w:type="dxa"/>
            <w:vAlign w:val="bottom"/>
          </w:tcPr>
          <w:p>
            <w:pPr>
              <w:spacing w:after="0"/>
              <w:rPr>
                <w:sz w:val="16"/>
                <w:szCs w:val="16"/>
                <w:color w:val="auto"/>
              </w:rPr>
            </w:pPr>
          </w:p>
        </w:tc>
      </w:tr>
      <w:tr>
        <w:trPr>
          <w:trHeight w:val="445"/>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20" w:type="dxa"/>
            <w:vAlign w:val="bottom"/>
          </w:tcPr>
          <w:p>
            <w:pPr>
              <w:ind w:left="2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20" w:type="dxa"/>
            <w:vAlign w:val="bottom"/>
          </w:tcPr>
          <w:p>
            <w:pPr>
              <w:ind w:left="2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Risk Factors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20" w:type="dxa"/>
            <w:vAlign w:val="bottom"/>
          </w:tcPr>
          <w:p>
            <w:pPr>
              <w:ind w:left="2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Unresolved Staff Comments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20" w:type="dxa"/>
            <w:vAlign w:val="bottom"/>
          </w:tcPr>
          <w:p>
            <w:pPr>
              <w:ind w:left="2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Properties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20" w:type="dxa"/>
            <w:vAlign w:val="bottom"/>
          </w:tcPr>
          <w:p>
            <w:pPr>
              <w:ind w:left="2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Legal Proceedings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20" w:type="dxa"/>
            <w:vAlign w:val="bottom"/>
          </w:tcPr>
          <w:p>
            <w:pPr>
              <w:ind w:left="2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Mine Safety Disclosures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088"/>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20" w:type="dxa"/>
            <w:vAlign w:val="bottom"/>
          </w:tcPr>
          <w:p>
            <w:pPr>
              <w:ind w:left="2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20" w:type="dxa"/>
            <w:vAlign w:val="bottom"/>
          </w:tcPr>
          <w:p>
            <w:pPr>
              <w:ind w:left="2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Selected Financial Data</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20" w:type="dxa"/>
            <w:vAlign w:val="bottom"/>
          </w:tcPr>
          <w:p>
            <w:pPr>
              <w:ind w:left="26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20" w:type="dxa"/>
            <w:vAlign w:val="bottom"/>
          </w:tcPr>
          <w:p>
            <w:pPr>
              <w:ind w:left="26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20" w:type="dxa"/>
            <w:vAlign w:val="bottom"/>
          </w:tcPr>
          <w:p>
            <w:pPr>
              <w:ind w:left="26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Consolidated Financial Statements and Supplementary Data</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Changes in and Disagreements with Accountants on Accounting and Financial Disclosure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Controls and Procedures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Other Information</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74">
              <w:r>
                <w:rPr>
                  <w:rFonts w:ascii="Arial" w:cs="Arial" w:eastAsia="Arial" w:hAnsi="Arial"/>
                  <w:sz w:val="14"/>
                  <w:szCs w:val="14"/>
                  <w:b w:val="1"/>
                  <w:bCs w:val="1"/>
                  <w:u w:val="single" w:color="auto"/>
                  <w:color w:val="0000EE"/>
                </w:rPr>
                <w:t>PART III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Directors, Executive Officers and Corporate Governance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Executive Compensation</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Security Ownership of Certain Beneficial Owners and Management and Related Stockholder Matters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Certain Relationships and Related Transactions, and Director Independence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Principal Accountant Fees and Services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PART IV</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20" w:type="dxa"/>
            <w:vAlign w:val="bottom"/>
          </w:tcPr>
          <w:p>
            <w:pPr>
              <w:ind w:left="2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Exhibits and Financial Statement Schedules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97"/>
        </w:trPr>
        <w:tc>
          <w:tcPr>
            <w:tcW w:w="780" w:type="dxa"/>
            <w:vAlign w:val="bottom"/>
          </w:tcPr>
          <w:p>
            <w:pPr>
              <w:spacing w:after="0"/>
              <w:rPr>
                <w:sz w:val="24"/>
                <w:szCs w:val="24"/>
                <w:color w:val="auto"/>
              </w:rPr>
            </w:pPr>
          </w:p>
        </w:tc>
        <w:tc>
          <w:tcPr>
            <w:tcW w:w="8520" w:type="dxa"/>
            <w:vAlign w:val="bottom"/>
          </w:tcPr>
          <w:p>
            <w:pPr>
              <w:ind w:left="2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1153"/>
        </w:trPr>
        <w:tc>
          <w:tcPr>
            <w:tcW w:w="7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75"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licensed by the SBA; “Credit Facility” refers to our multi-currency, senior secured revolving credit facility, as amended and restated; “2025 Notes” refers to our 6.25% senior notes due 2025; “2019 Notes” refers to our 4.50% notes due 2019;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136"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1"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23"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May 2010 and July 2012, respectively. SBIC I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2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11"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23"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right="20" w:hanging="359"/>
        <w:spacing w:after="0" w:line="29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jc w:val="both"/>
        <w:ind w:left="920" w:right="60" w:hanging="359"/>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jc w:val="both"/>
        <w:ind w:left="920" w:right="20" w:hanging="359"/>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our capital is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4" w:lineRule="exact"/>
        <w:rPr>
          <w:sz w:val="20"/>
          <w:szCs w:val="20"/>
          <w:color w:val="auto"/>
        </w:rPr>
      </w:pPr>
    </w:p>
    <w:p>
      <w:pPr>
        <w:ind w:left="920" w:hanging="359"/>
        <w:spacing w:after="0"/>
        <w:tabs>
          <w:tab w:leader="none" w:pos="9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4"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23"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We maintain a multi-currency $445 million Credit Facility, which matures in May 2022. The Credit Facility is secured by substantially all of our investment portfolio assets (excluding the assets of our SBIC Funds). We had $79.4 million and $50.3 million of debt outstanding under the Credit Facility with a weighted average interest rate of 2.42% and 2.76% as of September</w:t>
      </w:r>
    </w:p>
    <w:p>
      <w:pPr>
        <w:ind w:right="80"/>
        <w:spacing w:after="0" w:line="227" w:lineRule="auto"/>
        <w:rPr>
          <w:sz w:val="20"/>
          <w:szCs w:val="20"/>
          <w:color w:val="auto"/>
        </w:rPr>
      </w:pPr>
      <w:r>
        <w:rPr>
          <w:rFonts w:ascii="Arial" w:cs="Arial" w:eastAsia="Arial" w:hAnsi="Arial"/>
          <w:sz w:val="14"/>
          <w:szCs w:val="14"/>
          <w:color w:val="auto"/>
        </w:rPr>
        <w:t>30, 2017 and 2016, respectively, excluding undrawn commitment fees. The Credit Facility is a five-year revolving facility with a stated maturity date of May 25, 2022, with a one-year term-out period following its fourth year and pricing set at 225 basis points over the London Interbank Offered Rate, or LIBOR. As of September 30, 2017 and 2016, we had $365.6 million and $494.7 million, respectively, of unused borrowing capacity under our Credit Facility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60% and 80% of our net assets. As of September 30, 2017, we were in compliance with the terms of our Credit Facility.</w:t>
      </w:r>
    </w:p>
    <w:p>
      <w:pPr>
        <w:spacing w:after="0" w:line="118"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As of September 30, 2017 and 2016, our SBIC Funds had $300.0 million and $225.0 million in debt commitments, respectively, of which $199.0 million and $197.5 million was drawn, with a weighted average interest rate of 3.70% and 3.44%, exclusive of the 3.43% of upfront fees. The SBA debentures mature between September 2020 and September 2027.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our SBIC Funds and have a priority claim over such assets relative to all other creditors. See “Regulation” for more information.</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As of September 30, 2017 and 2016, we had $250.0 million in aggregate principal amount of 2019 Notes outstanding.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September 30, 2016, we had $71.3 million in aggregate principal amount of 6.25% notes due 2025, or 2025 Notes, outstanding. Interest on the 2025 Notes was paid at a rate of</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6.25% per year and was paid quarterly. On June 29, 2017, the 2025 Notes were redeemed in full and no amounts were outstanding as of September 30, 2017. The 2025 Notes had been scheduled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to mature on February 1, 2025. See “Management’s Discussion and Analysis of Financial Condition and Results of Operations”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04" w:lineRule="exact"/>
        <w:rPr>
          <w:sz w:val="20"/>
          <w:szCs w:val="20"/>
          <w:color w:val="auto"/>
        </w:rPr>
      </w:pPr>
    </w:p>
    <w:p>
      <w:pPr>
        <w:ind w:firstLine="438"/>
        <w:spacing w:after="0" w:line="224" w:lineRule="auto"/>
        <w:rPr>
          <w:sz w:val="20"/>
          <w:szCs w:val="20"/>
          <w:color w:val="auto"/>
        </w:rPr>
      </w:pPr>
      <w:r>
        <w:rPr>
          <w:rFonts w:ascii="Arial" w:cs="Arial" w:eastAsia="Arial" w:hAnsi="Arial"/>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 Qualifying Assets” and “Investment Selection Criteria” for more information.</w:t>
      </w:r>
    </w:p>
    <w:p>
      <w:pPr>
        <w:spacing w:after="0" w:line="3"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securities. Nevertheless, the effects of changes to our operating policies and strategies may adversely affect our business, our ability to make distributions and the value of our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15"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2"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4" w:lineRule="exact"/>
        <w:rPr>
          <w:sz w:val="20"/>
          <w:szCs w:val="20"/>
          <w:color w:val="auto"/>
        </w:rPr>
      </w:pPr>
    </w:p>
    <w:p>
      <w:pPr>
        <w:ind w:left="920" w:hanging="359"/>
        <w:spacing w:after="0"/>
        <w:tabs>
          <w:tab w:leader="none" w:pos="9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15"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23"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36"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6" w:name="page7"/>
    <w:bookmarkEnd w:id="6"/>
    <w:p>
      <w:pPr>
        <w:ind w:right="30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9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36"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02"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0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02" w:lineRule="exact"/>
        <w:rPr>
          <w:sz w:val="20"/>
          <w:szCs w:val="20"/>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60" w:hanging="359"/>
        <w:spacing w:after="0" w:line="238"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800" w:hanging="359"/>
        <w:spacing w:after="0" w:line="253" w:lineRule="auto"/>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136"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20" w:firstLine="8"/>
        <w:spacing w:after="0" w:line="237"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55 of the 1940 Act. See “Regulation” for more information.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20"/>
              <w:spacing w:after="0"/>
              <w:rPr>
                <w:sz w:val="20"/>
                <w:szCs w:val="20"/>
                <w:color w:val="auto"/>
              </w:rPr>
            </w:pPr>
            <w:r>
              <w:rPr>
                <w:rFonts w:ascii="Arial" w:cs="Arial" w:eastAsia="Arial" w:hAnsi="Arial"/>
                <w:sz w:val="14"/>
                <w:szCs w:val="14"/>
                <w:color w:val="auto"/>
              </w:rPr>
              <w:t>Aerospace and Defense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Energy/Utilities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Auto Sector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Buildings and Real Estate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Healthcare, Education and Childcare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Building Materials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w w:val="94"/>
              </w:rPr>
              <w:t>Home &amp; Office Furnishings, Housewares &amp; Durable Consumer Products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Cable Television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Capital Equipment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Cargo Transportation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Consumer Products</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Media</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Consumer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Distribution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Other Media</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Diversified/Conglomerate Manufacturing</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Personal, Food and Miscellaneous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Retail</w:t>
            </w:r>
          </w:p>
        </w:tc>
      </w:tr>
      <w:tr>
        <w:trPr>
          <w:trHeight w:val="160"/>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Education</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Wholesale</w:t>
            </w:r>
          </w:p>
        </w:tc>
      </w:tr>
    </w:tbl>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4"/>
                <w:szCs w:val="1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Parq Holdings Limited Partnership</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ind w:left="820"/>
              <w:spacing w:after="0" w:line="155" w:lineRule="exact"/>
              <w:rPr>
                <w:sz w:val="20"/>
                <w:szCs w:val="20"/>
                <w:color w:val="auto"/>
              </w:rPr>
            </w:pPr>
            <w:r>
              <w:rPr>
                <w:rFonts w:ascii="Arial" w:cs="Arial" w:eastAsia="Arial" w:hAnsi="Arial"/>
                <w:sz w:val="14"/>
                <w:szCs w:val="14"/>
                <w:color w:val="auto"/>
              </w:rPr>
              <w:t>7%</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Parq Holdings Limited Partnership</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ind w:left="840"/>
              <w:spacing w:after="0" w:line="155" w:lineRule="exact"/>
              <w:rPr>
                <w:sz w:val="20"/>
                <w:szCs w:val="20"/>
                <w:color w:val="auto"/>
              </w:rPr>
            </w:pPr>
            <w:r>
              <w:rPr>
                <w:rFonts w:ascii="Arial" w:cs="Arial" w:eastAsia="Arial" w:hAnsi="Arial"/>
                <w:sz w:val="14"/>
                <w:szCs w:val="14"/>
                <w:color w:val="auto"/>
                <w:w w:val="98"/>
              </w:rPr>
              <w:t>7%</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Pre-Paid Legal Services, Inc.</w:t>
            </w:r>
          </w:p>
        </w:tc>
        <w:tc>
          <w:tcPr>
            <w:tcW w:w="920" w:type="dxa"/>
            <w:vAlign w:val="bottom"/>
          </w:tcPr>
          <w:p>
            <w:pPr>
              <w:ind w:left="820"/>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5</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920" w:type="dxa"/>
            <w:vAlign w:val="bottom"/>
          </w:tcPr>
          <w:p>
            <w:pPr>
              <w:ind w:left="820"/>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Pre-Paid Legal Services, Inc.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5</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Howard Berger Co.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Jacobs Entertainment, Inc.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Acre Operating Company, LLC</w:t>
            </w:r>
          </w:p>
        </w:tc>
        <w:tc>
          <w:tcPr>
            <w:tcW w:w="920" w:type="dxa"/>
            <w:vAlign w:val="bottom"/>
          </w:tcPr>
          <w:p>
            <w:pPr>
              <w:ind w:left="820"/>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Novitex Acquisition,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920" w:type="dxa"/>
            <w:vAlign w:val="bottom"/>
          </w:tcPr>
          <w:p>
            <w:pPr>
              <w:ind w:left="820"/>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Lighthouse Network,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Howard Berger Co.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Sunborn Oy, Sunborn Saga Oy</w:t>
            </w:r>
          </w:p>
        </w:tc>
        <w:tc>
          <w:tcPr>
            <w:tcW w:w="920" w:type="dxa"/>
            <w:vAlign w:val="bottom"/>
          </w:tcPr>
          <w:p>
            <w:pPr>
              <w:ind w:left="820"/>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5"/>
                <w:szCs w:val="15"/>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4"/>
                <w:szCs w:val="1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Hotels, Motels, Inns and Gaming</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Hotels, Motels, Inns and Gaming</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13%</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Energy/Utilities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r>
    </w:tbl>
    <w:p>
      <w:pPr>
        <w:spacing w:after="0" w:line="110"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waive 16% of base management fees, correlated to our 16% energy exposure (oil &amp; gas and energy &amp; utilities industries) at cost as of December 31, 2015. For the years ended September 30, 2017, 2016 and 2015, the Investment Adviser earned base management fees of $20.3 million (after a waiver of $3.9 million), $20.9 million (after a waiver of $4.0 million) and $26.7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23"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all Pre-Incentive Net Fee Investment Income thereafter is allocated to our Investment Adviser. These calculations are prorated for any share issuances or repurchases during the relevant quarter, if applicable. Since December 31, 2015 and through December 31, 2017, the Investment Adviser has voluntarily agreed, in consultation with the board of directors, to waive 16% of incentive fees, correlated to our 16% energy exposure (oil &amp; gas and energy &amp; utilities industries) at cost as of December 31, 2015. For the years ended September 30, 2017, 2016 and 2015, the Investment Adviser earned $9.3 million (after a waiver of $1.8 million), $13.5 million (after a waiver of $2.5 million) and $20.6 million, respectively, in incentive fees on net investment income from us.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210820</wp:posOffset>
            </wp:positionV>
            <wp:extent cx="2263140"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1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259"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2017, 2016 and 2015, we did not accrue an incentive fee on capital gains as calculated under the Investment Management Agreement (as described above).</w:t>
      </w:r>
    </w:p>
    <w:p>
      <w:pPr>
        <w:spacing w:after="0" w:line="107"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if any, will be realized in the future. For the years ended September 30, 2017, 2016 and 2015, we did not accrue an incentive fee on capital gains as calculated under GAAP.</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0.55%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2.00%</w:t>
      </w:r>
    </w:p>
    <w:p>
      <w:pPr>
        <w:spacing w:after="0" w:line="136" w:lineRule="exact"/>
        <w:rPr>
          <w:sz w:val="20"/>
          <w:szCs w:val="20"/>
          <w:color w:val="auto"/>
        </w:rPr>
      </w:pPr>
    </w:p>
    <w:p>
      <w:pPr>
        <w:ind w:left="1120"/>
        <w:spacing w:after="0"/>
        <w:tabs>
          <w:tab w:leader="none" w:pos="46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20% x Pre-Incentive Fee Net Investment Income, subject to “catch-up”</w:t>
      </w:r>
    </w:p>
    <w:p>
      <w:pPr>
        <w:ind w:left="4420" w:hanging="112"/>
        <w:spacing w:after="0" w:line="221" w:lineRule="auto"/>
        <w:tabs>
          <w:tab w:leader="none" w:pos="4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2.00% - 1.75%</w:t>
      </w:r>
    </w:p>
    <w:p>
      <w:pPr>
        <w:ind w:left="4420" w:hanging="112"/>
        <w:spacing w:after="0" w:line="221" w:lineRule="auto"/>
        <w:tabs>
          <w:tab w:leader="none" w:pos="4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0.25%</w:t>
      </w:r>
    </w:p>
    <w:p>
      <w:pPr>
        <w:ind w:left="4420" w:hanging="112"/>
        <w:spacing w:after="0" w:line="221" w:lineRule="auto"/>
        <w:tabs>
          <w:tab w:leader="none" w:pos="4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100% x 0.25%</w:t>
      </w:r>
    </w:p>
    <w:p>
      <w:pPr>
        <w:ind w:left="4420" w:hanging="112"/>
        <w:spacing w:after="0"/>
        <w:tabs>
          <w:tab w:leader="none" w:pos="4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0.25%</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3.00%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Other expenses (legal, accounting, custodian, transfer agent, etc.) = 0.20%</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(investment income—(base management fee + other expenses)) = 2.30%</w:t>
      </w:r>
    </w:p>
    <w:p>
      <w:pPr>
        <w:sectPr>
          <w:pgSz w:w="11900" w:h="16838" w:orient="portrait"/>
          <w:cols w:equalWidth="0" w:num="1">
            <w:col w:w="11220"/>
          </w:cols>
          <w:pgMar w:left="320" w:top="346" w:right="359" w:bottom="1440" w:gutter="0" w:footer="0" w:header="0"/>
        </w:sectPr>
      </w:pP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ind w:left="11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20% x Pre-Incentive Fee Net Investment Income, subject to “catch-up” </w:t>
      </w:r>
      <w:r>
        <w:rPr>
          <w:rFonts w:ascii="Arial" w:cs="Arial" w:eastAsia="Arial" w:hAnsi="Arial"/>
          <w:sz w:val="12"/>
          <w:szCs w:val="12"/>
          <w:color w:val="auto"/>
        </w:rPr>
        <w:t>(3)</w:t>
      </w:r>
    </w:p>
    <w:p>
      <w:pPr>
        <w:ind w:left="220"/>
        <w:spacing w:after="0"/>
        <w:rPr>
          <w:sz w:val="20"/>
          <w:szCs w:val="20"/>
          <w:color w:val="auto"/>
        </w:rPr>
      </w:pPr>
      <w:r>
        <w:rPr>
          <w:rFonts w:ascii="Arial" w:cs="Arial" w:eastAsia="Arial" w:hAnsi="Arial"/>
          <w:sz w:val="13"/>
          <w:szCs w:val="13"/>
          <w:color w:val="auto"/>
        </w:rPr>
        <w:t>= 100% x “catch-up” + (20% x (Pre-Incentive Fee Net Investment Income - 2.1875%))</w:t>
      </w:r>
    </w:p>
    <w:p>
      <w:pPr>
        <w:spacing w:after="0"/>
        <w:rPr>
          <w:sz w:val="20"/>
          <w:szCs w:val="20"/>
          <w:color w:val="auto"/>
        </w:rPr>
      </w:pPr>
      <w:r>
        <w:rPr>
          <w:rFonts w:ascii="Arial" w:cs="Arial" w:eastAsia="Arial" w:hAnsi="Arial"/>
          <w:sz w:val="14"/>
          <w:szCs w:val="14"/>
          <w:color w:val="auto"/>
        </w:rPr>
        <w:t>= 2.1875% - 1.75%</w:t>
      </w:r>
    </w:p>
    <w:p>
      <w:pPr>
        <w:spacing w:after="0" w:line="1" w:lineRule="exact"/>
        <w:rPr>
          <w:sz w:val="20"/>
          <w:szCs w:val="20"/>
          <w:color w:val="auto"/>
        </w:rPr>
      </w:pPr>
    </w:p>
    <w:p>
      <w:pPr>
        <w:sectPr>
          <w:pgSz w:w="11900" w:h="16838" w:orient="portrait"/>
          <w:cols w:equalWidth="0" w:num="2">
            <w:col w:w="3740" w:space="720"/>
            <w:col w:w="6760"/>
          </w:cols>
          <w:pgMar w:left="320" w:top="346" w:right="359" w:bottom="1440" w:gutter="0" w:footer="0" w:header="0"/>
          <w:type w:val="continuous"/>
        </w:sectPr>
      </w:pPr>
    </w:p>
    <w:p>
      <w:pPr>
        <w:ind w:left="4420" w:hanging="112"/>
        <w:spacing w:after="0" w:line="202" w:lineRule="auto"/>
        <w:tabs>
          <w:tab w:leader="none" w:pos="44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0.4375%</w:t>
      </w:r>
    </w:p>
    <w:p>
      <w:pPr>
        <w:ind w:left="4420" w:hanging="112"/>
        <w:spacing w:after="0" w:line="221" w:lineRule="auto"/>
        <w:tabs>
          <w:tab w:leader="none" w:pos="44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(100% x 0.4375%) + (20% x (2.30% - 2.1875%))</w:t>
      </w:r>
    </w:p>
    <w:p>
      <w:pPr>
        <w:ind w:left="4420" w:hanging="112"/>
        <w:spacing w:after="0" w:line="221" w:lineRule="auto"/>
        <w:tabs>
          <w:tab w:leader="none" w:pos="44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0.4375% + (20% x 0.1125%)</w:t>
      </w:r>
    </w:p>
    <w:p>
      <w:pPr>
        <w:ind w:left="4420" w:hanging="112"/>
        <w:spacing w:after="0" w:line="221" w:lineRule="auto"/>
        <w:tabs>
          <w:tab w:leader="none" w:pos="44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0.4375% + 0.0225%</w:t>
      </w:r>
    </w:p>
    <w:p>
      <w:pPr>
        <w:ind w:left="4420" w:hanging="112"/>
        <w:spacing w:after="0"/>
        <w:tabs>
          <w:tab w:leader="none" w:pos="44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0.46%</w:t>
      </w:r>
    </w:p>
    <w:p>
      <w:pPr>
        <w:spacing w:after="0" w:line="340"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2"/>
          <w:szCs w:val="12"/>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114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Represents 2.0% annualized base management fee.</w:t>
      </w:r>
    </w:p>
    <w:p>
      <w:pPr>
        <w:ind w:left="380" w:right="200" w:hanging="372"/>
        <w:spacing w:after="0" w:line="237"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2.1875%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 no net realized capital gains or losses</w:t>
      </w:r>
    </w:p>
    <w:p>
      <w:pPr>
        <w:spacing w:after="0" w:line="136" w:lineRule="exact"/>
        <w:rPr>
          <w:sz w:val="20"/>
          <w:szCs w:val="20"/>
          <w:color w:val="auto"/>
        </w:rPr>
      </w:pPr>
    </w:p>
    <w:p>
      <w:pPr>
        <w:ind w:left="160" w:right="32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220"/>
          </w:cols>
          <w:pgMar w:left="320" w:top="346" w:right="359" w:bottom="1440" w:gutter="0" w:footer="0" w:header="0"/>
          <w:type w:val="continuous"/>
        </w:sectPr>
      </w:pPr>
    </w:p>
    <w:p>
      <w:pPr>
        <w:spacing w:after="0" w:line="10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Year 1 incentive fee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20% x (0)</w:t>
      </w:r>
    </w:p>
    <w:p>
      <w:pPr>
        <w:spacing w:after="0" w:line="1" w:lineRule="exact"/>
        <w:rPr>
          <w:sz w:val="20"/>
          <w:szCs w:val="20"/>
          <w:color w:val="auto"/>
        </w:rPr>
      </w:pPr>
    </w:p>
    <w:p>
      <w:pPr>
        <w:sectPr>
          <w:pgSz w:w="11900" w:h="16838" w:orient="portrait"/>
          <w:cols w:equalWidth="0" w:num="2">
            <w:col w:w="4300" w:space="720"/>
            <w:col w:w="6200"/>
          </w:cols>
          <w:pgMar w:left="320" w:top="346" w:right="359" w:bottom="1440" w:gutter="0" w:footer="0" w:header="0"/>
          <w:type w:val="continuous"/>
        </w:sectPr>
      </w:pPr>
    </w:p>
    <w:p>
      <w:pPr>
        <w:spacing w:after="0" w:line="295"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Year 2 incentive fee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4"/>
          <w:szCs w:val="14"/>
          <w:color w:val="auto"/>
        </w:rPr>
        <w:t>= 0</w:t>
      </w:r>
    </w:p>
    <w:p>
      <w:pPr>
        <w:spacing w:after="0" w:line="222" w:lineRule="auto"/>
        <w:rPr>
          <w:sz w:val="20"/>
          <w:szCs w:val="20"/>
          <w:color w:val="auto"/>
        </w:rPr>
      </w:pPr>
      <w:r>
        <w:rPr>
          <w:rFonts w:ascii="Arial" w:cs="Arial" w:eastAsia="Arial" w:hAnsi="Arial"/>
          <w:sz w:val="14"/>
          <w:szCs w:val="14"/>
          <w:color w:val="auto"/>
        </w:rPr>
        <w:t>= no incentive fee</w:t>
      </w:r>
    </w:p>
    <w:p>
      <w:pPr>
        <w:ind w:left="860"/>
        <w:spacing w:after="0"/>
        <w:rPr>
          <w:sz w:val="20"/>
          <w:szCs w:val="20"/>
          <w:color w:val="auto"/>
        </w:rPr>
      </w:pPr>
      <w:r>
        <w:rPr>
          <w:rFonts w:ascii="Arial" w:cs="Arial" w:eastAsia="Arial" w:hAnsi="Arial"/>
          <w:sz w:val="13"/>
          <w:szCs w:val="13"/>
          <w:color w:val="auto"/>
        </w:rPr>
        <w:t>= 20% x (6% - 1%)</w:t>
      </w:r>
    </w:p>
    <w:p>
      <w:pPr>
        <w:spacing w:after="0" w:line="1" w:lineRule="exact"/>
        <w:rPr>
          <w:sz w:val="20"/>
          <w:szCs w:val="20"/>
          <w:color w:val="auto"/>
        </w:rPr>
      </w:pPr>
    </w:p>
    <w:p>
      <w:pPr>
        <w:sectPr>
          <w:pgSz w:w="11900" w:h="16838" w:orient="portrait"/>
          <w:cols w:equalWidth="0" w:num="2">
            <w:col w:w="3440" w:space="720"/>
            <w:col w:w="7060"/>
          </w:cols>
          <w:pgMar w:left="320" w:top="346" w:right="359" w:bottom="1440" w:gutter="0" w:footer="0" w:header="0"/>
          <w:type w:val="continuous"/>
        </w:sectPr>
      </w:pPr>
    </w:p>
    <w:p>
      <w:pPr>
        <w:ind w:left="4160"/>
        <w:spacing w:after="0" w:line="236" w:lineRule="auto"/>
        <w:rPr>
          <w:sz w:val="20"/>
          <w:szCs w:val="20"/>
          <w:color w:val="auto"/>
        </w:rPr>
      </w:pPr>
      <w:r>
        <w:rPr>
          <w:rFonts w:ascii="Arial" w:cs="Arial" w:eastAsia="Arial" w:hAnsi="Arial"/>
          <w:sz w:val="13"/>
          <w:szCs w:val="13"/>
          <w:color w:val="auto"/>
        </w:rPr>
        <w:t>= 20% x 5%</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 1%</w:t>
      </w:r>
    </w:p>
    <w:p>
      <w:pPr>
        <w:sectPr>
          <w:pgSz w:w="11900" w:h="16838" w:orient="portrait"/>
          <w:cols w:equalWidth="0" w:num="1">
            <w:col w:w="11220"/>
          </w:cols>
          <w:pgMar w:left="320" w:top="346"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2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amongst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type w:val="continuous"/>
        </w:sectPr>
      </w:pPr>
    </w:p>
    <w:bookmarkStart w:id="11" w:name="page12"/>
    <w:bookmarkEnd w:id="11"/>
    <w:p>
      <w:pPr>
        <w:ind w:right="20"/>
        <w:spacing w:after="0" w:line="247" w:lineRule="auto"/>
        <w:rPr>
          <w:sz w:val="20"/>
          <w:szCs w:val="20"/>
          <w:color w:val="auto"/>
        </w:rPr>
      </w:pPr>
      <w:r>
        <w:rPr>
          <w:rFonts w:ascii="Arial" w:cs="Arial" w:eastAsia="Arial" w:hAnsi="Arial"/>
          <w:sz w:val="13"/>
          <w:szCs w:val="13"/>
          <w:color w:val="auto"/>
        </w:rPr>
        <w:t>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the compensation and related expenses for our Chief Compliance Officer and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fiscal years ended September 30, 2017, 2016 and 2015, we reimbursed the Investment Adviser approximately $2.5 million, $3.7 million and $3.3 million, respectively, including expenses it incurred on behalf of the Administrator for services described above.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2017. Unless terminated earlier as described below, 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23" w:lineRule="exact"/>
        <w:rPr>
          <w:sz w:val="20"/>
          <w:szCs w:val="20"/>
          <w:color w:val="auto"/>
        </w:rPr>
      </w:pPr>
    </w:p>
    <w:p>
      <w:pPr>
        <w:ind w:right="14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Regulated Investment Company Regulations and Small Business Investment Company Regulations</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4"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1" w:lineRule="exact"/>
        <w:rPr>
          <w:sz w:val="20"/>
          <w:szCs w:val="20"/>
          <w:color w:val="auto"/>
        </w:rPr>
      </w:pPr>
    </w:p>
    <w:p>
      <w:pPr>
        <w:ind w:left="920" w:right="2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5"/>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5"/>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5"/>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2" w:name="page13"/>
    <w:bookmarkEnd w:id="12"/>
    <w:p>
      <w:pPr>
        <w:ind w:left="920" w:right="160" w:hanging="359"/>
        <w:spacing w:after="0" w:line="238"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As a BDC, we are required to make available significant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3" w:name="page14"/>
    <w:bookmarkEnd w:id="13"/>
    <w:p>
      <w:pPr>
        <w:ind w:right="820"/>
        <w:spacing w:after="0" w:line="253" w:lineRule="auto"/>
        <w:rPr>
          <w:sz w:val="20"/>
          <w:szCs w:val="20"/>
          <w:color w:val="auto"/>
        </w:rPr>
      </w:pPr>
      <w:r>
        <w:rPr>
          <w:rFonts w:ascii="Arial" w:cs="Arial" w:eastAsia="Arial" w:hAnsi="Arial"/>
          <w:sz w:val="14"/>
          <w:szCs w:val="14"/>
          <w:color w:val="auto"/>
        </w:rPr>
        <w:t>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23" w:lineRule="exact"/>
        <w:rPr>
          <w:sz w:val="20"/>
          <w:szCs w:val="20"/>
          <w:color w:val="auto"/>
        </w:rPr>
      </w:pPr>
    </w:p>
    <w:p>
      <w:pPr>
        <w:ind w:left="920" w:right="380" w:hanging="359"/>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2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4" w:name="page15"/>
    <w:bookmarkEnd w:id="14"/>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6" w:lineRule="exact"/>
        <w:rPr>
          <w:rFonts w:ascii="Arial" w:cs="Arial" w:eastAsia="Arial" w:hAnsi="Arial"/>
          <w:sz w:val="14"/>
          <w:szCs w:val="14"/>
          <w:color w:val="auto"/>
        </w:rPr>
      </w:pPr>
    </w:p>
    <w:p>
      <w:pPr>
        <w:ind w:left="1480" w:right="40" w:hanging="365"/>
        <w:spacing w:after="0" w:line="290" w:lineRule="auto"/>
        <w:tabs>
          <w:tab w:leader="none" w:pos="14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80" w:hanging="365"/>
        <w:spacing w:after="0" w:line="238" w:lineRule="auto"/>
        <w:tabs>
          <w:tab w:leader="none" w:pos="14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20" w:firstLine="8"/>
        <w:spacing w:after="0" w:line="227" w:lineRule="auto"/>
        <w:tabs>
          <w:tab w:leader="none" w:pos="204" w:val="left"/>
        </w:tabs>
        <w:numPr>
          <w:ilvl w:val="0"/>
          <w:numId w:val="30"/>
        </w:numPr>
        <w:rPr>
          <w:rFonts w:ascii="Arial" w:cs="Arial" w:eastAsia="Arial" w:hAnsi="Arial"/>
          <w:sz w:val="14"/>
          <w:szCs w:val="14"/>
          <w:color w:val="auto"/>
        </w:rPr>
      </w:pPr>
      <w:r>
        <w:rPr>
          <w:rFonts w:ascii="Arial" w:cs="Arial" w:eastAsia="Arial" w:hAnsi="Arial"/>
          <w:sz w:val="14"/>
          <w:szCs w:val="14"/>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3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equity security or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3" w:lineRule="exact"/>
        <w:rPr>
          <w:sz w:val="20"/>
          <w:szCs w:val="20"/>
          <w:color w:val="auto"/>
        </w:rPr>
      </w:pPr>
    </w:p>
    <w:p>
      <w:pPr>
        <w:jc w:val="both"/>
        <w:ind w:right="20" w:firstLine="438"/>
        <w:spacing w:after="0" w:line="255" w:lineRule="auto"/>
        <w:rPr>
          <w:sz w:val="20"/>
          <w:szCs w:val="20"/>
          <w:color w:val="auto"/>
        </w:rPr>
      </w:pPr>
      <w:r>
        <w:rPr>
          <w:rFonts w:ascii="Arial" w:cs="Arial" w:eastAsia="Arial" w:hAnsi="Arial"/>
          <w:sz w:val="13"/>
          <w:szCs w:val="13"/>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04"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SBIC Funds are licensed under the SBA as SBICs under Section 301(c) of the 1958 Act. SBIC I and SBIC II received their licenses in 2010 and 2013, respectively.</w:t>
      </w:r>
    </w:p>
    <w:p>
      <w:pPr>
        <w:spacing w:after="0" w:line="123"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ind w:right="60"/>
        <w:spacing w:after="0" w:line="251" w:lineRule="auto"/>
        <w:rPr>
          <w:sz w:val="20"/>
          <w:szCs w:val="20"/>
          <w:color w:val="auto"/>
        </w:rPr>
      </w:pPr>
      <w:r>
        <w:rPr>
          <w:rFonts w:ascii="Arial" w:cs="Arial" w:eastAsia="Arial" w:hAnsi="Arial"/>
          <w:sz w:val="13"/>
          <w:szCs w:val="13"/>
          <w:color w:val="auto"/>
        </w:rPr>
        <w:t>Furthermore, our SBIC Funds are subject to periodic audits and examinations of their financial statements that are prepared on a basis of accounting other than GAAP pursuant to SBA accounting standards and financial reporting requirements for SBICs. For example, our SBIC Fund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Idle Funds Limitation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limits an SBIC to investing idle funds in the following types of securities:</w:t>
      </w:r>
    </w:p>
    <w:p>
      <w:pPr>
        <w:spacing w:after="0" w:line="136" w:lineRule="exact"/>
        <w:rPr>
          <w:sz w:val="20"/>
          <w:szCs w:val="20"/>
          <w:color w:val="auto"/>
        </w:rPr>
      </w:pPr>
    </w:p>
    <w:p>
      <w:pPr>
        <w:ind w:left="920" w:hanging="359"/>
        <w:spacing w:after="0"/>
        <w:tabs>
          <w:tab w:leader="none" w:pos="9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47" w:lineRule="exact"/>
        <w:rPr>
          <w:rFonts w:ascii="Arial" w:cs="Arial" w:eastAsia="Arial" w:hAnsi="Arial"/>
          <w:sz w:val="13"/>
          <w:szCs w:val="13"/>
          <w:color w:val="auto"/>
        </w:rPr>
      </w:pPr>
    </w:p>
    <w:p>
      <w:pPr>
        <w:ind w:left="920" w:right="80" w:hanging="359"/>
        <w:spacing w:after="0" w:line="253"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SBA Leverage or Debentures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$150.0 million, which is up to twice its regulatory capital, and a maximum of $350.0 million as part of a group of SBICs under common control.</w:t>
      </w:r>
    </w:p>
    <w:p>
      <w:pPr>
        <w:spacing w:after="0" w:line="10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2019 Notes,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1"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ind w:right="240"/>
        <w:spacing w:after="0" w:line="238" w:lineRule="auto"/>
        <w:rPr>
          <w:sz w:val="20"/>
          <w:szCs w:val="20"/>
          <w:color w:val="auto"/>
        </w:rPr>
      </w:pPr>
      <w:r>
        <w:rPr>
          <w:rFonts w:ascii="Arial" w:cs="Arial" w:eastAsia="Arial" w:hAnsi="Arial"/>
          <w:sz w:val="14"/>
          <w:szCs w:val="14"/>
          <w:color w:val="auto"/>
        </w:rPr>
        <w:t>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2"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our Credit Facility, the 2019 Notes and SBA debentures.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In addition to the asset coverage ratio requirements, our Credit Facility and the indenture governing our 2019 Notes contain various covenants which, if not complied with, could accelerate repayment under the Credit Facility and our 2019 Notes. This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104" w:lineRule="exact"/>
        <w:rPr>
          <w:sz w:val="20"/>
          <w:szCs w:val="20"/>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136"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In addition to the Credit Facility, we have issued our 2019 Notes and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101"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2019 Notes.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23"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23"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1"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jc w:val="both"/>
        <w:ind w:right="10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7" w:name="page18"/>
    <w:bookmarkEnd w:id="17"/>
    <w:p>
      <w:pPr>
        <w:ind w:right="36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2019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93"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23"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1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23"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36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34"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did not incur any corporate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23"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could be subject to corporate-level income tax.</w:t>
      </w:r>
    </w:p>
    <w:p>
      <w:pPr>
        <w:spacing w:after="0" w:line="8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15" w:lineRule="exact"/>
        <w:rPr>
          <w:sz w:val="20"/>
          <w:szCs w:val="20"/>
          <w:color w:val="auto"/>
        </w:rPr>
      </w:pPr>
    </w:p>
    <w:p>
      <w:pPr>
        <w:jc w:val="both"/>
        <w:ind w:right="60" w:firstLine="438"/>
        <w:spacing w:after="0" w:line="255" w:lineRule="auto"/>
        <w:rPr>
          <w:sz w:val="20"/>
          <w:szCs w:val="20"/>
          <w:color w:val="auto"/>
        </w:rPr>
      </w:pPr>
      <w:r>
        <w:rPr>
          <w:rFonts w:ascii="Arial" w:cs="Arial" w:eastAsia="Arial" w:hAnsi="Arial"/>
          <w:sz w:val="13"/>
          <w:szCs w:val="13"/>
          <w:color w:val="auto"/>
        </w:rPr>
        <w:t>As a BDC, we are required to meet a 200%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subject to tax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9" w:name="page20"/>
    <w:bookmarkEnd w:id="19"/>
    <w:p>
      <w:pPr>
        <w:ind w:left="920" w:right="20" w:hanging="359"/>
        <w:spacing w:after="0" w:line="251"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2019 Notes, we are exposed to typical risks associated with leverage, including an increased risk of loss.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41"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with the approvals noted above.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22" w:lineRule="exact"/>
        <w:rPr>
          <w:rFonts w:ascii="Arial" w:cs="Arial" w:eastAsia="Arial" w:hAnsi="Arial"/>
          <w:sz w:val="13"/>
          <w:szCs w:val="13"/>
          <w:color w:val="auto"/>
        </w:rPr>
      </w:pPr>
    </w:p>
    <w:p>
      <w:pPr>
        <w:ind w:left="920" w:hanging="359"/>
        <w:spacing w:after="0" w:line="242"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rFonts w:ascii="Arial" w:cs="Arial" w:eastAsia="Arial" w:hAnsi="Arial"/>
          <w:sz w:val="13"/>
          <w:szCs w:val="13"/>
          <w:color w:val="auto"/>
        </w:rPr>
      </w:pPr>
    </w:p>
    <w:p>
      <w:pPr>
        <w:ind w:left="920" w:right="20" w:hanging="359"/>
        <w:spacing w:after="0" w:line="23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 SBA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regulations and through our wholly owned subsidiaries, SBIC I, SBIC II and any future SBIC subsidiary, SBA debentures to 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may be unable to make distributions to us that will enable us to meet or maintain RIC tax status.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are licensed by the SBA and are subject to SBA regulations.</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02"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$150.0 million, which is up to twice its regulatory capital, and a maximum of $350.0 million as part of a group of SBICs under common control.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ind w:right="240"/>
        <w:spacing w:after="0" w:line="253" w:lineRule="auto"/>
        <w:rPr>
          <w:sz w:val="20"/>
          <w:szCs w:val="20"/>
          <w:color w:val="auto"/>
        </w:rPr>
      </w:pPr>
      <w:r>
        <w:rPr>
          <w:rFonts w:ascii="Arial" w:cs="Arial" w:eastAsia="Arial" w:hAnsi="Arial"/>
          <w:sz w:val="14"/>
          <w:szCs w:val="14"/>
          <w:color w:val="auto"/>
        </w:rPr>
        <w:t>restricted when our asset coverage ratio is not met, exclusive of the SBA debentures pursuant to SEC exemptive relief, and any cash that we use to service our indebtedness is not available for distribution to our common stockholders.</w:t>
      </w:r>
    </w:p>
    <w:p>
      <w:pPr>
        <w:spacing w:after="0" w:line="93"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Our current debt is governed by the terms of our 2019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23"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indebtedness outstanding pursuant to our 2019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As of September 30, 2017, we had outstanding borrowings of $79.4 million under our Credit Facility, $250.0 million outstanding under our 2019 Notes and $199.0 million outstanding under the SBA debentures. Our consolidated debt outstanding was $528.4 million and had a weighted average annual interest rate at the time of 3.70%, exclusive of the fee on undrawn commitment on our Credit Facility and 3.43% of upfront fees on the SBA debentures. To cover the annual interest on our borrowings of $528.4 million outstanding as of September 30, 2017, at the weighted average annual rate of 3.70%, we would have to receive an annual yield of at least 1.66%.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8"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2017 of 44% of total assets (including such borrowed funds), at the weighted average rate at the time of 3.70%,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840" w:type="dxa"/>
            <w:vAlign w:val="bottom"/>
            <w:shd w:val="clear" w:color="auto" w:fill="CCECFF"/>
          </w:tcPr>
          <w:p>
            <w:pPr>
              <w:jc w:val="right"/>
              <w:ind w:right="488"/>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CFF"/>
          </w:tcPr>
          <w:p>
            <w:pPr>
              <w:jc w:val="right"/>
              <w:ind w:right="528"/>
              <w:spacing w:after="0"/>
              <w:rPr>
                <w:sz w:val="20"/>
                <w:szCs w:val="20"/>
                <w:color w:val="auto"/>
              </w:rPr>
            </w:pPr>
            <w:r>
              <w:rPr>
                <w:rFonts w:ascii="Arial" w:cs="Arial" w:eastAsia="Arial" w:hAnsi="Arial"/>
                <w:sz w:val="14"/>
                <w:szCs w:val="14"/>
                <w:color w:val="auto"/>
              </w:rPr>
              <w:t>(5.0)%</w:t>
            </w:r>
          </w:p>
        </w:tc>
        <w:tc>
          <w:tcPr>
            <w:tcW w:w="16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(21.7)%</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(12.4)%</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(3.0)%</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6.3%</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r>
    </w:tbl>
    <w:p>
      <w:pPr>
        <w:spacing w:after="0" w:line="123"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w:t>
      </w:r>
    </w:p>
    <w:p>
      <w:pPr>
        <w:spacing w:after="0" w:line="12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a result of the issuance of our 2019 Notes, SBA debentures and borrowings under our Credit Facility,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our publicly issued debt securities. Our credit ratings may not reflect the potential impact of risks related to market conditions or other factors discussed above on the market value of, or trading market for, any publicly issued debt securities.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ind w:right="26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2019 Notes, if any, or change in the debt markets could cause the liquidity or market value of our 2019 Notes to decline significantly.</w:t>
      </w:r>
    </w:p>
    <w:p>
      <w:pPr>
        <w:spacing w:after="0" w:line="93"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Our credit ratings are an assessment by rating agencies of our ability to pay our debts when they come due. Consequently, real or anticipated changes in our credit ratings will generally affect the market value of our 2019 Notes. In August 2017, Egan-Jones Ratings Company, or Egan-Jones, assigned PennantPark Investment a senior unsecured credit rating of “BBB”. Our credit ratings may not reflect the potential impact of risks relating to the structure or marketing of our 2019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2019 Notes of any changes in our credit ratings. We are rated by Standard &amp; Poor’s Ratings Services, Fitch Ratings and Egan-Jones. There can be no assurance that their respective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8"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Our Credit Facility expires and our 2019 Notes mature in May 2022 and October 2019, respectively. Additionally, our SBA debentures mature between September 2020 and September 2027. We utilize proceeds from the Credit Facility, our 2019 Notes and our SBA debentures to make investments in our portfolio companies. The duration of many of our investments exceeds the duration of our indebtedness under our Credit Facility, our 2019 Notes and certain of our SBA debentures.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extend or refinance our Credit Facility, our 2019 Notes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jc w:val="both"/>
        <w:ind w:right="48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2019 Notes,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and our 2019 Notes. This is expected to mitigate volatility in our earnings and NAV. As a result of these factors, results for any period should not be relied upon as being indicative of performance in future periods.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other debt securities, convertible debt securities or units, the NAV and market value of our common stock may become more volatile.</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23" w:lineRule="exact"/>
        <w:rPr>
          <w:sz w:val="20"/>
          <w:szCs w:val="20"/>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18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36"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2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1"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9"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All of our investments were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2"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ind w:right="8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3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intend to invest primarily in first lien secured debt, second lien secured debt, subordinated debt and selected equity investments issued by U.S. and foreign middle-market companies.</w:t>
      </w:r>
    </w:p>
    <w:p>
      <w:pPr>
        <w:spacing w:after="0" w:line="148" w:lineRule="exact"/>
        <w:rPr>
          <w:sz w:val="20"/>
          <w:szCs w:val="20"/>
          <w:color w:val="auto"/>
        </w:rPr>
      </w:pPr>
    </w:p>
    <w:p>
      <w:pPr>
        <w:ind w:left="920" w:right="20" w:hanging="359"/>
        <w:spacing w:after="0" w:line="227"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debts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60" w:right="20" w:hanging="358"/>
        <w:spacing w:after="0" w:line="229" w:lineRule="auto"/>
        <w:tabs>
          <w:tab w:leader="none" w:pos="960" w:val="left"/>
        </w:tabs>
        <w:numPr>
          <w:ilvl w:val="1"/>
          <w:numId w:val="3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8" w:lineRule="exact"/>
        <w:rPr>
          <w:sz w:val="20"/>
          <w:szCs w:val="20"/>
          <w:color w:val="auto"/>
        </w:rPr>
      </w:pPr>
    </w:p>
    <w:p>
      <w:pPr>
        <w:ind w:left="920" w:hanging="359"/>
        <w:spacing w:after="0" w:line="229"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23" w:lineRule="exact"/>
        <w:rPr>
          <w:sz w:val="20"/>
          <w:szCs w:val="20"/>
          <w:color w:val="auto"/>
        </w:rPr>
      </w:pPr>
    </w:p>
    <w:p>
      <w:pPr>
        <w:ind w:left="920" w:right="520" w:hanging="359"/>
        <w:spacing w:after="0" w:line="238"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3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17"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the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36"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17" w:lineRule="exact"/>
        <w:rPr>
          <w:sz w:val="20"/>
          <w:szCs w:val="20"/>
          <w:color w:val="auto"/>
        </w:rPr>
      </w:pPr>
    </w:p>
    <w:p>
      <w:pPr>
        <w:ind w:right="46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6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23"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23"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NAV or we incur a net loss for that quarter.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48"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02"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in the past obtained the approval of our stockholders to issue shares of our common stock at prices below the then current NAV per share of our common stock in one or more offerings for a twelve-month period, and we may attempt to obtain such approval in the future. Such approval has allowed, and may again allow, us to access the capital markets in a way that we typically are unable to do as a result of restrictions that, absent stockholder approval, apply to BDCs under the 1940 Act.</w:t>
      </w:r>
    </w:p>
    <w:p>
      <w:pPr>
        <w:spacing w:after="0" w:line="115"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23"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3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$7.51 and $7.52 on September 30, 2017 and 2016, respectively. Our NAV per share was $9.10 and $9.05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6" w:lineRule="exact"/>
        <w:rPr>
          <w:sz w:val="20"/>
          <w:szCs w:val="20"/>
          <w:color w:val="auto"/>
        </w:rPr>
      </w:pPr>
    </w:p>
    <w:p>
      <w:pPr>
        <w:ind w:left="920" w:right="60" w:hanging="359"/>
        <w:spacing w:after="0" w:line="253" w:lineRule="auto"/>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spacing w:after="0" w:line="123" w:lineRule="exact"/>
        <w:rPr>
          <w:sz w:val="20"/>
          <w:szCs w:val="20"/>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2019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Our 2019 Notes are not secured by any of our assets or any of the assets of our subsidiaries. As a result, our 2019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2019 Notes. As of September 30, 2017 and 2016, we had $79.4 million and $50.3 million, respectively, outstanding under the Credit Facility. The Credit Facility is secured by substantially all of the assets in our portfolio (other than assets held by our SBIC Funds), and the indebtedness under the Credit Facility is therefore effectively senior in right of payment to our 2019 Notes to the extent of the value of such assets.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2019 Notes are structurally subordinated to the indebtedness and other liabilities of our subsidiaries.</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2019 Notes are obligations exclusively of PennantPark Investment Corporation and not of any of our subsidiaries. None of our subsidiaries are or act as guarantors of our 2019 Notes. The 2019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2019 Notes.</w:t>
      </w:r>
    </w:p>
    <w:p>
      <w:pPr>
        <w:spacing w:after="0" w:line="115"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our 2019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2019 Notes are structurally subordinated to all indebtedness and other liabilities (including trade payables) of our subsidiaries and any subsidiaries that we may in the future acquire or establish as financing vehicles or otherwise. As of September 30, 2017 and 2016, our SBIC Funds had $300.0 million and $225.0 million in debt commitments, respectively, of which $199.0 million and $197.5 million was drawn. All of such indebtedness is structurally senior to our 2019 Notes. In addition, our subsidiaries may incur substantial additional indebtedness in the future, all of which would be structurally senior to our 2019 Notes.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under which our 2019 Notes were issued contains limited protection for their respective holders.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The indenture under which our 2019 Notes were issued offers limited protection to their respective holders. The terms of the indenture and our 2019 Notes do not restrict our or any of our subsidiaries’ ability to engage in, or otherwise be a party to, a variety of corporate transactions, circumstances or events that could have an adverse impact on an investment in our 2019 Notes. In particular, the terms of the indentures and our 2019 Notes do not place any restrictions on our or our subsidiaries’ ability to:</w:t>
      </w:r>
    </w:p>
    <w:p>
      <w:pPr>
        <w:spacing w:after="0" w:line="115" w:lineRule="exact"/>
        <w:rPr>
          <w:sz w:val="20"/>
          <w:szCs w:val="20"/>
          <w:color w:val="auto"/>
        </w:rPr>
      </w:pPr>
    </w:p>
    <w:p>
      <w:pPr>
        <w:ind w:left="920" w:right="60" w:hanging="359"/>
        <w:spacing w:after="0" w:line="248" w:lineRule="auto"/>
        <w:tabs>
          <w:tab w:leader="none" w:pos="9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our 2019 Notes, (2) any indebtedness or other obligations that would be secured and therefore rank effectively senior in right of payment to our 2019 Notes to the extent of the values of the assets securing such debt, (3) indebtedness of ours that is guaranteed by one or more of our subsidiaries and which therefore would rank structurally senior to our 2019 Notes and (4) securities, indebtedness or other obligations issued or incurred by our subsidiaries that would be senior in right of payment to our equity interests in our subsidiaries and therefore would rank structurally senior in right of payment to our 2019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12" w:lineRule="exact"/>
        <w:rPr>
          <w:rFonts w:ascii="Arial" w:cs="Arial" w:eastAsia="Arial" w:hAnsi="Arial"/>
          <w:sz w:val="13"/>
          <w:szCs w:val="13"/>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pay distributions on, or purchase or redeem or make any payments in respect of, capital stock or other securities ranking junior in right of payment to our 2019 Notes;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create restrictions on the payment of distributions or other amounts to us from our subsidiaries.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Furthermore, the terms of the indenture and our 2019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2"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our 2019 Notes may have important consequences for their holders, including making it more difficult for us to satisfy our obligations with respect to our 2019 Notes or negatively affecting their trading value.</w:t>
      </w:r>
    </w:p>
    <w:p>
      <w:pPr>
        <w:spacing w:after="0" w:line="106"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our 2019 Notes. In addition, other debt we issue or incur in the future could contain more protections for its holders than the indenture and our 2019 Notes, including additional covenants and events of default. The issuance or incurrence of any such debt with incremental protections could affect the market for and trading levels and prices of our 2019 Notes.</w:t>
      </w:r>
    </w:p>
    <w:p>
      <w:pPr>
        <w:spacing w:after="0" w:line="115"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An active trading market for our 2019 Notes may not develop, which could limit their market price or the ability of their respective holders to sell them. If a rating agency assigns our 2019 Notes a non-investment grade rating, they may be subject to greater price volatility than similar securities without such a rating.</w:t>
      </w:r>
    </w:p>
    <w:p>
      <w:pPr>
        <w:spacing w:after="0" w:line="9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We have not and do not intend to list the 2019 Notes on any securities exchange or for quotation on any automated dealer quotation system. We cannot provide any assurances that an active trading market will develop for the 2019 Notes or that their holders will be able to sell them. Our 2019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our 2019 Notes a non-investment grade rating, they may be subject to greater price volatility than securities of similar maturity without such a non-investment grade rating. We cannot assure holders of our 2019 Notes that a liquid trading market will develop for them, that holders will be able to sell their 2019 Notes at a particular time or that the price holders receive upon such sale will be favorable. To the extent an active trading market does not develop, the liquidity and trading price for our 2019 Notes may be harmed. Accordingly, holders of our 2019 Notes may be required to bear the financial risk for an indefinite period of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our 2019 Notes.</w:t>
      </w:r>
    </w:p>
    <w:p>
      <w:pPr>
        <w:spacing w:after="0" w:line="123"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our 2019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Payments made under our 2019 Notes to a foreign financial institution or non-financial foreign entity (including such an institution or entity acting as an intermediary) may be subject to a U.S. withholding tax of 30% under certain provisions of the Code (commonly known as “FATCA”). This withholding tax may apply to certain payments of interest as well as payments made upon maturity, redemption, or sale of our 2019 Notes, unless the foreign financial institution or non-financial foreign entity complies with certain information reporting, withholding, identification, certification and related requirements imposed by FATCA. Holders of our 2019 Notes should consult their own tax advisors regarding FATCA and how it may affect their investment in our 2019 Notes.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1" w:name="page32"/>
    <w:bookmarkEnd w:id="31"/>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2017,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5" w:right="41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PART II</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declared per share since October 1,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Premium /</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Premium /</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rPr>
              <w:t>Closing Sale Prices</w:t>
            </w:r>
          </w:p>
        </w:tc>
        <w:tc>
          <w:tcPr>
            <w:tcW w:w="240" w:type="dxa"/>
            <w:vAlign w:val="bottom"/>
            <w:vMerge w:val="restart"/>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(Discount)</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of High Sale</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of Low Sale</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5"/>
        </w:trPr>
        <w:tc>
          <w:tcPr>
            <w:tcW w:w="3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Fiscal Year Ended September 30, 2017</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9.10</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7.76</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7.35</w:t>
            </w:r>
          </w:p>
        </w:tc>
        <w:tc>
          <w:tcPr>
            <w:tcW w:w="2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1500" w:type="dxa"/>
            <w:vAlign w:val="bottom"/>
            <w:gridSpan w:val="3"/>
          </w:tcPr>
          <w:p>
            <w:pPr>
              <w:ind w:left="880"/>
              <w:spacing w:after="0"/>
              <w:rPr>
                <w:sz w:val="20"/>
                <w:szCs w:val="20"/>
                <w:color w:val="auto"/>
              </w:rPr>
            </w:pPr>
            <w:r>
              <w:rPr>
                <w:rFonts w:ascii="Arial" w:cs="Arial" w:eastAsia="Arial" w:hAnsi="Arial"/>
                <w:sz w:val="14"/>
                <w:szCs w:val="14"/>
                <w:color w:val="auto"/>
              </w:rPr>
              <w:t>(19)%  $</w:t>
            </w: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7.33</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7.71</w:t>
            </w:r>
          </w:p>
        </w:tc>
        <w:tc>
          <w:tcPr>
            <w:tcW w:w="2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7.08</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(12)</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b w:val="1"/>
                <w:bCs w:val="1"/>
                <w:color w:val="auto"/>
              </w:rPr>
              <w:t>Fiscal Year Ended September 30,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8.16</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6.88</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(10)</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6.10</w:t>
            </w:r>
          </w:p>
        </w:tc>
        <w:tc>
          <w:tcPr>
            <w:tcW w:w="2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(24)</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8.83</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6.43</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4.95</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(27)</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Arial" w:cs="Arial" w:eastAsia="Arial" w:hAnsi="Arial"/>
                <w:sz w:val="14"/>
                <w:szCs w:val="14"/>
                <w:color w:val="auto"/>
              </w:rPr>
              <w:t>First 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6.00</w:t>
            </w:r>
          </w:p>
        </w:tc>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(19)</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4" w:lineRule="exact"/>
        <w:rPr>
          <w:sz w:val="20"/>
          <w:szCs w:val="20"/>
          <w:color w:val="auto"/>
        </w:rPr>
      </w:pPr>
    </w:p>
    <w:p>
      <w:pPr>
        <w:ind w:left="380" w:right="260" w:hanging="372"/>
        <w:spacing w:after="0" w:line="230" w:lineRule="auto"/>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Calculated as of the respective high or low closing sale prices less NAV per share, divided by the quarter-end NAV per share.</w:t>
      </w:r>
    </w:p>
    <w:p>
      <w:pPr>
        <w:spacing w:after="0" w:line="12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$7.51 and $7.52 as of September 30, 2017 and 2016, respectively. Our NAV per share was $9.10 and $9.05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29, 2017, we had 12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under our share repurchase plan during the year ended September 30,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Distributions</w:t>
            </w:r>
          </w:p>
        </w:tc>
      </w:t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Record Dates</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Payment Dates</w:t>
            </w: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Declared</w:t>
            </w: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Fiscal Year Ended September 30, 2017</w:t>
            </w:r>
          </w:p>
        </w:tc>
        <w:tc>
          <w:tcPr>
            <w:tcW w:w="16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September 20, 2017</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October 2, 2017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June 21, 2017</w:t>
            </w:r>
          </w:p>
        </w:tc>
        <w:tc>
          <w:tcPr>
            <w:tcW w:w="18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July 3, 2017</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March 22, 2017</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April 3, 2017</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December 22, 2016</w:t>
            </w:r>
          </w:p>
        </w:tc>
        <w:tc>
          <w:tcPr>
            <w:tcW w:w="18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1"/>
              </w:rPr>
              <w:t>January 3, 2017</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CFF"/>
          </w:tcPr>
          <w:p>
            <w:pPr>
              <w:spacing w:after="0"/>
              <w:rPr>
                <w:sz w:val="14"/>
                <w:szCs w:val="14"/>
                <w:color w:val="auto"/>
              </w:rPr>
            </w:pPr>
          </w:p>
        </w:tc>
      </w:tr>
      <w:tr>
        <w:trPr>
          <w:trHeight w:val="195"/>
        </w:trPr>
        <w:tc>
          <w:tcPr>
            <w:tcW w:w="77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0.82</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Fiscal Year Ended September 30, 2016</w:t>
            </w:r>
          </w:p>
        </w:tc>
        <w:tc>
          <w:tcPr>
            <w:tcW w:w="16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September 21, 2016</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October 3, 2016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June 20, 2016</w:t>
            </w:r>
          </w:p>
        </w:tc>
        <w:tc>
          <w:tcPr>
            <w:tcW w:w="18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July 1, 2016</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March 18, 2016</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April 1, 2016</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December 24, 2015</w:t>
            </w:r>
          </w:p>
        </w:tc>
        <w:tc>
          <w:tcPr>
            <w:tcW w:w="18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1"/>
              </w:rPr>
              <w:t>January 4, 2016</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3"/>
                <w:szCs w:val="13"/>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2018,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2017 and 2016 from ordinary income totaled $58.3 million and $58.1 million, or $0.82 and $0.81 per share, respectively, based on weighted average shares outstanding for the respective periods.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4" w:name="page35"/>
    <w:bookmarkEnd w:id="34"/>
    <w:p>
      <w:pPr>
        <w:ind w:right="6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7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2012,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75565</wp:posOffset>
            </wp:positionV>
            <wp:extent cx="5083175" cy="3402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317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40"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Statements of Operations data, per share data, Consolidated Statements of Assets and Liabilities data and total return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For the years ended September 30,</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44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CFF"/>
            </w:tcBorders>
          </w:tcPr>
          <w:p>
            <w:pPr>
              <w:spacing w:after="0"/>
              <w:rPr>
                <w:sz w:val="13"/>
                <w:szCs w:val="13"/>
                <w:color w:val="auto"/>
              </w:rPr>
            </w:pPr>
          </w:p>
        </w:tc>
      </w:tr>
      <w:tr>
        <w:trPr>
          <w:trHeight w:val="155"/>
        </w:trPr>
        <w:tc>
          <w:tcPr>
            <w:tcW w:w="44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124,534</w:t>
            </w:r>
          </w:p>
        </w:tc>
        <w:tc>
          <w:tcPr>
            <w:tcW w:w="12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142,071</w:t>
            </w:r>
          </w:p>
        </w:tc>
        <w:tc>
          <w:tcPr>
            <w:tcW w:w="12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161,629</w:t>
            </w:r>
          </w:p>
        </w:tc>
        <w:tc>
          <w:tcPr>
            <w:tcW w:w="24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147,936</w:t>
            </w:r>
          </w:p>
        </w:tc>
        <w:tc>
          <w:tcPr>
            <w:tcW w:w="18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129,187</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68,096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71,456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79,371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62,189</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56,438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70,615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82,258</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71,329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66,998</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Net realized and unrealized gain (loss)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(51,878)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(92,504)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24,780</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61,712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18,737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(10,246)</w:t>
            </w: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110,983</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91,778</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9.82</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11.03</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10.49</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(2)</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(0.73)</w:t>
            </w: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(1.24)</w:t>
            </w: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0.60</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(0.14)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(2), (3)</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b w:val="1"/>
                <w:bCs w:val="1"/>
                <w:color w:val="auto"/>
              </w:rPr>
              <w:t>Consolidated Statement of Assets and Liabilities data:</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1,202,196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1,238,936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1,368,778</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1,411,827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1,153,327</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1,153,578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1,153,680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1,299,048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1,318,055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1,078,176</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(4)</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526,067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559,589</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602,865</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526,668</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363,900</w:t>
            </w: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Total net asset value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646,808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643,367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716,591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828,010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697,506</w:t>
            </w:r>
          </w:p>
        </w:tc>
        <w:tc>
          <w:tcPr>
            <w:tcW w:w="140" w:type="dxa"/>
            <w:vAlign w:val="bottom"/>
          </w:tcPr>
          <w:p>
            <w:pPr>
              <w:spacing w:after="0"/>
              <w:rPr>
                <w:sz w:val="14"/>
                <w:szCs w:val="14"/>
                <w:color w:val="auto"/>
              </w:rPr>
            </w:pP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(5)</w:t>
            </w: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36.64%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(32.51)%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17.37%</w:t>
            </w:r>
          </w:p>
        </w:tc>
      </w:tr>
      <w:tr>
        <w:trPr>
          <w:trHeight w:val="162"/>
        </w:trPr>
        <w:tc>
          <w:tcPr>
            <w:tcW w:w="44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(6)</w:t>
            </w: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CFF"/>
          </w:tcPr>
          <w:p>
            <w:pPr>
              <w:spacing w:after="0"/>
              <w:rPr>
                <w:sz w:val="14"/>
                <w:szCs w:val="14"/>
                <w:color w:val="auto"/>
              </w:rPr>
            </w:pPr>
          </w:p>
        </w:tc>
      </w:tr>
      <w:tr>
        <w:trPr>
          <w:trHeight w:val="182"/>
        </w:trPr>
        <w:tc>
          <w:tcPr>
            <w:tcW w:w="446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(6)</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Expenses before base management fee and incentive fee waivers were $73,743 and $77,996 for the years ended September 30, 2017 and 2016, respectively.</w:t>
      </w:r>
    </w:p>
    <w:p>
      <w:pPr>
        <w:ind w:left="38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380" w:right="30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At fair value, excluding our SBA debentures.</w:t>
      </w:r>
    </w:p>
    <w:p>
      <w:pPr>
        <w:ind w:left="38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2"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7" w:name="page38"/>
    <w:bookmarkEnd w:id="37"/>
    <w:p>
      <w:pPr>
        <w:ind w:right="620"/>
        <w:spacing w:after="0" w:line="253" w:lineRule="auto"/>
        <w:rPr>
          <w:sz w:val="20"/>
          <w:szCs w:val="20"/>
          <w:color w:val="auto"/>
        </w:rPr>
      </w:pPr>
      <w:r>
        <w:rPr>
          <w:rFonts w:ascii="Arial" w:cs="Arial" w:eastAsia="Arial" w:hAnsi="Arial"/>
          <w:sz w:val="14"/>
          <w:szCs w:val="14"/>
          <w:color w:val="auto"/>
        </w:rPr>
        <w:t>to continue to use our Credit Facility, SBA debentures, proceeds from the rotation of our portfolio and proceeds from public and private offerings of securities to finance our investment objectives.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02"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first lien secured debt, second lien secured debt or subordinated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market discount or premium and deferred financing cost on financing costs on liabilities, which we do not fair value, are capitalized and accreted or amortized using the effective interest method as interest income or, in the case of deferred financing cost,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1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2016, our portfolio totaled $1,153.7 million and consisted of $397.1 million of first lien secured debt, $425.4 million of second lien secured debt, $177.6 million of subordinated debt and $153.6 million of preferred and common equity. Our debt portfolio consisted of 78% variable-rate investments (including 72% with a LIBOR or prime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first lien secured debt, 37% in second lien secured debt, 15% in subordinated debt and 13% in preferred and common equity.</w:t>
      </w:r>
    </w:p>
    <w:p>
      <w:pPr>
        <w:spacing w:after="0" w:line="118"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the fiscal year ended September 30, 2017, we invested $508.3 million of investments in 18 new and 24 existing portfolio companies with a weighted average yield on debt investments of 10.5%. Sales and repayments of investments for the year ended September 30, 2017 totaled $544.0 million.</w:t>
      </w:r>
    </w:p>
    <w:p>
      <w:pPr>
        <w:spacing w:after="0" w:line="93" w:lineRule="exact"/>
        <w:rPr>
          <w:sz w:val="20"/>
          <w:szCs w:val="20"/>
          <w:color w:val="auto"/>
        </w:rPr>
      </w:pPr>
    </w:p>
    <w:p>
      <w:pPr>
        <w:ind w:right="640" w:firstLine="438"/>
        <w:spacing w:after="0" w:line="253" w:lineRule="auto"/>
        <w:rPr>
          <w:sz w:val="20"/>
          <w:szCs w:val="20"/>
          <w:color w:val="auto"/>
        </w:rPr>
      </w:pPr>
      <w:r>
        <w:rPr>
          <w:rFonts w:ascii="Arial" w:cs="Arial" w:eastAsia="Arial" w:hAnsi="Arial"/>
          <w:sz w:val="14"/>
          <w:szCs w:val="14"/>
          <w:color w:val="auto"/>
        </w:rPr>
        <w:t>For the fiscal year ended September 30, 2016, we invested $330.6 million of investments in four new and 25 existing portfolio companies with a weighted average yield on debt investments of 11.9%. Sales and repayments of investments for the year ended September 30, 2016 totaled $439.7 million.</w:t>
      </w:r>
    </w:p>
    <w:p>
      <w:pPr>
        <w:spacing w:after="0" w:line="10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For the fiscal year ended September 30, 2015, we invested $461.3 million of investments in 11 new and 30 existing portfolio companies with a weighted average yield on debt investments of 12.1%. Sales and repayments of investments for the year ended September 30, 2015 totaled $390.5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27"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8"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6" w:lineRule="exact"/>
        <w:rPr>
          <w:sz w:val="20"/>
          <w:szCs w:val="20"/>
          <w:color w:val="auto"/>
        </w:rPr>
      </w:pPr>
    </w:p>
    <w:p>
      <w:pPr>
        <w:ind w:left="920" w:right="20" w:hanging="372"/>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40" w:hanging="372"/>
        <w:spacing w:after="0" w:line="238"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6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9" w:name="page40"/>
    <w:bookmarkEnd w:id="39"/>
    <w:p>
      <w:pPr>
        <w:ind w:right="520"/>
        <w:spacing w:after="0" w:line="253" w:lineRule="auto"/>
        <w:rPr>
          <w:sz w:val="20"/>
          <w:szCs w:val="20"/>
          <w:color w:val="auto"/>
        </w:rPr>
      </w:pPr>
      <w:r>
        <w:rPr>
          <w:rFonts w:ascii="Arial" w:cs="Arial" w:eastAsia="Arial" w:hAnsi="Arial"/>
          <w:sz w:val="14"/>
          <w:szCs w:val="14"/>
          <w:color w:val="auto"/>
        </w:rPr>
        <w:t>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2"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the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$3.9 million, zero, and zero relating to debt issuance costs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the 2025 Notes are reported in our Consolidated Statements of Operations. We elected not to apply ASC 825-10 to any other financial assets or liabilities, including the SBA debentures. For the fiscal years ended September 30, 2017, 2016 and 2015, our Credit Facility, the 2019 Notes and the 2025 Notes had a net change in unrealized (appreciation) depreciation of $(7.6) million, $3.7 million and $1.7 million, respectively. As of September 30, 2017 and 2016, net unrealized (appreciation) depreciation on our Credit Facility, the 2019 Notes and the 2025 Notes totaled $(2.3) million and $5.2 million, respectively. We use a nationally recognized independent valuation service to fair value our Credit Facility and our 2019 Notes in a manner consistent with the valuation process that the board of directors uses to value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our Credit Facility, the 2019 Notes and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23"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98"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taxed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our results of operations for the fiscal years ended September 30, 2017, 2016 and 2015.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Investment income for the fiscal year ended September 30, 2017 was $124.5 million and was attributable to $54.4 million from first lien secured debt, $50.4 million from second lien secured debt, $17.3 million from subordinated debt and $2.4 million from preferred and common equity. The decrease in investment income over the prior year was primarily due to a reduction of our portfolio at cost.</w:t>
      </w:r>
    </w:p>
    <w:p>
      <w:pPr>
        <w:spacing w:after="0" w:line="102"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Investment income for the fiscal year ended September 30, 2016 was $142.1 million and was attributable to $59.9 million from first lien secured debt, $60.5 million from second lien secured debt, $20.9 million from subordinated debt and $0.8 million from preferred and common equity. The decrease in investment income over the prior year was primarily due to a reduction of our portfolio at cost.</w:t>
      </w:r>
    </w:p>
    <w:p>
      <w:pPr>
        <w:spacing w:after="0" w:line="115"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Investment income for the fiscal year ended September 30, 2015 was $161.6 million and was attributable to $54.3 million from first lien secured debt, $71.1 million from second lien secured debt, $29.8 million from subordinated debt and $6.4 million from preferred and common equity.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2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Net expenses for the fiscal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 $6.3 million and provision for taxes totaled $1.7 million. The decrease in expenses over the prior year was primarily due to lower incentive fees and general and administrative expenses.</w:t>
      </w:r>
    </w:p>
    <w:p>
      <w:pPr>
        <w:spacing w:after="0" w:line="11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Net expenses for the fiscal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 The decrease in expenses over the prior year was primarily due to the Management Fees waiver and a smaller portfolio size partially offset by higher taxes.</w:t>
      </w:r>
    </w:p>
    <w:p>
      <w:pPr>
        <w:spacing w:after="0" w:line="117"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Expenses for the fiscal year ended September 30, 2015 totaled $79.4 million. Base management fee for the same period totaled $26.7 million, incentive fee totaled $20.6 million, debt related interest and expenses totaled $26.4 million and general and administrative expenses totaled $5.7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Net investment income totaled $56.4 million or $0.79 per share, $70.6 million or $0.99 per share and $82.3 million or $1.10 per share for the fiscal years ended September 30, 2017, 2016 and 2015, respectively. The decrease in net investment income per share for fiscal year ended September 30, 2017 compared to the prior year was primarily due to the repayments of higher yielding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23"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2017, 2016 and 2015 totaled $544.0 million, $439.7 million and $390.5 million, respectively, and net realized (losses) gains totaled $(31.0) million, $(80.5) million and $30.1 million, respectively. The change in realized (losses) gains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the 2019 Notes and the 2025 Notes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Net unrealized appreciation (depreciation) on investments totaled $43.9 million, $24.9 million and $(124.3) million for the fiscal years ended September 30, 2017, 2016 and 2015, respectively. Net unrealized (appreciation) depreciation on our Credit Facility, the 2019 Notes and the 2025 Notes totaled $(7.6) million, $3.7 million and $1.7 million for the same periods, respectively. The net change in unrealized appreciation (depreciation) on our investments for fiscal year ended September 30, 2017 compared to the prior year was driven primarily by changes in the capital market conditions, financial performance of certain portfolio companies and the reversal of unrealized depreciation (appreciation) of investments that were realized. The change in unrealized (appreciation) depreciation on the Credit Facility, the 2019 Notes and the 2025 Notes for fiscal year ended September 30, 2017 compared to the prior year was due to the fluctuating interest rate environment.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$61.7 million or $0.87 per share, $18.7 million or $0.26 per share and $(10.2) million or $(0.14) per share for the fiscal years ended September 30, 2017, 2016 and 2015, respectively. The increase in the net change in net assets from operations for fiscal year ended September 30, 2017 compared to the prior year was primarily due to the change in portfolio investment values offset by lower net investment income.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7"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01"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As of September 30, 2017, we had a $445 million multi-currency Credit Facility with certain lenders and SunTrust Bank, acting as administrative agent, and JPMorgan Chase Bank, N.A., acting as syndication agent for the lenders. As of September 30, 2017 and 2016, there was $79.4 million and $50.3, respectively, in outstanding borrowings under the Credit Facility. The Credit Facility had a weighted average interest rate of 2.42% and 2.76%, respectively, exclusive of the fee on undrawn commitments, as of September 30, 2017 and 2016. The annualized weighted average cost of debt for the years ended September 30, 2017, 2016 and 2015, inclusive of the fee on the undrawn commitment of 0.375% on the Credit Facility and upfront fees on SBA debentures, was 5.04%, 4.35% and 4.54%, respectively. The Credit Facility is a five-year revolving facility with a stated maturity date of May 25, 2022, a one-year term-out period following its fourth year and pricing set at 225 basis points over LIBOR. As of September 30, 2017 and 2016, we had $365.6 million and $494.7 million of unused borrowing capacity under our Credit Facility, respectively, subject to regulatory restrictions. The Credit Facility is secured by substantially all of our assets excluding assets held by our SBIC Funds.</w:t>
      </w:r>
    </w:p>
    <w:p>
      <w:pPr>
        <w:spacing w:after="0" w:line="111"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For a complete list of covenants contained in the Credit Facility, see the Credit Facility agreement filed as Exhibit 10.1 on our Form 10-Q filed on August 7, 2017 and incorporated by reference herein. As of September 30, 2017, we were in compliance with the terms of our Credit Facility.</w:t>
      </w:r>
    </w:p>
    <w:p>
      <w:pPr>
        <w:spacing w:after="0" w:line="9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see our indenture agreement filed as Exhibit (d)(8) in our post-effective amendment filed on January 22, 2013, or the Base Indenture, and the supplemental indenture agreement filed as Exhibit (d)(11) to our post-effective amendment filed on September 23, 2014 for more information.</w:t>
      </w:r>
    </w:p>
    <w:p>
      <w:pPr>
        <w:spacing w:after="0" w:line="118"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2017.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1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0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May 6, 2015, we announced a share repurchase plan which allowed us to repurchase up to $35.0 million of our outstanding common stock in the open market at prices below our net asset value as reported in our then most recently published consolidated financial statements. The program expired on May 6, 2016. For the fiscal year ended September 30, 2017, we did not have a repurchase plan in place. For the fiscal years ended September 30, 2016 and 2015, we repurchased 1.9 million and 2.1 million shares of common stock in open market transactions for an aggregate cost (including transaction costs) of $12.2 and $17.9 million, respectively.</w:t>
      </w:r>
    </w:p>
    <w:p>
      <w:pPr>
        <w:spacing w:after="0" w:line="117"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$120.0 million as of September 30, 2017. We have funded SBIC II with $75.0 million of equity capital and it had SBA debentures outstanding of $79.0 million as of September 30, 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As of September 30, 2017 and 2016, our SBIC Funds had $300.0 million and $225.0 million in debt commitments, respectively, of which $199.0 million and $197.5 million was drawn, respectively. As of September 30, 2017 and 2016, the unamortized fees on the SBA debentures was $4.6 million and $4.3 million, respectively. The SBA debentures’ upfront fees of 3.43% consist of a commitment fee of 1.00% and an issuance discount of 2.43%, which are being amortized.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372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3"/>
                <w:szCs w:val="23"/>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3"/>
                <w:szCs w:val="23"/>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2017</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4.37%</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2016</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22, 2010</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2020</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3.50%</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29,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4.46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44,500,000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3.44%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1144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2017, our SBIC Funds were in compliance with their regulatory requirements.</w:t>
      </w:r>
    </w:p>
    <w:p>
      <w:pPr>
        <w:spacing w:after="0" w:line="10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September 30, 2017 and 2016,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7"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As of September 30, 2017 and 2016, we had cash and cash equivalents of $38.2 million and $75.6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Our operating activities provided cash of $69.2 million for the fiscal year ended September 30, 2017, and our financing activities used cash proceeds of $107.6 million for the same period.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Our operating activities provided cash primarily from sales and repayments on our investments and our financing activities used cash primarily to redeem our 2025 Notes.</w:t>
      </w:r>
    </w:p>
    <w:p>
      <w:pPr>
        <w:spacing w:after="0" w:line="111"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as of September 30, 2017, including borrowings under our various debt facilities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4"/>
                <w:szCs w:val="14"/>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528.4</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199.4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79.0</w:t>
            </w:r>
          </w:p>
        </w:tc>
        <w:tc>
          <w:tcPr>
            <w:tcW w:w="120" w:type="dxa"/>
            <w:vAlign w:val="bottom"/>
          </w:tcPr>
          <w:p>
            <w:pPr>
              <w:spacing w:after="0"/>
              <w:rPr>
                <w:sz w:val="13"/>
                <w:szCs w:val="13"/>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21.6</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20.1</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250.4</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219.5</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80.1</w:t>
            </w:r>
          </w:p>
        </w:tc>
        <w:tc>
          <w:tcPr>
            <w:tcW w:w="1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40" w:hanging="372"/>
        <w:spacing w:after="0" w:line="230"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2017, excluding debt issuance costs, was 5.04% exclusive of the fee on the undrawn commitment on the Credit Facility and 3.43% of upfront fees on SBA debentures.</w:t>
      </w: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114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1" w:lineRule="exact"/>
        <w:rPr>
          <w:sz w:val="20"/>
          <w:szCs w:val="20"/>
          <w:color w:val="auto"/>
        </w:rPr>
      </w:pPr>
    </w:p>
    <w:p>
      <w:pPr>
        <w:ind w:right="180" w:firstLine="438"/>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ind w:right="18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4"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0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During the fiscal years ended September 30, 2017, 2016 and 2015, we declared distributions of $0.82 per share, $1.12 per share and $1.12 per share, respectively, for total distributions of $58.3 million, $79.8 million and $83.3 million.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Effective January 1, 2018, PennantPark Investment Advisers, LLC has voluntarily and irrevocably agreed, in consultation with the board of directors, to (i) reduce base management fees to 1.50% of the Company’s “average adjusted gross assets”, (ii) reduce the incentive fee to 17.5% of the Company’s pre-incentive fee net investment income (subject to a 7.00% annualized “hurdle rate” and 100% “catch-up” with a ceiling of 8.4848%) and (iii) reduce the incentive fee to 17.5% of the Company’s cumulative net realized capital gains.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2017, our debt portfolio consisted of 82% variable-rate investments (including 13% where LIBOR was below the floor) and 18%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(5,802)</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6,776</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13,860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20,945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28,030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40" w:type="dxa"/>
            <w:vAlign w:val="bottom"/>
          </w:tcPr>
          <w:p>
            <w:pPr>
              <w:jc w:val="right"/>
              <w:ind w:right="3628"/>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317"/>
        </w:trPr>
        <w:tc>
          <w:tcPr>
            <w:tcW w:w="7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82"/>
        </w:trPr>
        <w:tc>
          <w:tcPr>
            <w:tcW w:w="850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Assets and Liabilities as of September 30,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Operations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Changes in Net Assets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Cash Flows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Schedules of Investments as of September 30,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662"/>
        </w:trPr>
        <w:tc>
          <w:tcPr>
            <w:tcW w:w="760" w:type="dxa"/>
            <w:vAlign w:val="bottom"/>
          </w:tcPr>
          <w:p>
            <w:pPr>
              <w:spacing w:after="0"/>
              <w:rPr>
                <w:sz w:val="24"/>
                <w:szCs w:val="24"/>
                <w:color w:val="auto"/>
              </w:rPr>
            </w:pPr>
          </w:p>
        </w:tc>
        <w:tc>
          <w:tcPr>
            <w:tcW w:w="7740" w:type="dxa"/>
            <w:vAlign w:val="bottom"/>
          </w:tcPr>
          <w:p>
            <w:pPr>
              <w:jc w:val="right"/>
              <w:ind w:right="2728"/>
              <w:spacing w:after="0"/>
              <w:rPr>
                <w:sz w:val="20"/>
                <w:szCs w:val="20"/>
                <w:color w:val="auto"/>
              </w:rPr>
            </w:pPr>
            <w:r>
              <w:rPr>
                <w:rFonts w:ascii="Arial" w:cs="Arial" w:eastAsia="Arial" w:hAnsi="Arial"/>
                <w:sz w:val="14"/>
                <w:szCs w:val="14"/>
                <w:color w:val="auto"/>
              </w:rPr>
              <w:t>44</w:t>
            </w:r>
          </w:p>
        </w:tc>
        <w:tc>
          <w:tcPr>
            <w:tcW w:w="2760" w:type="dxa"/>
            <w:vAlign w:val="bottom"/>
          </w:tcPr>
          <w:p>
            <w:pPr>
              <w:spacing w:after="0"/>
              <w:rPr>
                <w:sz w:val="24"/>
                <w:szCs w:val="24"/>
                <w:color w:val="auto"/>
              </w:rPr>
            </w:pPr>
          </w:p>
        </w:tc>
      </w:tr>
      <w:tr>
        <w:trPr>
          <w:trHeight w:val="100"/>
        </w:trPr>
        <w:tc>
          <w:tcPr>
            <w:tcW w:w="760" w:type="dxa"/>
            <w:vAlign w:val="bottom"/>
            <w:tcBorders>
              <w:bottom w:val="single" w:sz="8" w:color="9A9A9A"/>
            </w:tcBorders>
          </w:tcPr>
          <w:p>
            <w:pPr>
              <w:spacing w:after="0"/>
              <w:rPr>
                <w:sz w:val="8"/>
                <w:szCs w:val="8"/>
                <w:color w:val="auto"/>
              </w:rPr>
            </w:pPr>
          </w:p>
        </w:tc>
        <w:tc>
          <w:tcPr>
            <w:tcW w:w="77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5"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2017. Our internal control system is a process designed to provide reasonable assurance to our management and board of directors regarding the preparation and fair presentation of published financial statements.</w:t>
      </w:r>
    </w:p>
    <w:p>
      <w:pPr>
        <w:spacing w:after="0" w:line="10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2017.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2017, our internal control over financial reporting is effective based on those criteria.</w:t>
      </w:r>
    </w:p>
    <w:p>
      <w:pPr>
        <w:spacing w:after="0" w:line="115" w:lineRule="exact"/>
        <w:rPr>
          <w:sz w:val="20"/>
          <w:szCs w:val="20"/>
          <w:color w:val="auto"/>
        </w:rPr>
      </w:pPr>
    </w:p>
    <w:p>
      <w:pPr>
        <w:ind w:right="860" w:firstLine="438"/>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2017. This report appears on page 47.</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2017 and 2016, and the related consolidated statements of operations, changes in net assets and cash flows for each of the three years in the period ended September 30, 2017. These consolidated financial statements are the responsibility of the Company’s management. Our responsibility is to express an opinion on these consolidated financial statements based on our audits.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investments owned as of September 30, 2017, by correspondence with the custodian and/or portfolio companies. We believe that our audits provide a reasonable basis for our opinion.</w:t>
      </w:r>
    </w:p>
    <w:p>
      <w:pPr>
        <w:spacing w:after="0" w:line="103"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2017 and 2016, and the results of their operations, changes in net assets and their cash flows for each of the three years in the period then ended September 30, 2017, in conformity with U.S. generally accepted accounting principles.</w:t>
      </w:r>
    </w:p>
    <w:p>
      <w:pPr>
        <w:spacing w:after="0" w:line="115"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29, 2017, expressed an unqualified opinion on the effectiveness of the Company’s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29, 2017</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ind w:right="60" w:firstLine="438"/>
        <w:spacing w:after="0" w:line="255"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4"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firstLine="8"/>
        <w:spacing w:after="0" w:line="229" w:lineRule="auto"/>
        <w:tabs>
          <w:tab w:leader="none" w:pos="1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 xml:space="preserve">In our opinion, PennantPark Investment Corporation and its Subsidiaries maintained, in all material respects, effective internal control over financial reporting as of September 30, 2017,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Committee of Sponsoring Organizations of the Treadway Commission in 2013.</w:t>
      </w:r>
    </w:p>
    <w:p>
      <w:pPr>
        <w:spacing w:after="0" w:line="71" w:lineRule="exact"/>
        <w:rPr>
          <w:sz w:val="20"/>
          <w:szCs w:val="20"/>
          <w:color w:val="auto"/>
        </w:rPr>
      </w:pPr>
    </w:p>
    <w:p>
      <w:pPr>
        <w:jc w:val="both"/>
        <w:ind w:right="440" w:firstLine="438"/>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statements of assets and liabilities of PennantPark Investment Corporation and its Subsidiaries, including the schedules of investments as of September 30, 2017 and 2016 and the related consolidated statements of operations, changes in net assets and cash flows for each of the three years in the period ended September 30, 2017 and our report dated November 29, 2017 expressed an unqualified opinion.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29, 2017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2016</w:t>
            </w:r>
          </w:p>
        </w:tc>
      </w:tr>
      <w:tr>
        <w:trPr>
          <w:trHeight w:val="156"/>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(cost—$824,106,322 and $805,189,545, respectively)</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849,351,548</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813,467,491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(cost—$185,799,943 and $262,476,906, respectively)</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189,674,977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215,192,547</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(cost—$200,120,407 and $186,290,695, respectively)</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114,550,983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125,019,637</w:t>
            </w:r>
          </w:p>
        </w:tc>
        <w:tc>
          <w:tcPr>
            <w:tcW w:w="120" w:type="dxa"/>
            <w:vAlign w:val="bottom"/>
            <w:shd w:val="clear" w:color="auto" w:fill="CCECFF"/>
          </w:tcPr>
          <w:p>
            <w:pPr>
              <w:spacing w:after="0"/>
              <w:rPr>
                <w:sz w:val="14"/>
                <w:szCs w:val="14"/>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(cost—$1,210,026,672 and $1,253,957,146, respectively)</w:t>
            </w: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1,153,577,508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1,153,679,675</w:t>
            </w: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(cost—$38,182,373 and $75,617,133, respectively)</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5,906,976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7,032,858</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4,509,289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2,615,232</w:t>
            </w:r>
          </w:p>
        </w:tc>
        <w:tc>
          <w:tcPr>
            <w:tcW w:w="120" w:type="dxa"/>
            <w:vAlign w:val="bottom"/>
            <w:shd w:val="clear" w:color="auto" w:fill="CCECFF"/>
          </w:tcPr>
          <w:p>
            <w:pPr>
              <w:spacing w:after="0"/>
              <w:rPr>
                <w:sz w:val="14"/>
                <w:szCs w:val="14"/>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tcBorders>
              <w:bottom w:val="single" w:sz="8" w:color="CCECFF"/>
            </w:tcBorders>
          </w:tcPr>
          <w:p>
            <w:pPr>
              <w:spacing w:after="0"/>
              <w:rPr>
                <w:sz w:val="13"/>
                <w:szCs w:val="13"/>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12,790,950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19,897,034</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1,014,000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Credit Facility payable (cost—$79,392,900 and $50,339,700, respectively) (See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76,037,341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39,551,187</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2025 Notes payable (par—zero and $71,250,000, respectively) (See Notes 5 and 11)</w:t>
            </w:r>
          </w:p>
        </w:tc>
        <w:tc>
          <w:tcPr>
            <w:tcW w:w="100" w:type="dxa"/>
            <w:vAlign w:val="bottom"/>
          </w:tcPr>
          <w:p>
            <w:pPr>
              <w:spacing w:after="0"/>
              <w:rPr>
                <w:sz w:val="14"/>
                <w:szCs w:val="14"/>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72,618,000</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 payable, net (par—$199,000,000 and $197,500,000,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194,364,653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193,244,534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Base management fee payable, net (See Note 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4,845,237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5,074,830</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2,270,008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2,865,444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6,876,756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7,520,113</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1,523,425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622,880</w:t>
            </w:r>
          </w:p>
        </w:tc>
        <w:tc>
          <w:tcPr>
            <w:tcW w:w="120" w:type="dxa"/>
            <w:vAlign w:val="bottom"/>
            <w:shd w:val="clear" w:color="auto" w:fill="CCECFF"/>
          </w:tcPr>
          <w:p>
            <w:pPr>
              <w:spacing w:after="0"/>
              <w:rPr>
                <w:sz w:val="14"/>
                <w:szCs w:val="14"/>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555,387,370</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20" w:type="dxa"/>
            <w:vAlign w:val="bottom"/>
            <w:tcBorders>
              <w:bottom w:val="single" w:sz="8" w:color="CCECFF"/>
            </w:tcBorders>
          </w:tcPr>
          <w:p>
            <w:pPr>
              <w:spacing w:after="0"/>
              <w:rPr>
                <w:sz w:val="13"/>
                <w:szCs w:val="13"/>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8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71,060,836 shares issued and outstanding</w:t>
            </w: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8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818,737,784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819,983,676</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3,333,195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3,119,380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Accumulated net realized loss on investments</w:t>
            </w: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(116,598,355)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(84,771,820)</w:t>
            </w: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depreciation on investments</w:t>
            </w:r>
          </w:p>
        </w:tc>
        <w:tc>
          <w:tcPr>
            <w:tcW w:w="10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(56,425,773)</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(100,280,954)</w:t>
            </w: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Net unrealized (appreciation) depreciation on debt</w:t>
            </w:r>
          </w:p>
        </w:tc>
        <w:tc>
          <w:tcPr>
            <w:tcW w:w="10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(2,309,441)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5,245,513</w:t>
            </w:r>
          </w:p>
        </w:tc>
        <w:tc>
          <w:tcPr>
            <w:tcW w:w="120" w:type="dxa"/>
            <w:vAlign w:val="bottom"/>
          </w:tcPr>
          <w:p>
            <w:pPr>
              <w:spacing w:after="0"/>
              <w:rPr>
                <w:sz w:val="14"/>
                <w:szCs w:val="14"/>
                <w:color w:val="auto"/>
              </w:rPr>
            </w:pPr>
          </w:p>
        </w:tc>
      </w:tr>
      <w:tr>
        <w:trPr>
          <w:trHeight w:val="155"/>
        </w:trPr>
        <w:tc>
          <w:tcPr>
            <w:tcW w:w="782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646,808,471</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643,366,856</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tcBorders>
              <w:bottom w:val="single" w:sz="8" w:color="CCECFF"/>
            </w:tcBorders>
          </w:tcPr>
          <w:p>
            <w:pPr>
              <w:spacing w:after="0"/>
              <w:rPr>
                <w:sz w:val="17"/>
                <w:szCs w:val="17"/>
                <w:color w:val="auto"/>
              </w:rPr>
            </w:pPr>
          </w:p>
        </w:tc>
      </w:tr>
      <w:tr>
        <w:trPr>
          <w:trHeight w:val="143"/>
        </w:trPr>
        <w:tc>
          <w:tcPr>
            <w:tcW w:w="7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9.10</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9.05</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CFF"/>
            </w:tcBorders>
          </w:tcPr>
          <w:p>
            <w:pPr>
              <w:spacing w:after="0"/>
              <w:rPr>
                <w:sz w:val="13"/>
                <w:szCs w:val="13"/>
                <w:color w:val="auto"/>
              </w:rPr>
            </w:pPr>
          </w:p>
        </w:tc>
      </w:tr>
      <w:tr>
        <w:trPr>
          <w:trHeight w:val="155"/>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96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84,685,961</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103,659,182</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122,111,273</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3,819,996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848,834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8,536,315</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7,079,034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10,945,240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9,644,816</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10,339,444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12,374,621</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10,045,955</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5,475,491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680,746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1,648,570</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1,609,935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80,521</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175,937</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734,163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731,381</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959,810</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10,790,300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12,750,302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4,406,615</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4,100,000</w:t>
            </w:r>
          </w:p>
        </w:tc>
        <w:tc>
          <w:tcPr>
            <w:tcW w:w="120" w:type="dxa"/>
            <w:vAlign w:val="bottom"/>
            <w:shd w:val="clear" w:color="auto" w:fill="CCECFF"/>
          </w:tcPr>
          <w:p>
            <w:pPr>
              <w:spacing w:after="0"/>
              <w:rPr>
                <w:sz w:val="14"/>
                <w:szCs w:val="14"/>
                <w:color w:val="auto"/>
              </w:rPr>
            </w:pPr>
          </w:p>
        </w:tc>
      </w:tr>
      <w:tr>
        <w:trPr>
          <w:trHeight w:val="155"/>
        </w:trPr>
        <w:tc>
          <w:tcPr>
            <w:tcW w:w="61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68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124,534,324</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142,070,827</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161,629,291</w:t>
            </w:r>
          </w:p>
        </w:tc>
        <w:tc>
          <w:tcPr>
            <w:tcW w:w="120" w:type="dxa"/>
            <w:vAlign w:val="bottom"/>
            <w:tcBorders>
              <w:bottom w:val="single" w:sz="8" w:color="CCECFF"/>
            </w:tcBorders>
          </w:tcPr>
          <w:p>
            <w:pPr>
              <w:spacing w:after="0"/>
              <w:rPr>
                <w:sz w:val="13"/>
                <w:szCs w:val="13"/>
                <w:color w:val="auto"/>
              </w:rPr>
            </w:pPr>
          </w:p>
        </w:tc>
      </w:tr>
      <w:tr>
        <w:trPr>
          <w:trHeight w:val="156"/>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24,218,029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24,852,898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26,695,653</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11,077,956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16,018,790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20,564,559</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26,642,113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27,601,242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26,355,081</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3,576,000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3,566,667</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2,686,765</w:t>
            </w: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6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2,662,640</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3,605,923</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3,069,144</w:t>
            </w:r>
          </w:p>
        </w:tc>
        <w:tc>
          <w:tcPr>
            <w:tcW w:w="120" w:type="dxa"/>
            <w:vAlign w:val="bottom"/>
            <w:tcBorders>
              <w:bottom w:val="single" w:sz="8" w:color="CCECFF"/>
            </w:tcBorders>
          </w:tcPr>
          <w:p>
            <w:pPr>
              <w:spacing w:after="0"/>
              <w:rPr>
                <w:sz w:val="14"/>
                <w:szCs w:val="14"/>
                <w:color w:val="auto"/>
              </w:rPr>
            </w:pPr>
          </w:p>
        </w:tc>
      </w:tr>
      <w:tr>
        <w:trPr>
          <w:trHeight w:val="155"/>
        </w:trPr>
        <w:tc>
          <w:tcPr>
            <w:tcW w:w="61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68,176,738</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75,645,520</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79,371,202</w:t>
            </w:r>
          </w:p>
        </w:tc>
        <w:tc>
          <w:tcPr>
            <w:tcW w:w="120" w:type="dxa"/>
            <w:vAlign w:val="bottom"/>
            <w:shd w:val="clear" w:color="auto" w:fill="CCECFF"/>
          </w:tcPr>
          <w:p>
            <w:pPr>
              <w:spacing w:after="0"/>
              <w:rPr>
                <w:sz w:val="13"/>
                <w:szCs w:val="13"/>
                <w:color w:val="auto"/>
              </w:rPr>
            </w:pPr>
          </w:p>
        </w:tc>
      </w:tr>
      <w:tr>
        <w:trPr>
          <w:trHeight w:val="156"/>
        </w:trPr>
        <w:tc>
          <w:tcPr>
            <w:tcW w:w="612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(5,647,358)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(6,539,475)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Credit Facility amendment costs (See Notes 5 and 11)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3,866,633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68,096,013</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71,456,045</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79,371,202</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61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56,438,311</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70,614,782</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82,258,089</w:t>
            </w:r>
          </w:p>
        </w:tc>
        <w:tc>
          <w:tcPr>
            <w:tcW w:w="120" w:type="dxa"/>
            <w:vAlign w:val="bottom"/>
            <w:tcBorders>
              <w:bottom w:val="single" w:sz="8" w:color="CCECFF"/>
            </w:tcBorders>
          </w:tcPr>
          <w:p>
            <w:pPr>
              <w:spacing w:after="0"/>
              <w:rPr>
                <w:sz w:val="13"/>
                <w:szCs w:val="13"/>
                <w:color w:val="auto"/>
              </w:rPr>
            </w:pPr>
          </w:p>
        </w:tc>
      </w:tr>
      <w:tr>
        <w:trPr>
          <w:trHeight w:val="156"/>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(31,027,037)</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(80,530,707)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30,111,694</w:t>
            </w:r>
          </w:p>
        </w:tc>
        <w:tc>
          <w:tcPr>
            <w:tcW w:w="120" w:type="dxa"/>
            <w:vAlign w:val="bottom"/>
          </w:tcPr>
          <w:p>
            <w:pPr>
              <w:spacing w:after="0"/>
              <w:rPr>
                <w:sz w:val="14"/>
                <w:szCs w:val="14"/>
                <w:color w:val="auto"/>
              </w:rPr>
            </w:pPr>
          </w:p>
        </w:tc>
      </w:tr>
      <w:tr>
        <w:trPr>
          <w:trHeight w:val="162"/>
        </w:trPr>
        <w:tc>
          <w:tcPr>
            <w:tcW w:w="612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16,950,900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48,052,466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(113,376,060)</w:t>
            </w: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26,904,281</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(23,126,408)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(10,949,885)</w:t>
            </w: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Notes 5 and 11)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(7,554,954)</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3,726,573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1,710,510</w:t>
            </w:r>
          </w:p>
        </w:tc>
        <w:tc>
          <w:tcPr>
            <w:tcW w:w="120" w:type="dxa"/>
            <w:vAlign w:val="bottom"/>
          </w:tcPr>
          <w:p>
            <w:pPr>
              <w:spacing w:after="0"/>
              <w:rPr>
                <w:sz w:val="14"/>
                <w:szCs w:val="14"/>
                <w:color w:val="auto"/>
              </w:rPr>
            </w:pPr>
          </w:p>
        </w:tc>
      </w:tr>
      <w:tr>
        <w:trPr>
          <w:trHeight w:val="155"/>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36,300,227</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28,652,631</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(122,615,435)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61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5,273,190</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(51,878,076)</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(92,503,741)</w:t>
            </w:r>
          </w:p>
        </w:tc>
        <w:tc>
          <w:tcPr>
            <w:tcW w:w="120" w:type="dxa"/>
            <w:vAlign w:val="bottom"/>
            <w:tcBorders>
              <w:bottom w:val="single" w:sz="8" w:color="CCECFF"/>
            </w:tcBorders>
          </w:tcPr>
          <w:p>
            <w:pPr>
              <w:spacing w:after="0"/>
              <w:rPr>
                <w:sz w:val="13"/>
                <w:szCs w:val="13"/>
                <w:color w:val="auto"/>
              </w:rPr>
            </w:pPr>
          </w:p>
        </w:tc>
      </w:tr>
      <w:tr>
        <w:trPr>
          <w:trHeight w:val="156"/>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18,736,706</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(10,245,652)</w:t>
            </w:r>
          </w:p>
        </w:tc>
        <w:tc>
          <w:tcPr>
            <w:tcW w:w="120" w:type="dxa"/>
            <w:vAlign w:val="bottom"/>
            <w:shd w:val="clear" w:color="auto" w:fill="CCECFF"/>
          </w:tcPr>
          <w:p>
            <w:pPr>
              <w:spacing w:after="0"/>
              <w:rPr>
                <w:sz w:val="13"/>
                <w:szCs w:val="13"/>
                <w:color w:val="auto"/>
              </w:rPr>
            </w:pPr>
          </w:p>
        </w:tc>
      </w:tr>
      <w:tr>
        <w:trPr>
          <w:trHeight w:val="195"/>
        </w:trPr>
        <w:tc>
          <w:tcPr>
            <w:tcW w:w="61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68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0.87</w:t>
            </w:r>
          </w:p>
        </w:tc>
        <w:tc>
          <w:tcPr>
            <w:tcW w:w="26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22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(0.14)</w:t>
            </w:r>
          </w:p>
        </w:tc>
        <w:tc>
          <w:tcPr>
            <w:tcW w:w="120" w:type="dxa"/>
            <w:vAlign w:val="bottom"/>
            <w:tcBorders>
              <w:bottom w:val="single" w:sz="8" w:color="CCECFF"/>
            </w:tcBorders>
          </w:tcPr>
          <w:p>
            <w:pPr>
              <w:spacing w:after="0"/>
              <w:rPr>
                <w:sz w:val="17"/>
                <w:szCs w:val="17"/>
                <w:color w:val="auto"/>
              </w:rPr>
            </w:pPr>
          </w:p>
        </w:tc>
      </w:tr>
      <w:tr>
        <w:trPr>
          <w:trHeight w:val="143"/>
        </w:trPr>
        <w:tc>
          <w:tcPr>
            <w:tcW w:w="61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0.79</w:t>
            </w:r>
          </w:p>
        </w:tc>
        <w:tc>
          <w:tcPr>
            <w:tcW w:w="26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0.99</w:t>
            </w:r>
          </w:p>
        </w:tc>
        <w:tc>
          <w:tcPr>
            <w:tcW w:w="22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CECFF"/>
            </w:tcBorders>
          </w:tcPr>
          <w:p>
            <w:pPr>
              <w:spacing w:after="0"/>
              <w:rPr>
                <w:sz w:val="13"/>
                <w:szCs w:val="13"/>
                <w:color w:val="auto"/>
              </w:rPr>
            </w:pPr>
          </w:p>
        </w:tc>
        <w:tc>
          <w:tcPr>
            <w:tcW w:w="64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6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56,438,311</w:t>
            </w:r>
          </w:p>
        </w:tc>
        <w:tc>
          <w:tcPr>
            <w:tcW w:w="100" w:type="dxa"/>
            <w:vAlign w:val="bottom"/>
          </w:tcPr>
          <w:p>
            <w:pPr>
              <w:spacing w:after="0"/>
              <w:rPr>
                <w:sz w:val="14"/>
                <w:szCs w:val="14"/>
                <w:color w:val="auto"/>
              </w:rPr>
            </w:pPr>
          </w:p>
        </w:tc>
        <w:tc>
          <w:tcPr>
            <w:tcW w:w="5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70,614,782</w:t>
            </w:r>
          </w:p>
        </w:tc>
        <w:tc>
          <w:tcPr>
            <w:tcW w:w="180" w:type="dxa"/>
            <w:vAlign w:val="bottom"/>
          </w:tcPr>
          <w:p>
            <w:pPr>
              <w:spacing w:after="0"/>
              <w:rPr>
                <w:sz w:val="14"/>
                <w:szCs w:val="14"/>
                <w:color w:val="auto"/>
              </w:rPr>
            </w:pPr>
          </w:p>
        </w:tc>
        <w:tc>
          <w:tcPr>
            <w:tcW w:w="42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82,258,089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6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(31,027,037)</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(80,530,707)</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30,111,694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43,855,181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24,926,058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(124,325,945)</w:t>
            </w:r>
          </w:p>
        </w:tc>
        <w:tc>
          <w:tcPr>
            <w:tcW w:w="0" w:type="dxa"/>
            <w:vAlign w:val="bottom"/>
          </w:tcPr>
          <w:p>
            <w:pPr>
              <w:spacing w:after="0"/>
              <w:rPr>
                <w:sz w:val="1"/>
                <w:szCs w:val="1"/>
                <w:color w:val="auto"/>
              </w:rPr>
            </w:pPr>
          </w:p>
        </w:tc>
      </w:tr>
      <w:tr>
        <w:trPr>
          <w:trHeight w:val="162"/>
        </w:trPr>
        <w:tc>
          <w:tcPr>
            <w:tcW w:w="54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6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(7,554,954)</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3,726,573</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1,710,510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64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61,711,501</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(10,245,652)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6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(58,269,886)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(58,068,894)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(83,275,238)</w:t>
            </w:r>
          </w:p>
        </w:tc>
        <w:tc>
          <w:tcPr>
            <w:tcW w:w="0" w:type="dxa"/>
            <w:vAlign w:val="bottom"/>
          </w:tcPr>
          <w:p>
            <w:pPr>
              <w:spacing w:after="0"/>
              <w:rPr>
                <w:sz w:val="1"/>
                <w:szCs w:val="1"/>
                <w:color w:val="auto"/>
              </w:rPr>
            </w:pPr>
          </w:p>
        </w:tc>
      </w:tr>
      <w:tr>
        <w:trPr>
          <w:trHeight w:val="162"/>
        </w:trPr>
        <w:tc>
          <w:tcPr>
            <w:tcW w:w="54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6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(21,711,007)</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4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64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(58,269,886)</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(79,779,901)</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(83,275,238)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6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260"/>
              <w:spacing w:after="0"/>
              <w:rPr>
                <w:sz w:val="20"/>
                <w:szCs w:val="20"/>
                <w:color w:val="auto"/>
              </w:rPr>
            </w:pPr>
            <w:r>
              <w:rPr>
                <w:rFonts w:ascii="Arial" w:cs="Arial" w:eastAsia="Arial" w:hAnsi="Arial"/>
                <w:sz w:val="14"/>
                <w:szCs w:val="14"/>
                <w:color w:val="auto"/>
              </w:rPr>
              <w:t>Repurchase of common stock</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(12,180,491)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(17,898,517)</w:t>
            </w:r>
          </w:p>
        </w:tc>
        <w:tc>
          <w:tcPr>
            <w:tcW w:w="0" w:type="dxa"/>
            <w:vAlign w:val="bottom"/>
          </w:tcPr>
          <w:p>
            <w:pPr>
              <w:spacing w:after="0"/>
              <w:rPr>
                <w:sz w:val="1"/>
                <w:szCs w:val="1"/>
                <w:color w:val="auto"/>
              </w:rPr>
            </w:pPr>
          </w:p>
        </w:tc>
      </w:tr>
      <w:tr>
        <w:trPr>
          <w:trHeight w:val="156"/>
        </w:trPr>
        <w:tc>
          <w:tcPr>
            <w:tcW w:w="54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64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3,441,615</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(73,223,686)</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(111,419,407)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64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643,366,856</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716,590,542</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828,009,949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End of year</w:t>
            </w:r>
          </w:p>
        </w:tc>
        <w:tc>
          <w:tcPr>
            <w:tcW w:w="64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646,808,471</w:t>
            </w:r>
          </w:p>
        </w:tc>
        <w:tc>
          <w:tcPr>
            <w:tcW w:w="1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643,366,856</w:t>
            </w:r>
          </w:p>
        </w:tc>
        <w:tc>
          <w:tcPr>
            <w:tcW w:w="18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716,590,542</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6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Undistributed (distributions in excess of) net investment income, at end of year</w:t>
            </w:r>
          </w:p>
        </w:tc>
        <w:tc>
          <w:tcPr>
            <w:tcW w:w="64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3,333,195</w:t>
            </w:r>
          </w:p>
        </w:tc>
        <w:tc>
          <w:tcPr>
            <w:tcW w:w="1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3,119,380</w:t>
            </w:r>
          </w:p>
        </w:tc>
        <w:tc>
          <w:tcPr>
            <w:tcW w:w="1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(13,424,886)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6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(1,905,207)</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(2,126,868)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CFF"/>
            </w:tcBorders>
          </w:tcPr>
          <w:p>
            <w:pPr>
              <w:spacing w:after="0" w:line="20" w:lineRule="exact"/>
              <w:rPr>
                <w:sz w:val="1"/>
                <w:szCs w:val="1"/>
                <w:color w:val="auto"/>
              </w:rPr>
            </w:pPr>
          </w:p>
        </w:tc>
        <w:tc>
          <w:tcPr>
            <w:tcW w:w="64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CECFF"/>
            </w:tcBorders>
          </w:tcPr>
          <w:p>
            <w:pPr>
              <w:spacing w:after="0"/>
              <w:rPr>
                <w:sz w:val="13"/>
                <w:szCs w:val="13"/>
                <w:color w:val="auto"/>
              </w:rPr>
            </w:pPr>
          </w:p>
        </w:tc>
        <w:tc>
          <w:tcPr>
            <w:tcW w:w="7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7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10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61,711,501</w:t>
            </w:r>
          </w:p>
        </w:tc>
        <w:tc>
          <w:tcPr>
            <w:tcW w:w="100" w:type="dxa"/>
            <w:vAlign w:val="bottom"/>
          </w:tcPr>
          <w:p>
            <w:pPr>
              <w:spacing w:after="0"/>
              <w:rPr>
                <w:sz w:val="14"/>
                <w:szCs w:val="14"/>
                <w:color w:val="auto"/>
              </w:rPr>
            </w:pP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18,736,706</w:t>
            </w:r>
          </w:p>
        </w:tc>
        <w:tc>
          <w:tcPr>
            <w:tcW w:w="26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(10,245,652)</w:t>
            </w:r>
          </w:p>
        </w:tc>
        <w:tc>
          <w:tcPr>
            <w:tcW w:w="0" w:type="dxa"/>
            <w:vAlign w:val="bottom"/>
          </w:tcPr>
          <w:p>
            <w:pPr>
              <w:spacing w:after="0"/>
              <w:rPr>
                <w:sz w:val="1"/>
                <w:szCs w:val="1"/>
                <w:color w:val="auto"/>
              </w:rPr>
            </w:pPr>
          </w:p>
        </w:tc>
      </w:tr>
      <w:tr>
        <w:trPr>
          <w:trHeight w:val="143"/>
        </w:trPr>
        <w:tc>
          <w:tcPr>
            <w:tcW w:w="56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7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operating activities:</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on investments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(43,855,181)</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(24,926,058)</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124,325,945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7,554,954</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(3,726,573)</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(1,710,510)</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Net realized loss on investments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31,027,037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80,530,707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(30,111,694)</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(2,514,784)</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(5,251,804)</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(6,341,502)</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(508,261,736)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(330,552,035)</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(461,293,170)</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(21,200,913)</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(15,123,817)</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(13,869,582)</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543,975,791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439,738,846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390,474,733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1,133,994</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626,452</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554,756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Decrease in interest receivable</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1,125,882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557,339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6,113,328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prepaid expenses and other assets</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(1,894,057)</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6,175,712</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474,481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Increase (decrease) in payable for investments purchased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(3,591,177)</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(841,323)</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interest payable on debt</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(643,357)</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(118,401)</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5,676,250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(229,593)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(1,527,199)</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(595,436)</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(2,142,348)</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385,038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Increase (decrease) in accrued other expenses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900,545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(1,699,487)</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(791,316)</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7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69,248,647</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157,706,863</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3,016,708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(12,180,491)</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(17,898,517)</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(65,375,968)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(80,313,359)</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(83,870,760)</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SBA debentures</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47,500,000</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(30,000,000)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2025 Notes</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(71,250,000)</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(1,513,875)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(1,151,875)</w:t>
            </w:r>
          </w:p>
        </w:tc>
        <w:tc>
          <w:tcPr>
            <w:tcW w:w="3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Credit Facility</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363,760,000</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413,664,923</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644,000,000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0"/>
              <w:spacing w:after="0"/>
              <w:rPr>
                <w:sz w:val="20"/>
                <w:szCs w:val="20"/>
                <w:color w:val="auto"/>
              </w:rPr>
            </w:pPr>
            <w:r>
              <w:rPr>
                <w:rFonts w:ascii="Arial" w:cs="Arial" w:eastAsia="Arial" w:hAnsi="Arial"/>
                <w:sz w:val="14"/>
                <w:szCs w:val="14"/>
                <w:color w:val="auto"/>
              </w:rPr>
              <w:t>Repayments under Credit Facility</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(334,706,800)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(500,189,523)</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(562,362,000)</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financing activities</w:t>
            </w:r>
          </w:p>
        </w:tc>
        <w:tc>
          <w:tcPr>
            <w:tcW w:w="7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(107,586,643)</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(132,670,325)</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(20,131,277)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(38,337,996)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25,036,538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(17,114,569)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7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931,951</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952,319</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7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75,608,113</w:t>
            </w:r>
          </w:p>
        </w:tc>
        <w:tc>
          <w:tcPr>
            <w:tcW w:w="10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49,619,256</w:t>
            </w:r>
          </w:p>
        </w:tc>
        <w:tc>
          <w:tcPr>
            <w:tcW w:w="26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66,518,682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70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38,202,068</w:t>
            </w:r>
          </w:p>
        </w:tc>
        <w:tc>
          <w:tcPr>
            <w:tcW w:w="1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75,608,113</w:t>
            </w:r>
          </w:p>
        </w:tc>
        <w:tc>
          <w:tcPr>
            <w:tcW w:w="26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49,619,256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100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26,151,475</w:t>
            </w:r>
          </w:p>
        </w:tc>
        <w:tc>
          <w:tcPr>
            <w:tcW w:w="1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27,093,191</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20,124,075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CFF"/>
              <w:bottom w:val="single" w:sz="8" w:color="CCECFF"/>
            </w:tcBorders>
            <w:vMerge w:val="restart"/>
          </w:tcPr>
          <w:p>
            <w:pPr>
              <w:ind w:left="260"/>
              <w:spacing w:after="0"/>
              <w:rPr>
                <w:sz w:val="20"/>
                <w:szCs w:val="20"/>
                <w:color w:val="auto"/>
              </w:rPr>
            </w:pPr>
            <w:r>
              <w:rPr>
                <w:rFonts w:ascii="Arial" w:cs="Arial" w:eastAsia="Arial" w:hAnsi="Arial"/>
                <w:sz w:val="14"/>
                <w:szCs w:val="14"/>
                <w:color w:val="auto"/>
              </w:rPr>
              <w:t>Taxes paid</w:t>
            </w:r>
          </w:p>
        </w:tc>
        <w:tc>
          <w:tcPr>
            <w:tcW w:w="7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CCECFF"/>
            </w:tcBorders>
            <w:vMerge w:val="continue"/>
          </w:tcPr>
          <w:p>
            <w:pPr>
              <w:spacing w:after="0"/>
              <w:rPr>
                <w:sz w:val="15"/>
                <w:szCs w:val="15"/>
                <w:color w:val="auto"/>
              </w:rPr>
            </w:pPr>
          </w:p>
        </w:tc>
        <w:tc>
          <w:tcPr>
            <w:tcW w:w="700" w:type="dxa"/>
            <w:vAlign w:val="bottom"/>
            <w:tcBorders>
              <w:bottom w:val="single" w:sz="8" w:color="CCECFF"/>
            </w:tcBorders>
          </w:tcPr>
          <w:p>
            <w:pPr>
              <w:spacing w:after="0"/>
              <w:rPr>
                <w:sz w:val="15"/>
                <w:szCs w:val="15"/>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1,267,064</w:t>
            </w:r>
          </w:p>
        </w:tc>
        <w:tc>
          <w:tcPr>
            <w:tcW w:w="10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2,549,392</w:t>
            </w:r>
          </w:p>
        </w:tc>
        <w:tc>
          <w:tcPr>
            <w:tcW w:w="260" w:type="dxa"/>
            <w:vAlign w:val="bottom"/>
            <w:tcBorders>
              <w:bottom w:val="single" w:sz="8" w:color="CCEC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61,748</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70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93,152,647</w:t>
            </w:r>
          </w:p>
        </w:tc>
        <w:tc>
          <w:tcPr>
            <w:tcW w:w="1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62,949,729</w:t>
            </w:r>
          </w:p>
        </w:tc>
        <w:tc>
          <w:tcPr>
            <w:tcW w:w="2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39,765,183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Companies—131.3%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Debt—52.8%</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7,362,571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8.32%</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19,557,525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19,551,000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8.83%</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19,573,919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19,773,923</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8,723,735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8,593,867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23,538,688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22,997,008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23,538,687</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9,814,043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19,605,736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22,010,693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22,219,312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9,806,795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24,470,390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24,323,542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24,470,390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13,836,409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14,083,875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14,290,133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14,111,098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15,953,520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14,184,265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14,820,000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17,155,691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30,150,294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31,228,529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35,821,926</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24,797,823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24,446,831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24,673,834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16,890,936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27,246,877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22,817,525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8,135,859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339,371,046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341,489,005</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Debt—60.3%</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38,164,636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39,576,000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28,288,480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9.58%</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34,790,399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34,790,000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41,491,290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41,220,000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10.58%</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20,011,940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19,992,000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334,401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33,633,877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33,900,000</w:t>
            </w:r>
          </w:p>
        </w:tc>
        <w:tc>
          <w:tcPr>
            <w:tcW w:w="100" w:type="dxa"/>
            <w:vAlign w:val="bottom"/>
          </w:tcPr>
          <w:p>
            <w:pPr>
              <w:spacing w:after="0"/>
              <w:rPr>
                <w:sz w:val="12"/>
                <w:szCs w:val="12"/>
                <w:color w:val="auto"/>
              </w:rPr>
            </w:pP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(f/k/a Harbortouch Payments, LLC)</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26,004,601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13.24%</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83,295,634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62,291,419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18,351,647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18,646,031</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379,862,690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390,026,431</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32,158,389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31,940,353</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11,151,903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10,939,903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11,151,903</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L+1,600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9,112,485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13,280,807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12,225,783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13,055,456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69,434,555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68,618,039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327,380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2,552,034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1,537,236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5,586,012</w:t>
            </w:r>
          </w:p>
        </w:tc>
        <w:tc>
          <w:tcPr>
            <w:tcW w:w="100" w:type="dxa"/>
            <w:vAlign w:val="bottom"/>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Interests/Warrants—6.7% </w:t>
            </w:r>
            <w:r>
              <w:rPr>
                <w:rFonts w:ascii="Arial" w:cs="Arial" w:eastAsia="Arial" w:hAnsi="Arial"/>
                <w:sz w:val="9"/>
                <w:szCs w:val="9"/>
                <w:b w:val="1"/>
                <w:bCs w:val="1"/>
                <w:color w:val="auto"/>
                <w:w w:val="93"/>
              </w:rPr>
              <w:t>(6)</w:t>
            </w:r>
          </w:p>
        </w:tc>
        <w:tc>
          <w:tcPr>
            <w:tcW w:w="880" w:type="dxa"/>
            <w:vAlign w:val="bottom"/>
            <w:tcBorders>
              <w:top w:val="single" w:sz="8" w:color="auto"/>
            </w:tcBorders>
            <w:shd w:val="clear" w:color="auto" w:fill="CCECFF"/>
          </w:tcPr>
          <w:p>
            <w:pPr>
              <w:spacing w:after="0"/>
              <w:rPr>
                <w:sz w:val="12"/>
                <w:szCs w:val="12"/>
                <w:color w:val="auto"/>
              </w:rPr>
            </w:pPr>
          </w:p>
        </w:tc>
        <w:tc>
          <w:tcPr>
            <w:tcW w:w="25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1,752,663</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3,688,211</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2,438,193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3,928,695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4,612,054</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767,569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HW Holdco,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2,700,680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1,934,243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2,197,752</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844,247</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803,665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9,786,996</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136,195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Roto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2,036,830</w:t>
            </w: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30,703,860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43,632,061</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824,106,322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849,351,548</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Companies—29.3% </w:t>
            </w:r>
            <w:r>
              <w:rPr>
                <w:rFonts w:ascii="Arial" w:cs="Arial" w:eastAsia="Arial" w:hAnsi="Arial"/>
                <w:sz w:val="9"/>
                <w:szCs w:val="9"/>
                <w:b w:val="1"/>
                <w:bCs w:val="1"/>
                <w:color w:val="auto"/>
                <w:w w:val="91"/>
              </w:rPr>
              <w:t>(1), (2)</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Debt—9.8%</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3,168,502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3,583,262</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10.99%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22,280,645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22,480,385</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8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21,202,411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21,136,798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21,202,411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9,566,510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12.24%)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1,478,151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1,478,151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1,478,151</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714,270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62,630,606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63,388,493</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Debt—1.5%</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tcPr>
          <w:p>
            <w:pPr>
              <w:ind w:left="60"/>
              <w:spacing w:after="0"/>
              <w:rPr>
                <w:sz w:val="20"/>
                <w:szCs w:val="20"/>
                <w:color w:val="auto"/>
              </w:rPr>
            </w:pPr>
            <w:r>
              <w:rPr>
                <w:rFonts w:ascii="Arial" w:cs="Arial" w:eastAsia="Arial" w:hAnsi="Arial"/>
                <w:sz w:val="12"/>
                <w:szCs w:val="12"/>
                <w:color w:val="auto"/>
              </w:rPr>
              <w:t>12/23/2019</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4,834,021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Tranche A</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08/03/2020</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4,639,603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Tranche B</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9.34%)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9,473,624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9,517,952</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10,603,464</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28,611,214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37,434,384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41,486,260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47,162,332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52,089,724</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19,648,795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Diversified Natural Resources, Precious Metals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60" w:type="dxa"/>
            <w:vAlign w:val="bottom"/>
          </w:tcPr>
          <w:p>
            <w:pPr>
              <w:spacing w:after="0"/>
              <w:rPr>
                <w:sz w:val="12"/>
                <w:szCs w:val="12"/>
                <w:color w:val="auto"/>
              </w:rPr>
            </w:pP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Minerals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1,609,091</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15,718,184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147,249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10,108,949</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64,678,808</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185,799,943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189,674,977</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Debt—9.5%</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620"/>
              <w:spacing w:after="0"/>
              <w:rPr>
                <w:sz w:val="20"/>
                <w:szCs w:val="20"/>
                <w:color w:val="auto"/>
              </w:rPr>
            </w:pPr>
            <w:r>
              <w:rPr>
                <w:rFonts w:ascii="Arial" w:cs="Arial" w:eastAsia="Arial" w:hAnsi="Arial"/>
                <w:sz w:val="12"/>
                <w:szCs w:val="12"/>
                <w:color w:val="auto"/>
                <w:w w:val="95"/>
              </w:rPr>
              <w:t>(PIK 4.00%)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28,233,485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63,233,485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61,198,854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200,120,407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114,550,983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Investments—178.4%</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1,210,026,672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1,153,577,508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Equivalents—5.9%</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20,490,740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17,691,633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17,711,328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1,248,209,045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1,191,779,576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(544,971,105)</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646,808,471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60" w:hanging="372"/>
        <w:spacing w:after="0" w:line="252" w:lineRule="auto"/>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8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Companies—126.4% </w:t>
            </w:r>
            <w:r>
              <w:rPr>
                <w:rFonts w:ascii="Arial" w:cs="Arial" w:eastAsia="Arial" w:hAnsi="Arial"/>
                <w:sz w:val="9"/>
                <w:szCs w:val="9"/>
                <w:b w:val="1"/>
                <w:bCs w:val="1"/>
                <w:color w:val="auto"/>
              </w:rPr>
              <w:t>(1), (2)</w:t>
            </w: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Debt—38.7%</w:t>
            </w: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AP Gaming I,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12/21/2020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9.25%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23,333,361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23,071,460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22,210,559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92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8,989,610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9,085,577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13.50%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9,058,699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9,160,048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ind w:left="120"/>
              <w:spacing w:after="0"/>
              <w:rPr>
                <w:sz w:val="20"/>
                <w:szCs w:val="20"/>
                <w:color w:val="auto"/>
              </w:rPr>
            </w:pPr>
            <w:r>
              <w:rPr>
                <w:rFonts w:ascii="Arial" w:cs="Arial" w:eastAsia="Arial" w:hAnsi="Arial"/>
                <w:sz w:val="12"/>
                <w:szCs w:val="12"/>
                <w:color w:val="auto"/>
              </w:rPr>
              <w:t>10/21/2020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4,372,074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4,323,938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4,284,632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06/30/2020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24,985,195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24,786,989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24,985,195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14,273,869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14,244,486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01/15/2021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Retail</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38,391,045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37,888,445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38,391,045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Mining, Steel, Iron and Non-Precious Metals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11.50%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14,156,176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13,359,375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06/18/2019</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Electronics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15,948,113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15,875,684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15,970,121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920" w:type="dxa"/>
            <w:vAlign w:val="bottom"/>
          </w:tcPr>
          <w:p>
            <w:pPr>
              <w:ind w:left="120"/>
              <w:spacing w:after="0"/>
              <w:rPr>
                <w:sz w:val="20"/>
                <w:szCs w:val="20"/>
                <w:color w:val="auto"/>
              </w:rPr>
            </w:pPr>
            <w:r>
              <w:rPr>
                <w:rFonts w:ascii="Arial" w:cs="Arial" w:eastAsia="Arial" w:hAnsi="Arial"/>
                <w:sz w:val="12"/>
                <w:szCs w:val="12"/>
                <w:color w:val="auto"/>
              </w:rPr>
              <w:t>04/21/2017</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Aerospace and Defense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18,306,549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18,075,370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18,215,016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11.27%</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L+1,075</w:t>
            </w:r>
          </w:p>
        </w:tc>
        <w:tc>
          <w:tcPr>
            <w:tcW w:w="2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28,859,421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28,349,720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28,859,421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2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10.88%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22,512,751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35,990,065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28,703,752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05/02/2019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Oil and Gas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14.02%</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L+1,350</w:t>
            </w:r>
          </w:p>
        </w:tc>
        <w:tc>
          <w:tcPr>
            <w:tcW w:w="24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14,988,321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14,796,715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12,912,527</w:t>
            </w:r>
          </w:p>
        </w:tc>
        <w:tc>
          <w:tcPr>
            <w:tcW w:w="100" w:type="dxa"/>
            <w:vAlign w:val="bottom"/>
          </w:tcPr>
          <w:p>
            <w:pPr>
              <w:spacing w:after="0"/>
              <w:rPr>
                <w:sz w:val="13"/>
                <w:szCs w:val="13"/>
                <w:color w:val="auto"/>
              </w:rPr>
            </w:pPr>
          </w:p>
        </w:tc>
      </w:tr>
      <w:tr>
        <w:trPr>
          <w:trHeight w:val="142"/>
        </w:trPr>
        <w:tc>
          <w:tcPr>
            <w:tcW w:w="3000" w:type="dxa"/>
            <w:vAlign w:val="bottom"/>
            <w:tcBorders>
              <w:bottom w:val="single" w:sz="8" w:color="CCECFF"/>
            </w:tcBorders>
          </w:tcPr>
          <w:p>
            <w:pPr>
              <w:spacing w:after="0"/>
              <w:rPr>
                <w:sz w:val="12"/>
                <w:szCs w:val="12"/>
                <w:color w:val="auto"/>
              </w:rPr>
            </w:pP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2"/>
                <w:szCs w:val="12"/>
                <w:color w:val="auto"/>
              </w:rPr>
              <w:t>(PIK 14.02%)</w:t>
            </w: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258,288,303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249,033,317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Debt—61.0%</w:t>
            </w: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Diversified Natural Resources, Precious</w:t>
            </w: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09/01/2017</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Metals and Minerals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17,780,000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20" w:type="dxa"/>
            <w:vAlign w:val="bottom"/>
          </w:tcPr>
          <w:p>
            <w:pPr>
              <w:ind w:left="120"/>
              <w:spacing w:after="0"/>
              <w:rPr>
                <w:sz w:val="20"/>
                <w:szCs w:val="20"/>
                <w:color w:val="auto"/>
              </w:rPr>
            </w:pPr>
            <w:r>
              <w:rPr>
                <w:rFonts w:ascii="Arial" w:cs="Arial" w:eastAsia="Arial" w:hAnsi="Arial"/>
                <w:sz w:val="12"/>
                <w:szCs w:val="12"/>
                <w:color w:val="auto"/>
              </w:rPr>
              <w:t>03/04/2022</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13.75%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28,253,554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Bennu Oil &amp; Gas,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11/01/2018</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Oil and Gas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26,979,281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25,422,260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8,633,370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Howard Berger Co. LLC</w:t>
            </w:r>
          </w:p>
        </w:tc>
        <w:tc>
          <w:tcPr>
            <w:tcW w:w="920" w:type="dxa"/>
            <w:vAlign w:val="bottom"/>
          </w:tcPr>
          <w:p>
            <w:pPr>
              <w:ind w:left="120"/>
              <w:spacing w:after="0"/>
              <w:rPr>
                <w:sz w:val="20"/>
                <w:szCs w:val="20"/>
                <w:color w:val="auto"/>
              </w:rPr>
            </w:pPr>
            <w:r>
              <w:rPr>
                <w:rFonts w:ascii="Arial" w:cs="Arial" w:eastAsia="Arial" w:hAnsi="Arial"/>
                <w:sz w:val="12"/>
                <w:szCs w:val="12"/>
                <w:color w:val="auto"/>
              </w:rPr>
              <w:t>09/30/2020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3"/>
              </w:rPr>
              <w:t>Distribution</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39,419,316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37,125,000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03/01/2017</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4,887,760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3,739,797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2,932,656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Jacobs Entertainment,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10/29/2019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L+1,175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51,775,000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51,362,786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51,775,000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Printing and Publishing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25,926,258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26,425,000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07/07/2021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12.25%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40,929,816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41,250,000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12/17/2021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76,229,058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Penton Media, Inc.</w:t>
            </w:r>
          </w:p>
        </w:tc>
        <w:tc>
          <w:tcPr>
            <w:tcW w:w="920" w:type="dxa"/>
            <w:vAlign w:val="bottom"/>
          </w:tcPr>
          <w:p>
            <w:pPr>
              <w:ind w:left="120"/>
              <w:spacing w:after="0"/>
              <w:rPr>
                <w:sz w:val="20"/>
                <w:szCs w:val="20"/>
                <w:color w:val="auto"/>
              </w:rPr>
            </w:pPr>
            <w:r>
              <w:rPr>
                <w:rFonts w:ascii="Arial" w:cs="Arial" w:eastAsia="Arial" w:hAnsi="Arial"/>
                <w:sz w:val="12"/>
                <w:szCs w:val="12"/>
                <w:color w:val="auto"/>
              </w:rPr>
              <w:t>10/02/2020</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L+775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18,270,159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18,101,798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18,201,646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10.25%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56,750,000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56,202,295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56,087,727</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Prime Security Services Borrower,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9.75%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L+875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14,798,077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14,613,655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15,029,371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01/30/2023</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10.75%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12,862,500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12,441,130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12,862,500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416,812,665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392,831,328</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Notes—15.9%</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02/15/2019</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8,844,669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8,831,201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Environmental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12.00%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32,055,101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32,675,553</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10/26/2018</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11,035,083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10,937,329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10,538,501</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(PIK 1.75%)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14.50%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8,375,600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12,306,414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10,855,976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6.00%)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Randall-Reilly, LLC</w:t>
            </w:r>
          </w:p>
        </w:tc>
        <w:tc>
          <w:tcPr>
            <w:tcW w:w="920" w:type="dxa"/>
            <w:vAlign w:val="bottom"/>
          </w:tcPr>
          <w:p>
            <w:pPr>
              <w:ind w:left="120"/>
              <w:spacing w:after="0"/>
              <w:rPr>
                <w:sz w:val="20"/>
                <w:szCs w:val="20"/>
                <w:color w:val="auto"/>
              </w:rPr>
            </w:pPr>
            <w:r>
              <w:rPr>
                <w:rFonts w:ascii="Arial" w:cs="Arial" w:eastAsia="Arial" w:hAnsi="Arial"/>
                <w:sz w:val="12"/>
                <w:szCs w:val="12"/>
                <w:color w:val="auto"/>
              </w:rPr>
              <w:t>04/15/2020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Other Media</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26,617,239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26,309,750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05/13/2021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13,090,281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103,851,033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102,510,981</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Interests—0.8% </w:t>
            </w:r>
            <w:r>
              <w:rPr>
                <w:rFonts w:ascii="Arial" w:cs="Arial" w:eastAsia="Arial" w:hAnsi="Arial"/>
                <w:sz w:val="9"/>
                <w:szCs w:val="9"/>
                <w:b w:val="1"/>
                <w:bCs w:val="1"/>
                <w:color w:val="auto"/>
              </w:rPr>
              <w:t>(6)</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AH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128,457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1,081,633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Electronics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2,396,892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Other Media</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Roto Holdings, Inc.</w:t>
            </w:r>
          </w:p>
        </w:tc>
        <w:tc>
          <w:tcPr>
            <w:tcW w:w="92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1,404,944</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5,044,402</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Common Equity/Partnership Interests/Warrants—10.0% </w:t>
            </w:r>
            <w:r>
              <w:rPr>
                <w:rFonts w:ascii="Arial" w:cs="Arial" w:eastAsia="Arial" w:hAnsi="Arial"/>
                <w:sz w:val="9"/>
                <w:szCs w:val="9"/>
                <w:b w:val="1"/>
                <w:bCs w:val="1"/>
                <w:color w:val="auto"/>
                <w:w w:val="92"/>
              </w:rPr>
              <w:t>(6)</w:t>
            </w:r>
          </w:p>
        </w:tc>
        <w:tc>
          <w:tcPr>
            <w:tcW w:w="980" w:type="dxa"/>
            <w:vAlign w:val="bottom"/>
            <w:tcBorders>
              <w:top w:val="single" w:sz="8" w:color="auto"/>
            </w:tcBorders>
            <w:shd w:val="clear" w:color="auto" w:fill="CCECFF"/>
          </w:tcPr>
          <w:p>
            <w:pPr>
              <w:spacing w:after="0"/>
              <w:rPr>
                <w:sz w:val="12"/>
                <w:szCs w:val="12"/>
                <w:color w:val="auto"/>
              </w:rPr>
            </w:pPr>
          </w:p>
        </w:tc>
        <w:tc>
          <w:tcPr>
            <w:tcW w:w="25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1,192,535</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80" w:type="dxa"/>
            <w:vAlign w:val="bottom"/>
          </w:tcPr>
          <w:p>
            <w:pPr>
              <w:ind w:left="80"/>
              <w:spacing w:after="0"/>
              <w:rPr>
                <w:sz w:val="20"/>
                <w:szCs w:val="20"/>
                <w:color w:val="auto"/>
              </w:rPr>
            </w:pPr>
            <w:r>
              <w:rPr>
                <w:rFonts w:ascii="Arial" w:cs="Arial" w:eastAsia="Arial" w:hAnsi="Arial"/>
                <w:sz w:val="12"/>
                <w:szCs w:val="12"/>
                <w:color w:val="auto"/>
              </w:rPr>
              <w:t>(Intermediate Transportation 100,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137,923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2,111,588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5,194,738</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3,637,907</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2,671,422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e.l.f. Beauty, Inc. </w:t>
            </w:r>
            <w:r>
              <w:rPr>
                <w:rFonts w:ascii="Arial" w:cs="Arial" w:eastAsia="Arial" w:hAnsi="Arial"/>
                <w:sz w:val="9"/>
                <w:szCs w:val="9"/>
                <w:color w:val="auto"/>
              </w:rPr>
              <w:t>(14)</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938,399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2,513,193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25,141,220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354,555</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3,512,420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(14)</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1,849,783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526,382</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8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5,959,292</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(14)</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908,974</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901,263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1,223,409</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142,300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2,800,010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Roto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1,022,594</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Vestcom Parent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211,797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793,873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8,051,139</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21,503,373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64,047,463</w:t>
            </w:r>
          </w:p>
        </w:tc>
        <w:tc>
          <w:tcPr>
            <w:tcW w:w="100" w:type="dxa"/>
            <w:vAlign w:val="bottom"/>
            <w:tcBorders>
              <w:bottom w:val="single" w:sz="8" w:color="CCECFF"/>
            </w:tcBorders>
          </w:tcPr>
          <w:p>
            <w:pPr>
              <w:spacing w:after="0"/>
              <w:rPr>
                <w:sz w:val="12"/>
                <w:szCs w:val="12"/>
                <w:color w:val="auto"/>
              </w:rPr>
            </w:pPr>
          </w:p>
        </w:tc>
      </w:tr>
      <w:tr>
        <w:trPr>
          <w:trHeight w:val="142"/>
        </w:trPr>
        <w:tc>
          <w:tcPr>
            <w:tcW w:w="4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805,189,545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813,467,491</w:t>
            </w:r>
          </w:p>
        </w:tc>
        <w:tc>
          <w:tcPr>
            <w:tcW w:w="100" w:type="dxa"/>
            <w:vAlign w:val="bottom"/>
            <w:shd w:val="clear" w:color="auto" w:fill="CCECFF"/>
          </w:tcPr>
          <w:p>
            <w:pPr>
              <w:spacing w:after="0"/>
              <w:rPr>
                <w:sz w:val="12"/>
                <w:szCs w:val="12"/>
                <w:color w:val="auto"/>
              </w:rPr>
            </w:pPr>
          </w:p>
        </w:tc>
      </w:tr>
      <w:tr>
        <w:trPr>
          <w:trHeight w:val="142"/>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Investments in Non-Controlled, Affiliated Portfolio Companies—33.5% </w:t>
            </w:r>
            <w:r>
              <w:rPr>
                <w:rFonts w:ascii="Arial" w:cs="Arial" w:eastAsia="Arial" w:hAnsi="Arial"/>
                <w:sz w:val="9"/>
                <w:szCs w:val="9"/>
                <w:b w:val="1"/>
                <w:bCs w:val="1"/>
                <w:color w:val="auto"/>
                <w:w w:val="94"/>
              </w:rPr>
              <w:t>(1), (2)</w:t>
            </w: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Debt—8.3%</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Corfin Industries LLC</w:t>
            </w:r>
          </w:p>
        </w:tc>
        <w:tc>
          <w:tcPr>
            <w:tcW w:w="9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23,522,250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23,114,058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23,522,250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1,942,623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80" w:type="dxa"/>
            <w:vAlign w:val="bottom"/>
          </w:tcPr>
          <w:p>
            <w:pPr>
              <w:spacing w:after="0"/>
              <w:rPr>
                <w:sz w:val="20"/>
                <w:szCs w:val="20"/>
                <w:color w:val="auto"/>
              </w:rPr>
            </w:pPr>
            <w:r>
              <w:rPr>
                <w:rFonts w:ascii="Arial" w:cs="Arial" w:eastAsia="Arial" w:hAnsi="Arial"/>
                <w:sz w:val="12"/>
                <w:szCs w:val="12"/>
                <w:color w:val="auto"/>
              </w:rPr>
              <w:t>PAS Technologies, Inc.</w:t>
            </w:r>
          </w:p>
        </w:tc>
        <w:tc>
          <w:tcPr>
            <w:tcW w:w="980" w:type="dxa"/>
            <w:vAlign w:val="bottom"/>
          </w:tcPr>
          <w:p>
            <w:pPr>
              <w:ind w:left="60"/>
              <w:spacing w:after="0"/>
              <w:rPr>
                <w:sz w:val="20"/>
                <w:szCs w:val="20"/>
                <w:color w:val="auto"/>
              </w:rPr>
            </w:pPr>
            <w:r>
              <w:rPr>
                <w:rFonts w:ascii="Arial" w:cs="Arial" w:eastAsia="Arial" w:hAnsi="Arial"/>
                <w:sz w:val="12"/>
                <w:szCs w:val="12"/>
                <w:color w:val="auto"/>
              </w:rPr>
              <w:t>03/21/2017</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6.01%</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Pr>
          <w:p>
            <w:pPr>
              <w:jc w:val="right"/>
              <w:spacing w:after="0"/>
              <w:rPr>
                <w:sz w:val="20"/>
                <w:szCs w:val="20"/>
                <w:color w:val="auto"/>
              </w:rPr>
            </w:pPr>
            <w:r>
              <w:rPr>
                <w:rFonts w:ascii="Arial" w:cs="Arial" w:eastAsia="Arial" w:hAnsi="Arial"/>
                <w:sz w:val="12"/>
                <w:szCs w:val="12"/>
                <w:color w:val="auto"/>
              </w:rPr>
              <w:t>4,434,295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3,357,949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3,946,523</w:t>
            </w:r>
          </w:p>
        </w:tc>
        <w:tc>
          <w:tcPr>
            <w:tcW w:w="100" w:type="dxa"/>
            <w:vAlign w:val="bottom"/>
          </w:tcPr>
          <w:p>
            <w:pPr>
              <w:spacing w:after="0"/>
              <w:rPr>
                <w:sz w:val="13"/>
                <w:szCs w:val="13"/>
                <w:color w:val="auto"/>
              </w:rPr>
            </w:pPr>
          </w:p>
        </w:tc>
      </w:tr>
      <w:tr>
        <w:trPr>
          <w:trHeight w:val="141"/>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22,764,911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22,613,930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22,764,911</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 (Revolver)</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11/22/2016</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52,085,937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53,233,684</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Second Lien Secured Debt—3.9%</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Inc.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10/31/2018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16,960,967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15,825,060</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EnviroSolutions Real Property Holdings,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12/26/2017</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9.00%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9,409,740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9,307,548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9,409,740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26,268,515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25,234,800</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Notes—11.7%</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(9), (12)</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07/30/2018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9,858,025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8,946,674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8,995,448</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tcPr>
          <w:p>
            <w:pPr>
              <w:ind w:left="60"/>
              <w:spacing w:after="0"/>
              <w:rPr>
                <w:sz w:val="20"/>
                <w:szCs w:val="20"/>
                <w:color w:val="auto"/>
              </w:rPr>
            </w:pPr>
            <w:r>
              <w:rPr>
                <w:rFonts w:ascii="Arial" w:cs="Arial" w:eastAsia="Arial" w:hAnsi="Arial"/>
                <w:sz w:val="12"/>
                <w:szCs w:val="12"/>
                <w:color w:val="auto"/>
              </w:rPr>
              <w:t>11/05/2019</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14,735,238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12,340,534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2,799,695</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LLC (f/k/a New Gulf Resources, LLC),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25,297,664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36,473,119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35,416,730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Convertible Note </w:t>
            </w:r>
            <w:r>
              <w:rPr>
                <w:rFonts w:ascii="Arial" w:cs="Arial" w:eastAsia="Arial" w:hAnsi="Arial"/>
                <w:sz w:val="9"/>
                <w:szCs w:val="9"/>
                <w:color w:val="auto"/>
              </w:rPr>
              <w:t>(5)</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Service Champ,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10/02/2017</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28,000,000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27,841,741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27,908,663</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85,602,068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75,120,536</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Equity—0.7%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20,059,340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4,287,107</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w w:val="94"/>
              </w:rPr>
              <w:t xml:space="preserve">Common Equity/Partnership Interests/Warrants—8.9% </w:t>
            </w:r>
            <w:r>
              <w:rPr>
                <w:rFonts w:ascii="Arial" w:cs="Arial" w:eastAsia="Arial" w:hAnsi="Arial"/>
                <w:sz w:val="9"/>
                <w:szCs w:val="9"/>
                <w:b w:val="1"/>
                <w:bCs w:val="1"/>
                <w:color w:val="auto"/>
                <w:w w:val="94"/>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32,115,042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37,181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173,844</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2,330,813</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21,492,822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11/05/2022</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15,486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13,112,260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ETX Energy, LLC (f/k/a New Gulf Resources,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Management Company,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8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(f/k/a NGR Management Company LLC) </w:t>
            </w:r>
            <w:r>
              <w:rPr>
                <w:rFonts w:ascii="Arial" w:cs="Arial" w:eastAsia="Arial" w:hAnsi="Arial"/>
                <w:sz w:val="9"/>
                <w:szCs w:val="9"/>
                <w:color w:val="auto"/>
              </w:rPr>
              <w:t>(10)</w:t>
            </w:r>
          </w:p>
        </w:tc>
        <w:tc>
          <w:tcPr>
            <w:tcW w:w="980" w:type="dxa"/>
            <w:vAlign w:val="bottom"/>
            <w:shd w:val="clear" w:color="auto" w:fill="CCECFF"/>
          </w:tcPr>
          <w:p>
            <w:pPr>
              <w:spacing w:after="0"/>
              <w:rPr>
                <w:sz w:val="12"/>
                <w:szCs w:val="12"/>
                <w:color w:val="auto"/>
              </w:rPr>
            </w:pP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New Service Champ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2,721,600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6,989,362</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202,620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tcBorders>
              <w:bottom w:val="single" w:sz="8" w:color="CCECFF"/>
            </w:tcBorders>
          </w:tcPr>
          <w:p>
            <w:pPr>
              <w:ind w:left="320"/>
              <w:spacing w:after="0"/>
              <w:rPr>
                <w:sz w:val="20"/>
                <w:szCs w:val="20"/>
                <w:color w:val="auto"/>
              </w:rPr>
            </w:pPr>
            <w:r>
              <w:rPr>
                <w:rFonts w:ascii="Arial" w:cs="Arial" w:eastAsia="Arial" w:hAnsi="Arial"/>
                <w:sz w:val="12"/>
                <w:szCs w:val="12"/>
                <w:color w:val="auto"/>
              </w:rPr>
              <w:t>—</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491,755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2,595,099</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78,461,046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57,316,420</w:t>
            </w:r>
          </w:p>
        </w:tc>
        <w:tc>
          <w:tcPr>
            <w:tcW w:w="100" w:type="dxa"/>
            <w:vAlign w:val="bottom"/>
            <w:shd w:val="clear" w:color="auto" w:fill="CCECFF"/>
          </w:tcPr>
          <w:p>
            <w:pPr>
              <w:spacing w:after="0"/>
              <w:rPr>
                <w:sz w:val="12"/>
                <w:szCs w:val="12"/>
                <w:color w:val="auto"/>
              </w:rPr>
            </w:pPr>
          </w:p>
        </w:tc>
      </w:tr>
      <w:tr>
        <w:trPr>
          <w:trHeight w:val="142"/>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262,476,906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215,192,547</w:t>
            </w:r>
          </w:p>
        </w:tc>
        <w:tc>
          <w:tcPr>
            <w:tcW w:w="100" w:type="dxa"/>
            <w:vAlign w:val="bottom"/>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Companies—19.4% </w:t>
            </w:r>
            <w:r>
              <w:rPr>
                <w:rFonts w:ascii="Arial" w:cs="Arial" w:eastAsia="Arial" w:hAnsi="Arial"/>
                <w:sz w:val="9"/>
                <w:szCs w:val="9"/>
                <w:b w:val="1"/>
                <w:bCs w:val="1"/>
                <w:color w:val="auto"/>
              </w:rPr>
              <w:t>(1), (2)</w:t>
            </w:r>
          </w:p>
        </w:tc>
        <w:tc>
          <w:tcPr>
            <w:tcW w:w="22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Debt—14.7%</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07/18/2019</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84,606,067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83,653,689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68,319,399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10.00%)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L+1,300</w:t>
            </w:r>
          </w:p>
        </w:tc>
        <w:tc>
          <w:tcPr>
            <w:tcW w:w="680" w:type="dxa"/>
            <w:vAlign w:val="bottom"/>
          </w:tcPr>
          <w:p>
            <w:pPr>
              <w:jc w:val="right"/>
              <w:spacing w:after="0"/>
              <w:rPr>
                <w:sz w:val="20"/>
                <w:szCs w:val="20"/>
                <w:color w:val="auto"/>
              </w:rPr>
            </w:pPr>
            <w:r>
              <w:rPr>
                <w:rFonts w:ascii="Arial" w:cs="Arial" w:eastAsia="Arial" w:hAnsi="Arial"/>
                <w:sz w:val="12"/>
                <w:szCs w:val="12"/>
                <w:color w:val="auto"/>
              </w:rPr>
              <w:t>26,516,321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24,845,647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26,516,321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ind w:left="140"/>
              <w:spacing w:after="0"/>
              <w:rPr>
                <w:sz w:val="20"/>
                <w:szCs w:val="20"/>
                <w:color w:val="auto"/>
              </w:rPr>
            </w:pPr>
            <w:r>
              <w:rPr>
                <w:rFonts w:ascii="Arial" w:cs="Arial" w:eastAsia="Arial" w:hAnsi="Arial"/>
                <w:sz w:val="12"/>
                <w:szCs w:val="12"/>
                <w:color w:val="auto"/>
              </w:rPr>
              <w:t>(PIK 14.00%)</w:t>
            </w: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108,499,336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94,835,720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Second Lien Secured Debt—1.2%</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07/01/2019</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7,346,315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16.00%)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Equity—3.1%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4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103,916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22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21,318,325</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Equity—0.4%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4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23,141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20,824,388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47,797,219</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186,290,695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125,019,637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Investments—179.3%</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1,253,957,146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1,153,679,675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Equivalents—11.8%</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w w:val="91"/>
              </w:rPr>
              <w:t>BlackRock Liquidity Funds, Temp Cash, Institutional Shares</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64,897,736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64,897,736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10,719,397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10,710,377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75,617,133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75,608,113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Equivalents—191.1%</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1,329,574,279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1,229,287,788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Assets—(91.1%)</w:t>
            </w:r>
          </w:p>
        </w:tc>
        <w:tc>
          <w:tcPr>
            <w:tcW w:w="120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(585,920,932)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643,366,856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88% of the Company’s total assets and non-qualifying assets represent 12% of the Company’s total assets.</w:t>
      </w: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2017</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with the Administrator, which provides the administrative services necessary for us to operate. PennantPark Investment, through the Administrator, also provides similar services to each of our SBIC Funds under separate administration agreement. See Note 3.</w:t>
      </w:r>
    </w:p>
    <w:p>
      <w:pPr>
        <w:spacing w:after="0" w:line="10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7"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and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620" w:hanging="369"/>
        <w:spacing w:after="0"/>
        <w:tabs>
          <w:tab w:leader="none" w:pos="62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20" w:right="60" w:hanging="359"/>
        <w:spacing w:after="0" w:line="264" w:lineRule="auto"/>
        <w:tabs>
          <w:tab w:leader="none" w:pos="9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59"/>
        <w:spacing w:after="0" w:line="238"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market quote does not reflect the fair value of an investment, it may independently value such investments by using the valuation procedure that it uses with respect to assets for which market quotations are not readily available.</w:t>
      </w:r>
    </w:p>
    <w:p>
      <w:pPr>
        <w:spacing w:after="0" w:line="93" w:lineRule="exact"/>
        <w:rPr>
          <w:sz w:val="20"/>
          <w:szCs w:val="20"/>
          <w:color w:val="auto"/>
        </w:rPr>
      </w:pPr>
    </w:p>
    <w:p>
      <w:pPr>
        <w:ind w:left="620" w:hanging="369"/>
        <w:spacing w:after="0"/>
        <w:tabs>
          <w:tab w:leader="none" w:pos="62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the 2019 Notes and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ind w:right="44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ind w:left="620" w:hanging="369"/>
        <w:spacing w:after="0"/>
        <w:tabs>
          <w:tab w:leader="none" w:pos="62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level of federal income taxes. Although we generally do not incur federal income taxes as a RIC for federal income tax purposes, we may elect to retain a portion of our calendar year income, which may result in an imposition of an excise tax. Additionally, certain of the Company’s consolidated subsidiaries are subject to U.S. federal and state income taxes. For the fiscal years ended September 30, 2017, 2016 and 2015, we have recorded a provision for taxes of $1.7 million ($0.5 million of excise tax and $1.2 million of U.S. federal and state income taxes related to Taxable Subsidiaries), $2.4 million ($0.9 million of excise tax and $1.5 million of U.S. federal and state income taxes related to Taxable Subsidiaries) and zero, respectively.</w:t>
      </w:r>
    </w:p>
    <w:p>
      <w:pPr>
        <w:spacing w:after="0" w:line="11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 The Company’s tax returns for each of its federal taxable years since 2014 remain subject to examination by the Internal Revenue Service.</w:t>
      </w:r>
    </w:p>
    <w:p>
      <w:pPr>
        <w:spacing w:after="0" w:line="113"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87"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620" w:hanging="369"/>
        <w:spacing w:after="0"/>
        <w:tabs>
          <w:tab w:leader="none" w:pos="620" w:val="left"/>
        </w:tabs>
        <w:numPr>
          <w:ilvl w:val="0"/>
          <w:numId w:val="5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620" w:hanging="369"/>
        <w:spacing w:after="0"/>
        <w:tabs>
          <w:tab w:leader="none" w:pos="62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2" w:lineRule="exact"/>
        <w:rPr>
          <w:sz w:val="20"/>
          <w:szCs w:val="20"/>
          <w:color w:val="auto"/>
        </w:rPr>
      </w:pPr>
    </w:p>
    <w:p>
      <w:pPr>
        <w:ind w:left="1040" w:hanging="784"/>
        <w:spacing w:after="0"/>
        <w:tabs>
          <w:tab w:leader="none" w:pos="1040" w:val="left"/>
        </w:tabs>
        <w:numPr>
          <w:ilvl w:val="0"/>
          <w:numId w:val="6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jc w:val="both"/>
        <w:ind w:right="240" w:firstLine="438"/>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6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AGREEMENTS AND RELATED PARTY TRANSACTIONS</w:t>
      </w:r>
    </w:p>
    <w:p>
      <w:pPr>
        <w:spacing w:after="0" w:line="140"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components—Management Fees.</w:t>
      </w:r>
    </w:p>
    <w:p>
      <w:pPr>
        <w:spacing w:after="0" w:line="94" w:lineRule="exact"/>
        <w:rPr>
          <w:sz w:val="20"/>
          <w:szCs w:val="20"/>
          <w:color w:val="auto"/>
        </w:rPr>
      </w:pPr>
    </w:p>
    <w:p>
      <w:pPr>
        <w:ind w:right="40" w:firstLine="438"/>
        <w:spacing w:after="0" w:line="261" w:lineRule="auto"/>
        <w:rPr>
          <w:sz w:val="20"/>
          <w:szCs w:val="20"/>
          <w:color w:val="auto"/>
        </w:rPr>
      </w:pPr>
      <w:r>
        <w:rPr>
          <w:rFonts w:ascii="Arial" w:cs="Arial" w:eastAsia="Arial" w:hAnsi="Arial"/>
          <w:sz w:val="12"/>
          <w:szCs w:val="12"/>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irrevocably waive 16% of base management fees, correlated to our 16% energy exposure (oil &amp; gas and energy</w:t>
      </w:r>
    </w:p>
    <w:p>
      <w:pPr>
        <w:spacing w:after="0" w:line="1" w:lineRule="exact"/>
        <w:rPr>
          <w:sz w:val="20"/>
          <w:szCs w:val="20"/>
          <w:color w:val="auto"/>
        </w:rPr>
      </w:pPr>
    </w:p>
    <w:p>
      <w:pPr>
        <w:ind w:right="140" w:firstLine="8"/>
        <w:spacing w:after="0" w:line="237" w:lineRule="auto"/>
        <w:tabs>
          <w:tab w:leader="none" w:pos="144" w:val="left"/>
        </w:tabs>
        <w:numPr>
          <w:ilvl w:val="0"/>
          <w:numId w:val="63"/>
        </w:numPr>
        <w:rPr>
          <w:rFonts w:ascii="Arial" w:cs="Arial" w:eastAsia="Arial" w:hAnsi="Arial"/>
          <w:sz w:val="14"/>
          <w:szCs w:val="14"/>
          <w:color w:val="auto"/>
        </w:rPr>
      </w:pPr>
      <w:r>
        <w:rPr>
          <w:rFonts w:ascii="Arial" w:cs="Arial" w:eastAsia="Arial" w:hAnsi="Arial"/>
          <w:sz w:val="14"/>
          <w:szCs w:val="14"/>
          <w:color w:val="auto"/>
        </w:rPr>
        <w:t>utilities industries) at cost as of December 31, 2015. For the years ended September 30, 2017, 2016 and 2015, the Investment Adviser earned base management fees of $20.3 million (after a waiver of $3.9 million), $20.9 million (after a waiver of $4.0 million) and $26.7 million, respectively, from 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irrevocably waive 16% of incentive fees, correlated to our 16% energy exposure (oil &amp; gas and energy &amp; utilities industries) at cost as of December 31, 2015. For the years ended September 30, 2017, 2016 and 2015, the Investment Adviser earned $9.3 million (after a waiver of $1.8 million), $13.5 million (after a waiver of $2.5 million) and $20.6 million, respectively, in incentive fees on net investment income from us.</w:t>
      </w:r>
    </w:p>
    <w:p>
      <w:pPr>
        <w:spacing w:after="0" w:line="101"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2017, 2016 and 2015, we did not accrue an incentive fee on capital gains as calculated under the Investment Management Agreement (as described above).</w:t>
      </w:r>
    </w:p>
    <w:p>
      <w:pPr>
        <w:spacing w:after="0" w:line="107"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if any, will be realized in the future. For the years ended September 30, 2017, 2016 and 2015, we did not accrue an incentive fee on capital gains as calculated under GAAP.</w:t>
      </w:r>
    </w:p>
    <w:p>
      <w:pPr>
        <w:spacing w:after="0" w:line="111" w:lineRule="exact"/>
        <w:rPr>
          <w:sz w:val="20"/>
          <w:szCs w:val="20"/>
          <w:color w:val="auto"/>
        </w:rPr>
      </w:pPr>
    </w:p>
    <w:p>
      <w:pPr>
        <w:jc w:val="both"/>
        <w:ind w:right="180" w:firstLine="438"/>
        <w:spacing w:after="0" w:line="233"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significant managerial assistance to portfolio companies to which PennantPark Investment is required to offer such assistance. Reimbursement for certain of these costs is included in administrative services expenses in the Consolidated Statements of Operations. For the fiscal years ended September 30, 2017, 2016 and 2015, we reimbursed the Investment Adviser approximately $2.5 million, $3.7 million and $3.3 million, respectively, including expenses incurred on behalf of the Administrator, for services described above.</w:t>
      </w:r>
    </w:p>
    <w:p>
      <w:pPr>
        <w:spacing w:after="0" w:line="103"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 the fiscal year ended September 30, 2017, the Company purchased $5.0 million and sold $45.6 million in total investments to affiliated funds managed by our Investment Adviser in accordance with, and pursuant to procedures adopted under, Rule 17a-7 of the 1940 Act. Realized gains on those sales amounted to $1.1 million. There were no transactions in accordance with Rule 17a-7 of the 1940 Act during the fiscal years ended September 30, 2016 and 2015.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Purchases of investments, including PIK interest, for the fiscal years ended September 30, 2017, 2016 and 2015 totaled $529.5 million, $345.7 million and $475.2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same periods totaled $544.0 million, $439.7 million and $390.5 million, respectively.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48"/>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465,235,137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466,076,352</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418,873,576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397,102,721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389,336,314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399,544,383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451,756,995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425,412,443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116,596,887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189,453,101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177,631,517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238,858,334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193,873,474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1,210,026,672</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1,253,957,146</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1,153,679,675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38,182,373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38,202,068</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1,248,209,045</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1,329,574,279</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1,229,287,788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2017</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CCECFF"/>
            </w:tcBorders>
          </w:tcPr>
          <w:p>
            <w:pPr>
              <w:spacing w:after="0"/>
              <w:rPr>
                <w:sz w:val="14"/>
                <w:szCs w:val="14"/>
                <w:color w:val="auto"/>
              </w:rPr>
            </w:pPr>
          </w:p>
        </w:tc>
      </w:tr>
      <w:tr>
        <w:trPr>
          <w:trHeight w:val="155"/>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Hotels, Motels, Inns and Gaming</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13%</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Electronics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Media</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Diversified Natural Resources, Precious Metals and Minerals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 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Auto Sector</w:t>
            </w:r>
          </w:p>
        </w:tc>
        <w:tc>
          <w:tcPr>
            <w:tcW w:w="25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Retail</w:t>
            </w: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CFF"/>
            </w:tcBorders>
          </w:tcPr>
          <w:p>
            <w:pPr>
              <w:spacing w:after="0"/>
              <w:rPr>
                <w:sz w:val="14"/>
                <w:szCs w:val="14"/>
                <w:color w:val="auto"/>
              </w:rPr>
            </w:pPr>
          </w:p>
        </w:tc>
      </w:tr>
      <w:tr>
        <w:trPr>
          <w:trHeight w:val="156"/>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left="1380" w:right="30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2"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1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year ended September 30, 2017, our ability to observe valuation inputs resulted no reclassifications. During the year ended September 30, 2016, there was one reclassification from Level 2 to 1, one reclassification from Level 3 to 1 and one reclassification from Level 3 to 2.</w:t>
      </w:r>
    </w:p>
    <w:p>
      <w:pPr>
        <w:spacing w:after="0" w:line="104"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96,885,313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451,256,352</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8.1% – 14.0% (11.0%)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302,659,070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9.6% – 14.6% (12.2%)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11.6% – 20.5% (14.3%)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166,268,568</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(8.2x)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right"/>
              <w:ind w:right="78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62</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2016</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35,569,934</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122,923,804</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8,995,448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361,532,787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8.8% – 21.7% (13.1%)</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302,488,639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9.5% – 17.3% (13.6%)</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168,636,069</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11.0% – 15.7% (13.2%)</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125,633,017</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1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39,551,187</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100" w:type="dxa"/>
            <w:vAlign w:val="bottom"/>
            <w:tcBorders>
              <w:bottom w:val="single" w:sz="8" w:color="CCECFF"/>
            </w:tcBorders>
            <w:shd w:val="clear" w:color="auto" w:fill="CCECFF"/>
          </w:tcPr>
          <w:p>
            <w:pPr>
              <w:jc w:val="right"/>
              <w:ind w:right="788"/>
              <w:spacing w:after="0" w:line="143"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the 2019 Notes and the 2025 Notes were categorized as follows in the fair value hierarchy for ASC 820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at September 30, 2017</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980,442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166,268,568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980,442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39,182,510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331,702,341</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255,665,000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2,758,757</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25,141,220</w:t>
            </w:r>
          </w:p>
        </w:tc>
        <w:tc>
          <w:tcPr>
            <w:tcW w:w="8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125,633,017</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1,153,679,675</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2,758,757</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25,141,220</w:t>
            </w: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1,125,779,698</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75,608,113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75,608,113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1,229,287,788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78,366,870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25,141,220</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1,125,779,698</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2025 Notes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72,618,000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72,618,000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366,344,187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72,618,000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254,175,000</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00" w:type="dxa"/>
            <w:vAlign w:val="bottom"/>
            <w:gridSpan w:val="20"/>
          </w:tcPr>
          <w:p>
            <w:pPr>
              <w:jc w:val="center"/>
              <w:ind w:left="20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48"/>
              <w:spacing w:after="0"/>
              <w:rPr>
                <w:sz w:val="20"/>
                <w:szCs w:val="20"/>
                <w:color w:val="auto"/>
              </w:rPr>
            </w:pPr>
            <w:r>
              <w:rPr>
                <w:rFonts w:ascii="Arial" w:cs="Arial" w:eastAsia="Arial" w:hAnsi="Arial"/>
                <w:sz w:val="14"/>
                <w:szCs w:val="14"/>
                <w:b w:val="1"/>
                <w:bCs w:val="1"/>
                <w:color w:val="auto"/>
                <w:w w:val="92"/>
              </w:rPr>
              <w:t>Year Ended September 30,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right"/>
              <w:ind w:right="640"/>
              <w:spacing w:after="0" w:line="133" w:lineRule="exact"/>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(43,066,781)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(10,910,451)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(53,977,232)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75,097,153</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(6,862,504)</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68,234,649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509,394,726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93,811,871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603,206,597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(555,243,281)</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(35,403,365)</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(590,646,646)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depreciation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40,461,680</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(29,825,294)</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10,636,386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8"/>
          </w:tcPr>
          <w:p>
            <w:pPr>
              <w:jc w:val="center"/>
              <w:ind w:right="128"/>
              <w:spacing w:after="0"/>
              <w:rPr>
                <w:sz w:val="20"/>
                <w:szCs w:val="20"/>
                <w:color w:val="auto"/>
              </w:rPr>
            </w:pPr>
            <w:r>
              <w:rPr>
                <w:rFonts w:ascii="Arial" w:cs="Arial" w:eastAsia="Arial" w:hAnsi="Arial"/>
                <w:sz w:val="14"/>
                <w:szCs w:val="14"/>
                <w:b w:val="1"/>
                <w:bCs w:val="1"/>
                <w:color w:val="auto"/>
                <w:w w:val="92"/>
              </w:rPr>
              <w:t>Year Ended September 30, 2016</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1,194,257,869</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103,169,586</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1,297,427,455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(91,185,306)</w:t>
            </w:r>
          </w:p>
        </w:tc>
        <w:tc>
          <w:tcPr>
            <w:tcW w:w="18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5,717,455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(85,467,851)</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9,948,715</w:t>
            </w: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15,492,038</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25,440,753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302,824,970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48,102,684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350,927,654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(415,699,567)</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(19,857,743)</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(435,557,310)</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(26,991,003)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(26,991,003)</w:t>
            </w:r>
          </w:p>
        </w:tc>
        <w:tc>
          <w:tcPr>
            <w:tcW w:w="0" w:type="dxa"/>
            <w:vAlign w:val="bottom"/>
          </w:tcPr>
          <w:p>
            <w:pPr>
              <w:spacing w:after="0"/>
              <w:rPr>
                <w:sz w:val="1"/>
                <w:szCs w:val="1"/>
                <w:color w:val="auto"/>
              </w:rPr>
            </w:pPr>
          </w:p>
        </w:tc>
      </w:tr>
      <w:tr>
        <w:trPr>
          <w:trHeight w:val="155"/>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(38,844,736)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3,040,478</w:t>
            </w:r>
          </w:p>
        </w:tc>
        <w:tc>
          <w:tcPr>
            <w:tcW w:w="100" w:type="dxa"/>
            <w:vAlign w:val="bottom"/>
          </w:tcPr>
          <w:p>
            <w:pPr>
              <w:spacing w:after="0"/>
              <w:rPr>
                <w:sz w:val="14"/>
                <w:szCs w:val="14"/>
                <w:color w:val="auto"/>
              </w:rPr>
            </w:pP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(35,804,258)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00" w:type="dxa"/>
            <w:vAlign w:val="bottom"/>
            <w:gridSpan w:val="13"/>
          </w:tcPr>
          <w:p>
            <w:pPr>
              <w:ind w:left="44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2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2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$50,339,700 and $106,864,300, respectively)</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102,356,860</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7,432,954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(6,281,073)</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237,760,000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272,664,923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(208,706,800)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(329,189,523)</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$79,392,900 and $50,339,700,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$79,392,900 and $50,339,700,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2"/>
          <w:szCs w:val="12"/>
          <w:color w:val="auto"/>
        </w:rPr>
      </w:pPr>
      <w:r>
        <w:rPr>
          <w:rFonts w:ascii="Arial" w:cs="Arial" w:eastAsia="Arial" w:hAnsi="Arial"/>
          <w:sz w:val="14"/>
          <w:szCs w:val="14"/>
          <w:color w:val="auto"/>
        </w:rPr>
        <w:t>Excluding temporary draws.</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36,224,604</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4,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(7,808,296)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40,194,834</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4,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4,834,834</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76,419,438</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(2,973,462)</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50,339,700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40,180,433</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3, 2016</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(10,159,267)</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the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$3.9 million, zero and zero in expenses relating to amendment costs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the 2025 Notes are reported in our Consolidated Statements of Operations. We elected not to apply ASC 825-10 to any other financial assets or liabilities, including the SBA debentures. For the fiscal years ended September 30, 2017, 2016 and 2015, our Credit Facility, the 2019 Notes and the 2025 Notes had a net change in unrealized (appreciation) depreciation of $(7.6) million, $3.7 million and $1.7 million, respectively. As of September 30, 2017 and 2016, net unrealized (appreciation) depreciation on our Credit Facility, the 2019 Notes and the 2025 Notes totaled $(2.3) million and $5.2 million, respectively. We use a nationally recognized independent valuation service to measure the fair value of our Credit Facility and 2019 Notes in a manner consistent with the valuation process that the board of directors uses to value investments.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Purchases of /</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Sale of /</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Net Change in</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 xml:space="preserve">Affiliates </w:t>
            </w:r>
            <w:r>
              <w:rPr>
                <w:rFonts w:ascii="Arial" w:cs="Arial" w:eastAsia="Arial" w:hAnsi="Arial"/>
                <w:sz w:val="12"/>
                <w:szCs w:val="12"/>
                <w:b w:val="1"/>
                <w:bCs w:val="1"/>
                <w:color w:val="auto"/>
                <w:w w:val="93"/>
              </w:rPr>
              <w:t>(1),</w:t>
            </w: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Appreciation /</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62"/>
        </w:trPr>
        <w:tc>
          <w:tcPr>
            <w:tcW w:w="2360" w:type="dxa"/>
            <w:vAlign w:val="bottom"/>
            <w:gridSpan w:val="2"/>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1"/>
              </w:rPr>
              <w:t xml:space="preserve">September 30, 2016 </w:t>
            </w:r>
            <w:r>
              <w:rPr>
                <w:rFonts w:ascii="Arial" w:cs="Arial" w:eastAsia="Arial" w:hAnsi="Arial"/>
                <w:sz w:val="12"/>
                <w:szCs w:val="12"/>
                <w:b w:val="1"/>
                <w:bCs w:val="1"/>
                <w:color w:val="auto"/>
                <w:w w:val="91"/>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9"/>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Accrued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(Depreciation)</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2"/>
              </w:rPr>
              <w:t xml:space="preserve">September 30, 2017 </w:t>
            </w:r>
            <w:r>
              <w:rPr>
                <w:rFonts w:ascii="Arial" w:cs="Arial" w:eastAsia="Arial" w:hAnsi="Arial"/>
                <w:sz w:val="12"/>
                <w:szCs w:val="12"/>
                <w:b w:val="1"/>
                <w:bCs w:val="1"/>
                <w:color w:val="auto"/>
                <w:w w:val="92"/>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5"/>
        </w:trPr>
        <w:tc>
          <w:tcPr>
            <w:tcW w:w="2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60" w:type="dxa"/>
            <w:vAlign w:val="bottom"/>
            <w:gridSpan w:val="2"/>
          </w:tcPr>
          <w:p>
            <w:pPr>
              <w:spacing w:after="0" w:line="143" w:lineRule="exact"/>
              <w:rPr>
                <w:sz w:val="20"/>
                <w:szCs w:val="20"/>
                <w:color w:val="auto"/>
              </w:rPr>
            </w:pPr>
            <w:r>
              <w:rPr>
                <w:rFonts w:ascii="Arial" w:cs="Arial" w:eastAsia="Arial" w:hAnsi="Arial"/>
                <w:sz w:val="14"/>
                <w:szCs w:val="14"/>
                <w:color w:val="auto"/>
              </w:rPr>
              <w:t>MidOcean JF Holdings Corp.</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60" w:type="dxa"/>
            <w:vAlign w:val="bottom"/>
            <w:gridSpan w:val="2"/>
          </w:tcPr>
          <w:p>
            <w:pPr>
              <w:ind w:left="120"/>
              <w:spacing w:after="0"/>
              <w:rPr>
                <w:sz w:val="20"/>
                <w:szCs w:val="20"/>
                <w:color w:val="auto"/>
              </w:rPr>
            </w:pPr>
            <w:r>
              <w:rPr>
                <w:rFonts w:ascii="Arial" w:cs="Arial" w:eastAsia="Arial" w:hAnsi="Arial"/>
                <w:sz w:val="14"/>
                <w:szCs w:val="14"/>
                <w:color w:val="auto"/>
              </w:rPr>
              <w:t>(JF Acquisition, LLC)</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22,837,602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(5,892,045)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16,945,557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68,319,399</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6,554,803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6,773,665</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(3,699,489)</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71,406,572</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60" w:type="dxa"/>
            <w:vAlign w:val="bottom"/>
            <w:gridSpan w:val="2"/>
          </w:tcPr>
          <w:p>
            <w:pPr>
              <w:spacing w:after="0" w:line="143" w:lineRule="exact"/>
              <w:rPr>
                <w:sz w:val="20"/>
                <w:szCs w:val="20"/>
                <w:color w:val="auto"/>
              </w:rPr>
            </w:pPr>
            <w:r>
              <w:rPr>
                <w:rFonts w:ascii="Arial" w:cs="Arial" w:eastAsia="Arial" w:hAnsi="Arial"/>
                <w:sz w:val="14"/>
                <w:szCs w:val="14"/>
                <w:color w:val="auto"/>
              </w:rPr>
              <w:t>Superior Digital Displays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60" w:type="dxa"/>
            <w:vAlign w:val="bottom"/>
            <w:gridSpan w:val="2"/>
          </w:tcPr>
          <w:p>
            <w:pPr>
              <w:ind w:left="120"/>
              <w:spacing w:after="0"/>
              <w:rPr>
                <w:sz w:val="20"/>
                <w:szCs w:val="20"/>
                <w:color w:val="auto"/>
              </w:rPr>
            </w:pPr>
            <w:r>
              <w:rPr>
                <w:rFonts w:ascii="Arial" w:cs="Arial" w:eastAsia="Arial" w:hAnsi="Arial"/>
                <w:sz w:val="14"/>
                <w:szCs w:val="14"/>
                <w:color w:val="auto"/>
              </w:rPr>
              <w:t>Holdings,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33,862,636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15,796,049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(9,271,027)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4,750,798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(14,706,832)</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26,198,854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57,109,394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398,263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(28,256,288)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2,431,306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(11,497,614)</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19,704,139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1,338,206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320,541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1,602,821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4,445,455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22,807,532</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 (4)</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21,917,250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(1,087,313)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1,444,295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Corfin Industries 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25,853,063</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(928,898)</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2,659,966</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(930,174)</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24,089,476</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2,799,695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31,033,661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(33,833,356)</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22,522,000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108,212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927,689</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2,548,060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25,236,136</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35,416,730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3,313,550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953,074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8,052,937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44,430,932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PAS International Holdings, Inc.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8,233,630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36,540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(21,604,940)</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2,223,422</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15,386,279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(2,884,281)</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34,898,025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(32,426,737)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1,701,654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(4,334,684)</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1,785,353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28,360,010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40,000,000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(39,562,500)</w:t>
            </w:r>
          </w:p>
        </w:tc>
        <w:tc>
          <w:tcPr>
            <w:tcW w:w="1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2,860,473</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3,292,500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32,175,378</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(5)</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738,717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(176,497)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620,170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3,162,973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21,231,384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6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8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6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340,212,184</w:t>
            </w:r>
          </w:p>
        </w:tc>
        <w:tc>
          <w:tcPr>
            <w:tcW w:w="3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89,183,925</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(133,314,200)</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28,949,333</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26,861,027</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304,225,960</w:t>
            </w:r>
          </w:p>
        </w:tc>
        <w:tc>
          <w:tcPr>
            <w:tcW w:w="30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(33,594,078)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spacing w:after="0" w:line="13" w:lineRule="exact"/>
        <w:rPr>
          <w:rFonts w:ascii="Arial" w:cs="Arial" w:eastAsia="Arial" w:hAnsi="Arial"/>
          <w:sz w:val="12"/>
          <w:szCs w:val="12"/>
          <w:color w:val="auto"/>
        </w:rPr>
      </w:pPr>
    </w:p>
    <w:p>
      <w:pPr>
        <w:ind w:left="380" w:hanging="372"/>
        <w:spacing w:after="0" w:line="221" w:lineRule="auto"/>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ind w:left="380" w:hanging="372"/>
        <w:spacing w:after="0" w:line="221" w:lineRule="auto"/>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June 30, 2017.</w:t>
      </w:r>
    </w:p>
    <w:p>
      <w:pPr>
        <w:ind w:left="380" w:hanging="372"/>
        <w:spacing w:after="0"/>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2017.</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18,736,706</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(10,245,652)</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71,621,530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74,755,139</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(decrease) in net assets resulting from operations</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0.87</w:t>
            </w:r>
          </w:p>
        </w:tc>
        <w:tc>
          <w:tcPr>
            <w:tcW w:w="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0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(0.14)</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04"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As of September 30, 2017 and 2016, the cost of investments for federal income tax purposes was $1,206.4 million and $1,254.1 million, respectively, resulting in a gross unrealized appreciation of $67.0 million and $75.1 million, respectively, and depreciation of $119.9 million and $175.5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2"/>
              </w:rPr>
              <w:t>Years Ended September 30,</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300" w:type="dxa"/>
            <w:vAlign w:val="bottom"/>
            <w:tcBorders>
              <w:bottom w:val="single" w:sz="8" w:color="CCECFF"/>
            </w:tcBorders>
          </w:tcPr>
          <w:p>
            <w:pPr>
              <w:spacing w:after="0"/>
              <w:rPr>
                <w:sz w:val="13"/>
                <w:szCs w:val="13"/>
                <w:color w:val="auto"/>
              </w:rPr>
            </w:pPr>
          </w:p>
        </w:tc>
        <w:tc>
          <w:tcPr>
            <w:tcW w:w="900" w:type="dxa"/>
            <w:vAlign w:val="bottom"/>
            <w:tcBorders>
              <w:bottom w:val="single" w:sz="8" w:color="CCECFF"/>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C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3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increase in paid-in capital</w:t>
            </w:r>
          </w:p>
        </w:tc>
        <w:tc>
          <w:tcPr>
            <w:tcW w:w="900" w:type="dxa"/>
            <w:vAlign w:val="bottom"/>
            <w:shd w:val="clear" w:color="auto" w:fill="CCECFF"/>
          </w:tcPr>
          <w:p>
            <w:pPr>
              <w:spacing w:after="0"/>
              <w:rPr>
                <w:sz w:val="13"/>
                <w:szCs w:val="13"/>
                <w:color w:val="auto"/>
              </w:rPr>
            </w:pPr>
          </w:p>
        </w:tc>
        <w:tc>
          <w:tcPr>
            <w:tcW w:w="1080" w:type="dxa"/>
            <w:vAlign w:val="bottom"/>
            <w:shd w:val="clear" w:color="auto" w:fill="CCECFF"/>
          </w:tcPr>
          <w:p>
            <w:pPr>
              <w:jc w:val="right"/>
              <w:ind w:right="9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94"/>
              </w:rPr>
              <w:t>(1,245,892)</w:t>
            </w:r>
          </w:p>
        </w:tc>
        <w:tc>
          <w:tcPr>
            <w:tcW w:w="30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(2,548,967)</w:t>
            </w:r>
          </w:p>
        </w:tc>
        <w:tc>
          <w:tcPr>
            <w:tcW w:w="30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142,244</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(Decrease) increase in accumulated net realized gain</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(799,498)</w:t>
            </w:r>
          </w:p>
        </w:tc>
        <w:tc>
          <w:tcPr>
            <w:tcW w:w="400" w:type="dxa"/>
            <w:vAlign w:val="bottom"/>
          </w:tcPr>
          <w:p>
            <w:pPr>
              <w:spacing w:after="0"/>
              <w:rPr>
                <w:sz w:val="14"/>
                <w:szCs w:val="1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(1,449,411)</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462,913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00" w:type="dxa"/>
            <w:vAlign w:val="bottom"/>
            <w:shd w:val="clear" w:color="auto" w:fill="CCECFF"/>
          </w:tcPr>
          <w:p>
            <w:pPr>
              <w:spacing w:after="0"/>
              <w:rPr>
                <w:sz w:val="20"/>
                <w:szCs w:val="20"/>
                <w:color w:val="auto"/>
              </w:rPr>
            </w:pPr>
            <w:r>
              <w:rPr>
                <w:rFonts w:ascii="Arial" w:cs="Arial" w:eastAsia="Arial" w:hAnsi="Arial"/>
                <w:sz w:val="14"/>
                <w:szCs w:val="14"/>
                <w:color w:val="auto"/>
              </w:rPr>
              <w:t>Increase (decrease) in undistributed net investment income</w:t>
            </w:r>
          </w:p>
        </w:tc>
        <w:tc>
          <w:tcPr>
            <w:tcW w:w="90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2,045,390</w:t>
            </w:r>
          </w:p>
        </w:tc>
        <w:tc>
          <w:tcPr>
            <w:tcW w:w="30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3,998,378</w:t>
            </w:r>
          </w:p>
        </w:tc>
        <w:tc>
          <w:tcPr>
            <w:tcW w:w="30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(605,157)</w:t>
            </w:r>
          </w:p>
        </w:tc>
        <w:tc>
          <w:tcPr>
            <w:tcW w:w="20" w:type="dxa"/>
            <w:vAlign w:val="bottom"/>
          </w:tcPr>
          <w:p>
            <w:pPr>
              <w:spacing w:after="0"/>
              <w:rPr>
                <w:sz w:val="14"/>
                <w:szCs w:val="14"/>
                <w:color w:val="auto"/>
              </w:rPr>
            </w:pPr>
          </w:p>
        </w:tc>
      </w:tr>
      <w:tr>
        <w:trPr>
          <w:trHeight w:val="677"/>
        </w:trPr>
        <w:tc>
          <w:tcPr>
            <w:tcW w:w="4300" w:type="dxa"/>
            <w:vAlign w:val="bottom"/>
          </w:tcPr>
          <w:p>
            <w:pPr>
              <w:spacing w:after="0"/>
              <w:rPr>
                <w:sz w:val="24"/>
                <w:szCs w:val="24"/>
                <w:color w:val="auto"/>
              </w:rPr>
            </w:pPr>
          </w:p>
        </w:tc>
        <w:tc>
          <w:tcPr>
            <w:tcW w:w="1980" w:type="dxa"/>
            <w:vAlign w:val="bottom"/>
            <w:gridSpan w:val="2"/>
          </w:tcPr>
          <w:p>
            <w:pPr>
              <w:jc w:val="right"/>
              <w:ind w:right="508"/>
              <w:spacing w:after="0"/>
              <w:rPr>
                <w:sz w:val="20"/>
                <w:szCs w:val="20"/>
                <w:color w:val="auto"/>
              </w:rPr>
            </w:pPr>
            <w:r>
              <w:rPr>
                <w:rFonts w:ascii="Arial" w:cs="Arial" w:eastAsia="Arial" w:hAnsi="Arial"/>
                <w:sz w:val="14"/>
                <w:szCs w:val="14"/>
                <w:color w:val="auto"/>
              </w:rPr>
              <w:t>65</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gridSpan w:val="4"/>
          </w:tcPr>
          <w:p>
            <w:pPr>
              <w:ind w:left="440"/>
              <w:spacing w:after="0"/>
              <w:rPr>
                <w:sz w:val="20"/>
                <w:szCs w:val="20"/>
                <w:color w:val="auto"/>
              </w:rPr>
            </w:pPr>
            <w:r>
              <w:rPr>
                <w:rFonts w:ascii="Arial" w:cs="Arial" w:eastAsia="Arial" w:hAnsi="Arial"/>
                <w:sz w:val="14"/>
                <w:szCs w:val="14"/>
                <w:color w:val="auto"/>
              </w:rPr>
              <w:t>The following reconciles net increase (decrease) in net assets resulting from operations to taxable income:</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5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Years Ended September 30,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86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6"/>
        </w:trPr>
        <w:tc>
          <w:tcPr>
            <w:tcW w:w="58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18,736,706</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(10,245,652)</w:t>
            </w:r>
          </w:p>
        </w:tc>
        <w:tc>
          <w:tcPr>
            <w:tcW w:w="100" w:type="dxa"/>
            <w:vAlign w:val="bottom"/>
            <w:shd w:val="clear" w:color="auto" w:fill="CCECFF"/>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31,027,037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80,530,707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(8,249,375)</w:t>
            </w:r>
          </w:p>
        </w:tc>
      </w:tr>
      <w:tr>
        <w:trPr>
          <w:trHeight w:val="162"/>
        </w:trPr>
        <w:tc>
          <w:tcPr>
            <w:tcW w:w="58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 investments and debt</w:t>
            </w:r>
          </w:p>
        </w:tc>
        <w:tc>
          <w:tcPr>
            <w:tcW w:w="3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(36,300,227)</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(28,652,631)</w:t>
            </w:r>
          </w:p>
        </w:tc>
        <w:tc>
          <w:tcPr>
            <w:tcW w:w="36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122,615,435</w:t>
            </w:r>
          </w:p>
        </w:tc>
        <w:tc>
          <w:tcPr>
            <w:tcW w:w="100" w:type="dxa"/>
            <w:vAlign w:val="bottom"/>
            <w:shd w:val="clear" w:color="auto" w:fill="CCECFF"/>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(6,838,039)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(1,438,839)</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2,294,934</w:t>
            </w:r>
          </w:p>
        </w:tc>
        <w:tc>
          <w:tcPr>
            <w:tcW w:w="100" w:type="dxa"/>
            <w:vAlign w:val="bottom"/>
          </w:tcPr>
          <w:p>
            <w:pPr>
              <w:spacing w:after="0"/>
              <w:rPr>
                <w:sz w:val="14"/>
                <w:szCs w:val="14"/>
                <w:color w:val="auto"/>
              </w:rPr>
            </w:pPr>
          </w:p>
        </w:tc>
      </w:tr>
      <w:tr>
        <w:trPr>
          <w:trHeight w:val="162"/>
        </w:trPr>
        <w:tc>
          <w:tcPr>
            <w:tcW w:w="586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6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3,026,409</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3,648,098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8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52,626,681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72,824,041</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106,415,342</w:t>
            </w:r>
          </w:p>
        </w:tc>
        <w:tc>
          <w:tcPr>
            <w:tcW w:w="100" w:type="dxa"/>
            <w:vAlign w:val="bottom"/>
          </w:tcPr>
          <w:p>
            <w:pPr>
              <w:spacing w:after="0"/>
              <w:rPr>
                <w:sz w:val="13"/>
                <w:szCs w:val="13"/>
                <w:color w:val="auto"/>
              </w:rPr>
            </w:pPr>
          </w:p>
        </w:tc>
      </w:tr>
      <w:tr>
        <w:trPr>
          <w:trHeight w:val="20"/>
        </w:trPr>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3"/>
              </w:rPr>
              <w:t>As of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6"/>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ordinary income – tax basis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18,388,023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31,137,312</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16,915,624</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Undistributed long-term capital (loss carryforward) gain</w:t>
            </w: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(113,198,158)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(81,242,318)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21,711,007</w:t>
            </w:r>
          </w:p>
        </w:tc>
        <w:tc>
          <w:tcPr>
            <w:tcW w:w="100" w:type="dxa"/>
            <w:vAlign w:val="bottom"/>
          </w:tcPr>
          <w:p>
            <w:pPr>
              <w:spacing w:after="0"/>
              <w:rPr>
                <w:sz w:val="14"/>
                <w:szCs w:val="14"/>
                <w:color w:val="auto"/>
              </w:rPr>
            </w:pP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3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(18,455,025)</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(31,547,434)</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(33,132,212)</w:t>
            </w: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Net unrealized depreciation of investments and debt</w:t>
            </w: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(58,735,214)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(95,035,441)</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(123,688,072)</w:t>
            </w:r>
          </w:p>
        </w:tc>
      </w:tr>
      <w:tr>
        <w:trPr>
          <w:trHeight w:val="155"/>
        </w:trPr>
        <w:tc>
          <w:tcPr>
            <w:tcW w:w="66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(172,000,374)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(176,687,881)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(118,193,653)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54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Years Ended September 30,</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48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w:t>
            </w:r>
          </w:p>
        </w:tc>
        <w:tc>
          <w:tcPr>
            <w:tcW w:w="1000" w:type="dxa"/>
            <w:vAlign w:val="bottom"/>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58,269,886</w:t>
            </w:r>
          </w:p>
        </w:tc>
        <w:tc>
          <w:tcPr>
            <w:tcW w:w="3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58,068,894</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83,275,238</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Long-term capital gain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21,711,007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4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58,269,886</w:t>
            </w:r>
          </w:p>
        </w:tc>
        <w:tc>
          <w:tcPr>
            <w:tcW w:w="30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79,779,901</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83,275,238</w:t>
            </w:r>
          </w:p>
        </w:tc>
        <w:tc>
          <w:tcPr>
            <w:tcW w:w="100" w:type="dxa"/>
            <w:vAlign w:val="bottom"/>
            <w:tcBorders>
              <w:top w:val="single" w:sz="8" w:color="CCECFF"/>
            </w:tcBorders>
            <w:shd w:val="clear" w:color="auto" w:fill="CCECFF"/>
          </w:tcPr>
          <w:p>
            <w:pPr>
              <w:spacing w:after="0"/>
              <w:rPr>
                <w:sz w:val="13"/>
                <w:szCs w:val="13"/>
                <w:color w:val="auto"/>
              </w:rPr>
            </w:pPr>
          </w:p>
        </w:tc>
      </w:tr>
      <w:tr>
        <w:trPr>
          <w:trHeight w:val="156"/>
        </w:trPr>
        <w:tc>
          <w:tcPr>
            <w:tcW w:w="5480" w:type="dxa"/>
            <w:vAlign w:val="bottom"/>
          </w:tcPr>
          <w:p>
            <w:pPr>
              <w:spacing w:after="0" w:line="155" w:lineRule="exact"/>
              <w:rPr>
                <w:sz w:val="20"/>
                <w:szCs w:val="20"/>
                <w:color w:val="auto"/>
              </w:rPr>
            </w:pPr>
            <w:r>
              <w:rPr>
                <w:rFonts w:ascii="Arial" w:cs="Arial" w:eastAsia="Arial" w:hAnsi="Arial"/>
                <w:sz w:val="14"/>
                <w:szCs w:val="14"/>
                <w:color w:val="auto"/>
              </w:rPr>
              <w:t>Total distributions per share based on weighted average shares</w:t>
            </w: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0.82</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27"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2017 and 2016, cash and cash equivalents consisted of $38.2 million and $75.6 million at fair value, respectively.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20"/>
                <w:szCs w:val="20"/>
                <w:color w:val="auto"/>
              </w:rPr>
            </w:pPr>
            <w:r>
              <w:rPr>
                <w:rFonts w:ascii="Arial" w:cs="Arial" w:eastAsia="Arial" w:hAnsi="Arial"/>
                <w:sz w:val="14"/>
                <w:szCs w:val="14"/>
                <w:b w:val="1"/>
                <w:bCs w:val="1"/>
                <w:color w:val="auto"/>
              </w:rPr>
              <w:t>10. FINANCIAL HIGHLIGHTS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2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tcBorders>
              <w:right w:val="single" w:sz="8" w:color="CCECFF"/>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9.82</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10.49</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0.79</w:t>
            </w:r>
          </w:p>
        </w:tc>
        <w:tc>
          <w:tcPr>
            <w:tcW w:w="260" w:type="dxa"/>
            <w:vAlign w:val="bottom"/>
            <w:tcBorders>
              <w:right w:val="single" w:sz="8" w:color="CCECFF"/>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0.99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260" w:type="dxa"/>
            <w:vAlign w:val="bottom"/>
            <w:tcBorders>
              <w:top w:val="single" w:sz="8" w:color="CCECFF"/>
              <w:right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(0.14)</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(0.82)</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(0.81)</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2"/>
        </w:trPr>
        <w:tc>
          <w:tcPr>
            <w:tcW w:w="502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(0.30)</w:t>
            </w:r>
          </w:p>
        </w:tc>
        <w:tc>
          <w:tcPr>
            <w:tcW w:w="1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(0.82)</w:t>
            </w:r>
          </w:p>
        </w:tc>
        <w:tc>
          <w:tcPr>
            <w:tcW w:w="260" w:type="dxa"/>
            <w:vAlign w:val="bottom"/>
            <w:tcBorders>
              <w:top w:val="single" w:sz="8" w:color="CCECFF"/>
              <w:right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w:t>
            </w:r>
          </w:p>
        </w:tc>
        <w:tc>
          <w:tcPr>
            <w:tcW w:w="26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26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26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year</w:t>
            </w: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7.51</w:t>
            </w:r>
          </w:p>
        </w:tc>
        <w:tc>
          <w:tcPr>
            <w:tcW w:w="260" w:type="dxa"/>
            <w:vAlign w:val="bottom"/>
            <w:tcBorders>
              <w:bottom w:val="single" w:sz="8" w:color="CCECFF"/>
              <w:right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7.52</w:t>
            </w:r>
          </w:p>
        </w:tc>
        <w:tc>
          <w:tcPr>
            <w:tcW w:w="2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6.47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10.91</w:t>
            </w:r>
          </w:p>
        </w:tc>
        <w:tc>
          <w:tcPr>
            <w:tcW w:w="2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11.28</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10.80%</w:t>
            </w: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36.64%</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(32.51)%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6.76%</w:t>
            </w:r>
          </w:p>
        </w:tc>
        <w:tc>
          <w:tcPr>
            <w:tcW w:w="180" w:type="dxa"/>
            <w:vAlign w:val="bottom"/>
          </w:tcPr>
          <w:p>
            <w:pPr>
              <w:spacing w:after="0"/>
              <w:rPr>
                <w:sz w:val="12"/>
                <w:szCs w:val="12"/>
                <w:color w:val="auto"/>
              </w:rPr>
            </w:pPr>
          </w:p>
        </w:tc>
        <w:tc>
          <w:tcPr>
            <w:tcW w:w="9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62"/>
        </w:trPr>
        <w:tc>
          <w:tcPr>
            <w:tcW w:w="50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year</w:t>
            </w: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Borders>
              <w:bottom w:val="single" w:sz="8" w:color="CCECFF"/>
              <w:right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72,966,043</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75,092,911</w:t>
            </w:r>
          </w:p>
        </w:tc>
        <w:tc>
          <w:tcPr>
            <w:tcW w:w="2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66,499,327</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5.78%</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6.65%</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6.81%</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6.43%</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4.18%</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20" w:type="dxa"/>
            <w:vAlign w:val="bottom"/>
            <w:vMerge w:val="continue"/>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80" w:type="dxa"/>
            <w:vAlign w:val="bottom"/>
            <w:tcBorders>
              <w:right w:val="single" w:sz="8" w:color="CCECFF"/>
            </w:tcBorders>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10.47%</w:t>
            </w:r>
          </w:p>
        </w:tc>
        <w:tc>
          <w:tcPr>
            <w:tcW w:w="1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10.83%</w:t>
            </w:r>
          </w:p>
        </w:tc>
        <w:tc>
          <w:tcPr>
            <w:tcW w:w="1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20"/>
              <w:spacing w:after="0" w:line="155" w:lineRule="exact"/>
              <w:rPr>
                <w:sz w:val="20"/>
                <w:szCs w:val="20"/>
                <w:color w:val="auto"/>
              </w:rPr>
            </w:pPr>
            <w:r>
              <w:rPr>
                <w:rFonts w:ascii="Arial" w:cs="Arial" w:eastAsia="Arial" w:hAnsi="Arial"/>
                <w:sz w:val="14"/>
                <w:szCs w:val="14"/>
                <w:color w:val="auto"/>
              </w:rPr>
              <w:t>10.20%</w:t>
            </w: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8.67%</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10.70%</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9.55%</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year</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646,808,471</w:t>
            </w:r>
          </w:p>
        </w:tc>
        <w:tc>
          <w:tcPr>
            <w:tcW w:w="260" w:type="dxa"/>
            <w:vAlign w:val="bottom"/>
            <w:tcBorders>
              <w:right w:val="single" w:sz="8" w:color="CCECFF"/>
            </w:tcBorders>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643,366,856</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716,590,542</w:t>
            </w:r>
          </w:p>
        </w:tc>
        <w:tc>
          <w:tcPr>
            <w:tcW w:w="2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828,009,949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697,506,199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605,661,674</w:t>
            </w:r>
          </w:p>
        </w:tc>
        <w:tc>
          <w:tcPr>
            <w:tcW w:w="26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634,769,508</w:t>
            </w:r>
          </w:p>
        </w:tc>
        <w:tc>
          <w:tcPr>
            <w:tcW w:w="26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580,367,750</w:t>
            </w:r>
          </w:p>
        </w:tc>
        <w:tc>
          <w:tcPr>
            <w:tcW w:w="2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526,252,068</w:t>
            </w:r>
          </w:p>
        </w:tc>
        <w:tc>
          <w:tcPr>
            <w:tcW w:w="26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363,246,849</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8.52</w:t>
            </w:r>
          </w:p>
        </w:tc>
        <w:tc>
          <w:tcPr>
            <w:tcW w:w="260" w:type="dxa"/>
            <w:vAlign w:val="bottom"/>
            <w:tcBorders>
              <w:right w:val="single" w:sz="8" w:color="CCECFF"/>
            </w:tcBorders>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8.86</w:t>
            </w: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7.85</w:t>
            </w: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5.47</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2,950</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2,756</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2,569</w:t>
            </w:r>
          </w:p>
        </w:tc>
        <w:tc>
          <w:tcPr>
            <w:tcW w:w="2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3,198</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24.68</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w:t>
            </w:r>
          </w:p>
        </w:tc>
        <w:tc>
          <w:tcPr>
            <w:tcW w:w="2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24.51</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43.60%</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26.50%</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50.66%</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1144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4"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3" w:lineRule="exact"/>
        <w:rPr>
          <w:rFonts w:ascii="Arial" w:cs="Arial" w:eastAsia="Arial" w:hAnsi="Arial"/>
          <w:sz w:val="12"/>
          <w:szCs w:val="12"/>
          <w:color w:val="auto"/>
        </w:rPr>
      </w:pPr>
    </w:p>
    <w:p>
      <w:pPr>
        <w:ind w:left="380" w:right="34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right="80" w:hanging="372"/>
        <w:spacing w:after="0" w:line="238" w:lineRule="auto"/>
        <w:tabs>
          <w:tab w:leader="none" w:pos="380" w:val="left"/>
        </w:tabs>
        <w:numPr>
          <w:ilvl w:val="0"/>
          <w:numId w:val="66"/>
        </w:numPr>
        <w:rPr>
          <w:rFonts w:ascii="Arial" w:cs="Arial" w:eastAsia="Arial" w:hAnsi="Arial"/>
          <w:sz w:val="11"/>
          <w:szCs w:val="11"/>
          <w:color w:val="auto"/>
        </w:rPr>
      </w:pPr>
      <w:r>
        <w:rPr>
          <w:rFonts w:ascii="Arial" w:cs="Arial" w:eastAsia="Arial" w:hAnsi="Arial"/>
          <w:sz w:val="13"/>
          <w:szCs w:val="13"/>
          <w:color w:val="auto"/>
        </w:rPr>
        <w:t>For the years ended September 30, 2017 and 2016, the ratio of operating expenses to average net assets before the waiver of certain Management Fees to average net assets was 6.65% and 7.64%, respectively, and the ratio of total expenses to average net assets before the waiver of certain Management Fees to average net assets was 11.33% and 11.82%, respectively.</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2017.</w:t>
      </w: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annualized weighted average cost of debt for the fiscal years ended September 30, 2017 and 2016, inclusive of the fee on the undrawn commitment and amendment costs on the Credit Facility, amortized upfront fees on SBA debentures and debt issuance costs, was 5.04% and 4.35%,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2017, we had a $445 million multi-currency Credit Facility with certain lenders and SunTrust Bank, acting as administrative agent, and JPMorgan Chase Bank, N.A., acting as syndication agent for the lenders. As of September 30, 2017 and 2016, there was $79.4 million and $50.3 million, respectively, in outstanding borrowings under the Credit Facility. The Credit Facility had a weighted average interest rate of 2.42% and 2.76%, respectively, exclusive of the fee on undrawn commitments of 0.375%, as of September 30, 2017 and 2016.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$120.0 million as of September 30, 2017. We have funded SBIC II with $75.0 million of equity capital and it had SBA debentures outstanding of $79.0 million as of September 30,</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02"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As of September 30, 2017 and 2016, our SBIC Funds had $300.0 million and $225.0 million in debt commitments, respectively, of which $199.0 million and $197.5 million was drawn, respectively. As of September 30, 2017 and 2016, the unamortized fees on the SBA debentures was $4.6 million and $4.3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3"/>
                <w:szCs w:val="23"/>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3"/>
                <w:szCs w:val="23"/>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2017</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4.37%</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2016</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22, 2010</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2020</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3.50%</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29,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4.46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44,500,000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3.44%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2017,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23"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As of September 30, 2017 and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As of September 30, 2016, we had $71.3 million in aggregate principal amount of 2025 Notes outstanding. Interest on the 2025 Notes was paid quarterly on February 1, May 1, August 1 and November 1, at a rate of 6.25% per year. On June 29, 2017, the 2025 Notes were redeemed in full and no amounts were outstanding as of September 30, 2017. The 2025 Notes had been scheduled to mature on February 1, 2025. The 2025 Notes were general, unsecured obligations and rank equal in right of payment with all of our unsecured indebtedness. The 2025 Notes were structurally subordinated to our SBA debentures and the assets pledged or secured under our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2017 and 2016, we had $21.6 million and $3.1 million, respectively, in commitments to fund investments. For the same periods, there were no letter of credits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UNCONSOLIDATED SIGNIFICANT SUBSIDIARIES</w:t>
      </w:r>
    </w:p>
    <w:p>
      <w:pPr>
        <w:spacing w:after="0" w:line="127"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2017, Superior Digital Displays, LLC triggered at least one of the significance tests. Superior Digital Displays, LLC became a controlled affiliated investment as of December 31, 2013. As a result and in accordance with Rule 4-08(g) of Regulation S-K, presented below is summarized unaudited financial information for Superior Digital Displays, LLC as of September 30, 2017 and 2016 as well as for the year ended September 30, 2017, 2016 and 2015.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Arial" w:cs="Arial" w:eastAsia="Arial" w:hAnsi="Arial"/>
                <w:sz w:val="14"/>
                <w:szCs w:val="14"/>
                <w:b w:val="1"/>
                <w:bCs w:val="1"/>
                <w:color w:val="auto"/>
              </w:rPr>
              <w:t>September 30, 2017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Pr>
          <w:p>
            <w:pPr>
              <w:spacing w:after="0"/>
              <w:rPr>
                <w:sz w:val="14"/>
                <w:szCs w:val="14"/>
                <w:color w:val="auto"/>
              </w:rPr>
            </w:pPr>
          </w:p>
        </w:tc>
      </w:tr>
      <w:tr>
        <w:trPr>
          <w:trHeight w:val="155"/>
        </w:trPr>
        <w:tc>
          <w:tcPr>
            <w:tcW w:w="34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16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712,024</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779,347</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Noncurrent assets</w:t>
            </w: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11,744,382</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16,310,556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40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1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1,261,443</w:t>
            </w:r>
          </w:p>
        </w:tc>
        <w:tc>
          <w:tcPr>
            <w:tcW w:w="3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265,009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Noncurrent liabilities</w:t>
            </w: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28,754,950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34,132,913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8"/>
        </w:trPr>
        <w:tc>
          <w:tcPr>
            <w:tcW w:w="3400" w:type="dxa"/>
            <w:vAlign w:val="bottom"/>
          </w:tcPr>
          <w:p>
            <w:pPr>
              <w:spacing w:after="0"/>
              <w:rPr>
                <w:sz w:val="24"/>
                <w:szCs w:val="24"/>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34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6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74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1,180,744</w:t>
            </w:r>
          </w:p>
        </w:tc>
        <w:tc>
          <w:tcPr>
            <w:tcW w:w="3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507,797</w:t>
            </w:r>
          </w:p>
        </w:tc>
        <w:tc>
          <w:tcPr>
            <w:tcW w:w="3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348,938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Total expenses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13,666,607</w:t>
            </w:r>
          </w:p>
        </w:tc>
        <w:tc>
          <w:tcPr>
            <w:tcW w:w="3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13,265,150</w:t>
            </w:r>
          </w:p>
        </w:tc>
        <w:tc>
          <w:tcPr>
            <w:tcW w:w="320" w:type="dxa"/>
            <w:vAlign w:val="bottom"/>
            <w:tcBorders>
              <w:bottom w:val="single" w:sz="8" w:color="CCEC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8,345,000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(12,485,863)</w:t>
            </w:r>
          </w:p>
        </w:tc>
        <w:tc>
          <w:tcPr>
            <w:tcW w:w="3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(12,757,353)</w:t>
            </w:r>
          </w:p>
        </w:tc>
        <w:tc>
          <w:tcPr>
            <w:tcW w:w="32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(7,996,062)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2"/>
          <w:szCs w:val="12"/>
          <w:color w:val="auto"/>
        </w:rPr>
      </w:pPr>
      <w:r>
        <w:rPr>
          <w:rFonts w:ascii="Arial" w:cs="Arial" w:eastAsia="Arial" w:hAnsi="Arial"/>
          <w:sz w:val="14"/>
          <w:szCs w:val="14"/>
          <w:color w:val="auto"/>
        </w:rPr>
        <w:t>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Effective January 1, 2018, PennantPark Investment Advisers, LLC has voluntarily and irrevocably agreed, in consultation with the board of directors, to (i) reduce base management fees to 1.50% of the Company’s “average adjusted gross assets”, (ii) reduce the incentive fee to 17.5% of the Company’s pre-incentive fee net investment income (subject to a 7.00% annualized “hurdle rate” and 100% “catch-up” with a ceiling of 8.4848%) and (iii) reduce the incentive fee to 17.5% of the Company’s cumulative net realized capital gains.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color w:val="auto"/>
        </w:rPr>
        <w:t>SUPPLEMENTARY DATA</w:t>
      </w:r>
    </w:p>
    <w:p>
      <w:pPr>
        <w:jc w:val="center"/>
        <w:spacing w:after="0" w:line="221" w:lineRule="auto"/>
        <w:rPr>
          <w:sz w:val="20"/>
          <w:szCs w:val="20"/>
          <w:color w:val="auto"/>
        </w:rPr>
      </w:pPr>
      <w:r>
        <w:rPr>
          <w:rFonts w:ascii="Arial" w:cs="Arial" w:eastAsia="Arial" w:hAnsi="Arial"/>
          <w:sz w:val="14"/>
          <w:szCs w:val="14"/>
          <w:color w:val="auto"/>
        </w:rPr>
        <w:t>Selected Quarterly Data (Unaudited)</w:t>
      </w:r>
    </w:p>
    <w:p>
      <w:pPr>
        <w:jc w:val="center"/>
        <w:spacing w:after="0"/>
        <w:rPr>
          <w:sz w:val="20"/>
          <w:szCs w:val="20"/>
          <w:color w:val="auto"/>
        </w:rPr>
      </w:pPr>
      <w:r>
        <w:rPr>
          <w:rFonts w:ascii="Arial" w:cs="Arial" w:eastAsia="Arial" w:hAnsi="Arial"/>
          <w:sz w:val="14"/>
          <w:szCs w:val="14"/>
          <w:color w:val="auto"/>
        </w:rPr>
        <w:t>(dollar amounts in thousands,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27,866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31,084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33,715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31,869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12,460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16,169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(5,344)</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(4,709)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7,424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18,779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11,460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24,049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32,160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35,540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39,108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35,263</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15,157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17,794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20,832</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16,832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12,552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(16,882)</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(57,587)</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27,709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27,833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3,950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(40,755)</w:t>
            </w: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(0.56)</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39,122</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40,641</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42,661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39,205</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20,031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20,654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22,096</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19,477</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(18,646)</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(15,718)</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(14,717)</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(43,423)</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4,936</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7,379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(23,946)</w:t>
            </w: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(0.32)</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10.25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C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144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2" w:name="page73"/>
    <w:bookmarkEnd w:id="72"/>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2017,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45 of this Form 10-K,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2018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2018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2018 Annual Meeting of Stockholders, to be filed with the SEC within 120 days following the end of our fiscal year.</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44.</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3.1</w:t>
            </w:r>
          </w:p>
        </w:tc>
        <w:tc>
          <w:tcPr>
            <w:tcW w:w="10220" w:type="dxa"/>
            <w:vAlign w:val="bottom"/>
            <w:gridSpan w:val="19"/>
          </w:tcPr>
          <w:p>
            <w:pPr>
              <w:spacing w:after="0"/>
              <w:rPr>
                <w:rFonts w:ascii="Arial" w:cs="Arial" w:eastAsia="Arial" w:hAnsi="Arial"/>
                <w:sz w:val="14"/>
                <w:szCs w:val="14"/>
                <w:color w:val="0000EE"/>
                <w:w w:val="95"/>
              </w:rPr>
            </w:pPr>
            <w:hyperlink r:id="rId113">
              <w:r>
                <w:rPr>
                  <w:rFonts w:ascii="Arial" w:cs="Arial" w:eastAsia="Arial" w:hAnsi="Arial"/>
                  <w:sz w:val="14"/>
                  <w:szCs w:val="14"/>
                  <w:color w:val="0000EE"/>
                  <w:w w:val="95"/>
                </w:rPr>
                <w:t>Articles of Incorporation (Incorporated by reference to Exhibit 99(a) to the Registrant’s Pre-Effective Amendment No. 3 to the Registration Statement on Form N-2/A (File No.</w:t>
              </w:r>
            </w:hyperlink>
          </w:p>
        </w:tc>
      </w:tr>
      <w:tr>
        <w:trPr>
          <w:trHeight w:val="128"/>
        </w:trPr>
        <w:tc>
          <w:tcPr>
            <w:tcW w:w="920" w:type="dxa"/>
            <w:vAlign w:val="bottom"/>
          </w:tcPr>
          <w:p>
            <w:pPr>
              <w:spacing w:after="0"/>
              <w:rPr>
                <w:sz w:val="11"/>
                <w:szCs w:val="11"/>
                <w:color w:val="auto"/>
              </w:rPr>
            </w:pPr>
          </w:p>
        </w:tc>
        <w:tc>
          <w:tcPr>
            <w:tcW w:w="1012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r:id="rId113">
              <w:r>
                <w:rPr>
                  <w:rFonts w:ascii="Arial" w:cs="Arial" w:eastAsia="Arial" w:hAnsi="Arial"/>
                  <w:sz w:val="14"/>
                  <w:szCs w:val="14"/>
                  <w:color w:val="0000EE"/>
                </w:rPr>
                <w:t>333-140092), filed on April 5, 2007).</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3.2</w:t>
            </w:r>
          </w:p>
        </w:tc>
        <w:tc>
          <w:tcPr>
            <w:tcW w:w="10220" w:type="dxa"/>
            <w:vAlign w:val="bottom"/>
            <w:gridSpan w:val="19"/>
          </w:tcPr>
          <w:p>
            <w:pPr>
              <w:spacing w:after="0"/>
              <w:rPr>
                <w:rFonts w:ascii="Arial" w:cs="Arial" w:eastAsia="Arial" w:hAnsi="Arial"/>
                <w:sz w:val="14"/>
                <w:szCs w:val="14"/>
                <w:color w:val="0000EE"/>
                <w:w w:val="98"/>
              </w:rPr>
            </w:pPr>
            <w:hyperlink r:id="rId114">
              <w:r>
                <w:rPr>
                  <w:rFonts w:ascii="Arial" w:cs="Arial" w:eastAsia="Arial" w:hAnsi="Arial"/>
                  <w:sz w:val="14"/>
                  <w:szCs w:val="14"/>
                  <w:color w:val="0000EE"/>
                  <w:w w:val="98"/>
                </w:rPr>
                <w:t>Amended and Restated Bylaws of the Registrant (Incorporated by reference to Exhibit 3.1 to the Registrant’s Current Report on Form 8-K (File No. 814-00736), filed on</w:t>
              </w:r>
            </w:hyperlink>
          </w:p>
        </w:tc>
      </w:tr>
      <w:tr>
        <w:trPr>
          <w:trHeight w:val="128"/>
        </w:trPr>
        <w:tc>
          <w:tcPr>
            <w:tcW w:w="9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r:id="rId114">
              <w:r>
                <w:rPr>
                  <w:rFonts w:ascii="Arial" w:cs="Arial" w:eastAsia="Arial" w:hAnsi="Arial"/>
                  <w:sz w:val="14"/>
                  <w:szCs w:val="14"/>
                  <w:color w:val="0000EE"/>
                  <w:w w:val="90"/>
                </w:rPr>
                <w:t>December 2, 2015).</w:t>
              </w:r>
            </w:hyperlink>
          </w:p>
        </w:tc>
        <w:tc>
          <w:tcPr>
            <w:tcW w:w="8600" w:type="dxa"/>
            <w:vAlign w:val="bottom"/>
            <w:tcBorders>
              <w:top w:val="single" w:sz="8" w:color="0000EE"/>
            </w:tcBorders>
            <w:gridSpan w:val="7"/>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6"/>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4.1</w:t>
            </w:r>
          </w:p>
        </w:tc>
        <w:tc>
          <w:tcPr>
            <w:tcW w:w="10220" w:type="dxa"/>
            <w:vAlign w:val="bottom"/>
            <w:gridSpan w:val="19"/>
          </w:tcPr>
          <w:p>
            <w:pPr>
              <w:spacing w:after="0"/>
              <w:rPr>
                <w:rFonts w:ascii="Arial" w:cs="Arial" w:eastAsia="Arial" w:hAnsi="Arial"/>
                <w:sz w:val="14"/>
                <w:szCs w:val="14"/>
                <w:u w:val="single" w:color="auto"/>
                <w:color w:val="0000EE"/>
                <w:w w:val="95"/>
              </w:rPr>
            </w:pPr>
            <w:hyperlink r:id="rId115">
              <w:r>
                <w:rPr>
                  <w:rFonts w:ascii="Arial" w:cs="Arial" w:eastAsia="Arial" w:hAnsi="Arial"/>
                  <w:sz w:val="14"/>
                  <w:szCs w:val="14"/>
                  <w:u w:val="single" w:color="auto"/>
                  <w:color w:val="0000EE"/>
                  <w:w w:val="95"/>
                </w:rPr>
                <w:t>Form of Share Certificate (Incorporated by reference to Exhibit 99(d)(1) to the Registrant’s Registration Statement on Form N-2 (File No. 333-150033), filed on April 2, 2008).</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4.2</w:t>
            </w:r>
          </w:p>
        </w:tc>
        <w:tc>
          <w:tcPr>
            <w:tcW w:w="10220" w:type="dxa"/>
            <w:vAlign w:val="bottom"/>
            <w:gridSpan w:val="19"/>
          </w:tcPr>
          <w:p>
            <w:pPr>
              <w:spacing w:after="0"/>
              <w:rPr>
                <w:rFonts w:ascii="Arial" w:cs="Arial" w:eastAsia="Arial" w:hAnsi="Arial"/>
                <w:sz w:val="14"/>
                <w:szCs w:val="14"/>
                <w:color w:val="0000EE"/>
                <w:w w:val="95"/>
              </w:rPr>
            </w:pPr>
            <w:hyperlink r:id="rId116">
              <w:r>
                <w:rPr>
                  <w:rFonts w:ascii="Arial" w:cs="Arial" w:eastAsia="Arial" w:hAnsi="Arial"/>
                  <w:sz w:val="14"/>
                  <w:szCs w:val="14"/>
                  <w:color w:val="0000EE"/>
                  <w:w w:val="95"/>
                </w:rPr>
                <w:t>Base Indenture, dated as of January 22, 2013, relating to the 6.25% Senior Notes due 2025, between the Registrant and American Stock Transfer &amp; Trust Company, LLC, as</w:t>
              </w:r>
            </w:hyperlink>
          </w:p>
        </w:tc>
      </w:tr>
      <w:tr>
        <w:trPr>
          <w:trHeight w:val="128"/>
        </w:trPr>
        <w:tc>
          <w:tcPr>
            <w:tcW w:w="920" w:type="dxa"/>
            <w:vAlign w:val="bottom"/>
          </w:tcPr>
          <w:p>
            <w:pPr>
              <w:spacing w:after="0"/>
              <w:rPr>
                <w:sz w:val="11"/>
                <w:szCs w:val="11"/>
                <w:color w:val="auto"/>
              </w:rPr>
            </w:pPr>
          </w:p>
        </w:tc>
        <w:tc>
          <w:tcPr>
            <w:tcW w:w="992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92"/>
              </w:rPr>
            </w:pPr>
            <w:hyperlink r:id="rId116">
              <w:r>
                <w:rPr>
                  <w:rFonts w:ascii="Arial" w:cs="Arial" w:eastAsia="Arial" w:hAnsi="Arial"/>
                  <w:sz w:val="14"/>
                  <w:szCs w:val="14"/>
                  <w:color w:val="0000EE"/>
                  <w:w w:val="92"/>
                </w:rPr>
                <w:t>trustee (Incorporated by reference to Exhibit 99(d)(8) to the Registrant’s Post-Effective Amendment No.4 to the Registration Statement on Form N-2/A (File No.333-172524),</w:t>
              </w:r>
            </w:hyperlink>
          </w:p>
        </w:tc>
        <w:tc>
          <w:tcPr>
            <w:tcW w:w="1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0040" w:type="dxa"/>
            <w:vAlign w:val="bottom"/>
            <w:gridSpan w:val="11"/>
          </w:tcPr>
          <w:p>
            <w:pPr>
              <w:spacing w:after="0" w:line="129" w:lineRule="exact"/>
              <w:rPr>
                <w:rFonts w:ascii="Arial" w:cs="Arial" w:eastAsia="Arial" w:hAnsi="Arial"/>
                <w:sz w:val="14"/>
                <w:szCs w:val="14"/>
                <w:color w:val="0000EE"/>
              </w:rPr>
            </w:pPr>
            <w:hyperlink r:id="rId116">
              <w:r>
                <w:rPr>
                  <w:rFonts w:ascii="Arial" w:cs="Arial" w:eastAsia="Arial" w:hAnsi="Arial"/>
                  <w:sz w:val="14"/>
                  <w:szCs w:val="14"/>
                  <w:color w:val="0000EE"/>
                </w:rPr>
                <w:t>filed on January 22, 2013).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4.3</w:t>
            </w:r>
          </w:p>
        </w:tc>
        <w:tc>
          <w:tcPr>
            <w:tcW w:w="10220" w:type="dxa"/>
            <w:vAlign w:val="bottom"/>
            <w:gridSpan w:val="19"/>
          </w:tcPr>
          <w:p>
            <w:pPr>
              <w:spacing w:after="0"/>
              <w:rPr>
                <w:rFonts w:ascii="Arial" w:cs="Arial" w:eastAsia="Arial" w:hAnsi="Arial"/>
                <w:sz w:val="14"/>
                <w:szCs w:val="14"/>
                <w:color w:val="0000EE"/>
                <w:w w:val="92"/>
              </w:rPr>
            </w:pPr>
            <w:hyperlink r:id="rId117">
              <w:r>
                <w:rPr>
                  <w:rFonts w:ascii="Arial" w:cs="Arial" w:eastAsia="Arial" w:hAnsi="Arial"/>
                  <w:sz w:val="14"/>
                  <w:szCs w:val="14"/>
                  <w:color w:val="0000EE"/>
                  <w:w w:val="92"/>
                </w:rPr>
                <w:t>Second Supplemental Indenture, dated as of September 23, 2014, relating to the 4.50% Notes due 2019, between the Registrant and American Stock Transfer &amp; Trust Company,</w:t>
              </w:r>
            </w:hyperlink>
          </w:p>
        </w:tc>
      </w:tr>
      <w:tr>
        <w:trPr>
          <w:trHeight w:val="128"/>
        </w:trPr>
        <w:tc>
          <w:tcPr>
            <w:tcW w:w="920" w:type="dxa"/>
            <w:vAlign w:val="bottom"/>
          </w:tcPr>
          <w:p>
            <w:pPr>
              <w:spacing w:after="0"/>
              <w:rPr>
                <w:sz w:val="11"/>
                <w:szCs w:val="11"/>
                <w:color w:val="auto"/>
              </w:rPr>
            </w:pPr>
          </w:p>
        </w:tc>
        <w:tc>
          <w:tcPr>
            <w:tcW w:w="10160" w:type="dxa"/>
            <w:vAlign w:val="bottom"/>
            <w:tcBorders>
              <w:top w:val="single" w:sz="8" w:color="0000EE"/>
              <w:bottom w:val="single" w:sz="8" w:color="0000EE"/>
            </w:tcBorders>
            <w:gridSpan w:val="16"/>
          </w:tcPr>
          <w:p>
            <w:pPr>
              <w:spacing w:after="0" w:line="129" w:lineRule="exact"/>
              <w:rPr>
                <w:rFonts w:ascii="Arial" w:cs="Arial" w:eastAsia="Arial" w:hAnsi="Arial"/>
                <w:sz w:val="14"/>
                <w:szCs w:val="14"/>
                <w:color w:val="0000EE"/>
                <w:w w:val="93"/>
              </w:rPr>
            </w:pPr>
            <w:hyperlink r:id="rId117">
              <w:r>
                <w:rPr>
                  <w:rFonts w:ascii="Arial" w:cs="Arial" w:eastAsia="Arial" w:hAnsi="Arial"/>
                  <w:sz w:val="14"/>
                  <w:szCs w:val="14"/>
                  <w:color w:val="0000EE"/>
                  <w:w w:val="93"/>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320" w:type="dxa"/>
            <w:vAlign w:val="bottom"/>
            <w:tcBorders>
              <w:bottom w:val="single" w:sz="8" w:color="0000EE"/>
            </w:tcBorders>
          </w:tcPr>
          <w:p>
            <w:pPr>
              <w:spacing w:after="0" w:line="129" w:lineRule="exact"/>
              <w:rPr>
                <w:rFonts w:ascii="Arial" w:cs="Arial" w:eastAsia="Arial" w:hAnsi="Arial"/>
                <w:sz w:val="14"/>
                <w:szCs w:val="14"/>
                <w:color w:val="0000EE"/>
                <w:w w:val="85"/>
              </w:rPr>
            </w:pPr>
            <w:hyperlink r:id="rId117">
              <w:r>
                <w:rPr>
                  <w:rFonts w:ascii="Arial" w:cs="Arial" w:eastAsia="Arial" w:hAnsi="Arial"/>
                  <w:sz w:val="14"/>
                  <w:szCs w:val="14"/>
                  <w:color w:val="0000EE"/>
                  <w:w w:val="85"/>
                </w:rPr>
                <w:t>2014.</w:t>
              </w:r>
            </w:hyperlink>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5"/>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4.4</w:t>
            </w:r>
          </w:p>
        </w:tc>
        <w:tc>
          <w:tcPr>
            <w:tcW w:w="10220" w:type="dxa"/>
            <w:vAlign w:val="bottom"/>
            <w:gridSpan w:val="19"/>
          </w:tcPr>
          <w:p>
            <w:pPr>
              <w:spacing w:after="0"/>
              <w:rPr>
                <w:rFonts w:ascii="Arial" w:cs="Arial" w:eastAsia="Arial" w:hAnsi="Arial"/>
                <w:sz w:val="14"/>
                <w:szCs w:val="14"/>
                <w:u w:val="single" w:color="auto"/>
                <w:color w:val="0000EE"/>
              </w:rPr>
            </w:pPr>
            <w:hyperlink r:id="rId117">
              <w:r>
                <w:rPr>
                  <w:rFonts w:ascii="Arial" w:cs="Arial" w:eastAsia="Arial" w:hAnsi="Arial"/>
                  <w:sz w:val="14"/>
                  <w:szCs w:val="14"/>
                  <w:u w:val="single" w:color="auto"/>
                  <w:color w:val="0000EE"/>
                </w:rPr>
                <w:t>Form of 4.50% Notes due 2019 (included as part of Exhibit 4.3).</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10.1</w:t>
            </w:r>
          </w:p>
        </w:tc>
        <w:tc>
          <w:tcPr>
            <w:tcW w:w="10220" w:type="dxa"/>
            <w:vAlign w:val="bottom"/>
            <w:gridSpan w:val="19"/>
          </w:tcPr>
          <w:p>
            <w:pPr>
              <w:spacing w:after="0"/>
              <w:rPr>
                <w:rFonts w:ascii="Arial" w:cs="Arial" w:eastAsia="Arial" w:hAnsi="Arial"/>
                <w:sz w:val="14"/>
                <w:szCs w:val="14"/>
                <w:color w:val="0000EE"/>
                <w:w w:val="92"/>
              </w:rPr>
            </w:pPr>
            <w:hyperlink r:id="rId118">
              <w:r>
                <w:rPr>
                  <w:rFonts w:ascii="Arial" w:cs="Arial" w:eastAsia="Arial" w:hAnsi="Arial"/>
                  <w:sz w:val="14"/>
                  <w:szCs w:val="14"/>
                  <w:color w:val="0000EE"/>
                  <w:w w:val="92"/>
                </w:rPr>
                <w:t>First Amended and Restated Investment Advisory Management Agreement between the Registrant and PennantPark Investment Advisers, LLC (Incorporated by reference to the</w:t>
              </w:r>
            </w:hyperlink>
          </w:p>
        </w:tc>
      </w:tr>
      <w:tr>
        <w:trPr>
          <w:trHeight w:val="129"/>
        </w:trPr>
        <w:tc>
          <w:tcPr>
            <w:tcW w:w="920" w:type="dxa"/>
            <w:vAlign w:val="bottom"/>
          </w:tcPr>
          <w:p>
            <w:pPr>
              <w:spacing w:after="0"/>
              <w:rPr>
                <w:sz w:val="11"/>
                <w:szCs w:val="11"/>
                <w:color w:val="auto"/>
              </w:rPr>
            </w:pPr>
          </w:p>
        </w:tc>
        <w:tc>
          <w:tcPr>
            <w:tcW w:w="544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4"/>
              </w:rPr>
            </w:pPr>
            <w:hyperlink r:id="rId118">
              <w:r>
                <w:rPr>
                  <w:rFonts w:ascii="Arial" w:cs="Arial" w:eastAsia="Arial" w:hAnsi="Arial"/>
                  <w:sz w:val="14"/>
                  <w:szCs w:val="14"/>
                  <w:color w:val="0000EE"/>
                  <w:w w:val="94"/>
                </w:rPr>
                <w:t>Registrant’s Quarterly Report on Form 10-Q (File No. 814-00736), filed on February 3, 2016).</w:t>
              </w:r>
            </w:hyperlink>
          </w:p>
        </w:tc>
        <w:tc>
          <w:tcPr>
            <w:tcW w:w="4760" w:type="dxa"/>
            <w:vAlign w:val="bottom"/>
            <w:tcBorders>
              <w:top w:val="single" w:sz="8" w:color="0000EE"/>
            </w:tcBorders>
            <w:gridSpan w:val="12"/>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10.2</w:t>
            </w:r>
          </w:p>
        </w:tc>
        <w:tc>
          <w:tcPr>
            <w:tcW w:w="10220" w:type="dxa"/>
            <w:vAlign w:val="bottom"/>
            <w:gridSpan w:val="19"/>
          </w:tcPr>
          <w:p>
            <w:pPr>
              <w:spacing w:after="0"/>
              <w:rPr>
                <w:rFonts w:ascii="Arial" w:cs="Arial" w:eastAsia="Arial" w:hAnsi="Arial"/>
                <w:sz w:val="14"/>
                <w:szCs w:val="14"/>
                <w:color w:val="0000EE"/>
                <w:w w:val="95"/>
              </w:rPr>
            </w:pPr>
            <w:hyperlink r:id="rId119">
              <w:r>
                <w:rPr>
                  <w:rFonts w:ascii="Arial" w:cs="Arial" w:eastAsia="Arial" w:hAnsi="Arial"/>
                  <w:sz w:val="14"/>
                  <w:szCs w:val="14"/>
                  <w:color w:val="0000EE"/>
                  <w:w w:val="95"/>
                </w:rPr>
                <w:t>Form of Administration Agreement between the Registrant and PennantPark Investment Administration LLC (Incorporated by reference to Exhibit 99(k)(1) to the Registrant’s</w:t>
              </w:r>
            </w:hyperlink>
          </w:p>
        </w:tc>
      </w:tr>
      <w:tr>
        <w:trPr>
          <w:trHeight w:val="129"/>
        </w:trPr>
        <w:tc>
          <w:tcPr>
            <w:tcW w:w="920" w:type="dxa"/>
            <w:vAlign w:val="bottom"/>
          </w:tcPr>
          <w:p>
            <w:pPr>
              <w:spacing w:after="0"/>
              <w:rPr>
                <w:sz w:val="11"/>
                <w:szCs w:val="11"/>
                <w:color w:val="auto"/>
              </w:rPr>
            </w:pPr>
          </w:p>
        </w:tc>
        <w:tc>
          <w:tcPr>
            <w:tcW w:w="48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4"/>
              </w:rPr>
            </w:pPr>
            <w:hyperlink r:id="rId119">
              <w:r>
                <w:rPr>
                  <w:rFonts w:ascii="Arial" w:cs="Arial" w:eastAsia="Arial" w:hAnsi="Arial"/>
                  <w:sz w:val="14"/>
                  <w:szCs w:val="14"/>
                  <w:color w:val="0000EE"/>
                  <w:w w:val="94"/>
                </w:rPr>
                <w:t>Registration Statement on Form N-2 (File No. 333-150033), filed on April 2, 2008).</w:t>
              </w:r>
            </w:hyperlink>
          </w:p>
        </w:tc>
        <w:tc>
          <w:tcPr>
            <w:tcW w:w="5240" w:type="dxa"/>
            <w:vAlign w:val="bottom"/>
            <w:tcBorders>
              <w:top w:val="single" w:sz="8" w:color="0000EE"/>
            </w:tcBorders>
            <w:gridSpan w:val="8"/>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305"/>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10.3</w:t>
            </w:r>
          </w:p>
        </w:tc>
        <w:tc>
          <w:tcPr>
            <w:tcW w:w="10220" w:type="dxa"/>
            <w:vAlign w:val="bottom"/>
            <w:gridSpan w:val="19"/>
          </w:tcPr>
          <w:p>
            <w:pPr>
              <w:spacing w:after="0"/>
              <w:rPr>
                <w:rFonts w:ascii="Arial" w:cs="Arial" w:eastAsia="Arial" w:hAnsi="Arial"/>
                <w:sz w:val="14"/>
                <w:szCs w:val="14"/>
                <w:u w:val="single" w:color="auto"/>
                <w:color w:val="0000EE"/>
                <w:w w:val="95"/>
              </w:rPr>
            </w:pPr>
            <w:hyperlink r:id="rId120">
              <w:r>
                <w:rPr>
                  <w:rFonts w:ascii="Arial" w:cs="Arial" w:eastAsia="Arial" w:hAnsi="Arial"/>
                  <w:sz w:val="14"/>
                  <w:szCs w:val="14"/>
                  <w:u w:val="single" w:color="auto"/>
                  <w:color w:val="0000EE"/>
                  <w:w w:val="95"/>
                </w:rPr>
                <w:t>Dividend Reinvestment Plan (Incorporated by reference to Exhibit 99(e) to the Registrant’s Registration Statement on Form N-2 (File No. 333-150033), filed on April 2, 2008).</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10.4</w:t>
            </w:r>
          </w:p>
        </w:tc>
        <w:tc>
          <w:tcPr>
            <w:tcW w:w="10220" w:type="dxa"/>
            <w:vAlign w:val="bottom"/>
            <w:gridSpan w:val="19"/>
          </w:tcPr>
          <w:p>
            <w:pPr>
              <w:spacing w:after="0"/>
              <w:rPr>
                <w:rFonts w:ascii="Arial" w:cs="Arial" w:eastAsia="Arial" w:hAnsi="Arial"/>
                <w:sz w:val="14"/>
                <w:szCs w:val="14"/>
                <w:color w:val="0000EE"/>
                <w:w w:val="97"/>
              </w:rPr>
            </w:pPr>
            <w:hyperlink r:id="rId121">
              <w:r>
                <w:rPr>
                  <w:rFonts w:ascii="Arial" w:cs="Arial" w:eastAsia="Arial" w:hAnsi="Arial"/>
                  <w:sz w:val="14"/>
                  <w:szCs w:val="14"/>
                  <w:color w:val="0000EE"/>
                  <w:w w:val="97"/>
                </w:rPr>
                <w:t>First Omnibus Amendment to Second Amended and Restated Senior Secured Revolving Credit Agreement and Second Amended and Restated Guarantee and Security</w:t>
              </w:r>
            </w:hyperlink>
          </w:p>
        </w:tc>
      </w:tr>
      <w:tr>
        <w:trPr>
          <w:trHeight w:val="20"/>
        </w:trPr>
        <w:tc>
          <w:tcPr>
            <w:tcW w:w="92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220" w:type="dxa"/>
            <w:vAlign w:val="bottom"/>
            <w:gridSpan w:val="19"/>
          </w:tcPr>
          <w:p>
            <w:pPr>
              <w:spacing w:after="0" w:line="129" w:lineRule="exact"/>
              <w:rPr>
                <w:rFonts w:ascii="Arial" w:cs="Arial" w:eastAsia="Arial" w:hAnsi="Arial"/>
                <w:sz w:val="14"/>
                <w:szCs w:val="14"/>
                <w:color w:val="0000EE"/>
                <w:w w:val="93"/>
              </w:rPr>
            </w:pPr>
            <w:hyperlink r:id="rId121">
              <w:r>
                <w:rPr>
                  <w:rFonts w:ascii="Arial" w:cs="Arial" w:eastAsia="Arial" w:hAnsi="Arial"/>
                  <w:sz w:val="14"/>
                  <w:szCs w:val="14"/>
                  <w:color w:val="0000EE"/>
                  <w:w w:val="93"/>
                </w:rPr>
                <w:t>Agreement, dated as of May 25, 2017, among the Registrant, the lenders party thereto and SunTrust Bank, as administrative agent for the lenders (Incorporated by reference to</w:t>
              </w:r>
            </w:hyperlink>
          </w:p>
        </w:tc>
      </w:tr>
      <w:tr>
        <w:trPr>
          <w:trHeight w:val="128"/>
        </w:trPr>
        <w:tc>
          <w:tcPr>
            <w:tcW w:w="920" w:type="dxa"/>
            <w:vAlign w:val="bottom"/>
          </w:tcPr>
          <w:p>
            <w:pPr>
              <w:spacing w:after="0"/>
              <w:rPr>
                <w:sz w:val="11"/>
                <w:szCs w:val="11"/>
                <w:color w:val="auto"/>
              </w:rPr>
            </w:pPr>
          </w:p>
        </w:tc>
        <w:tc>
          <w:tcPr>
            <w:tcW w:w="1006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121">
              <w:r>
                <w:rPr>
                  <w:rFonts w:ascii="Arial" w:cs="Arial" w:eastAsia="Arial" w:hAnsi="Arial"/>
                  <w:sz w:val="14"/>
                  <w:szCs w:val="14"/>
                  <w:color w:val="0000EE"/>
                </w:rPr>
                <w:t>Exhibit 10.1 to the Registrant’s Quarterly Report on Form 10-Q (File No. 814-00736), filed on August 7, 2017).</w:t>
              </w:r>
            </w:hyperlink>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10.5</w:t>
            </w:r>
          </w:p>
        </w:tc>
        <w:tc>
          <w:tcPr>
            <w:tcW w:w="10220" w:type="dxa"/>
            <w:vAlign w:val="bottom"/>
            <w:gridSpan w:val="19"/>
          </w:tcPr>
          <w:p>
            <w:pPr>
              <w:spacing w:after="0"/>
              <w:rPr>
                <w:rFonts w:ascii="Arial" w:cs="Arial" w:eastAsia="Arial" w:hAnsi="Arial"/>
                <w:sz w:val="14"/>
                <w:szCs w:val="14"/>
                <w:color w:val="0000EE"/>
                <w:w w:val="93"/>
              </w:rPr>
            </w:pPr>
            <w:hyperlink r:id="rId122">
              <w:r>
                <w:rPr>
                  <w:rFonts w:ascii="Arial" w:cs="Arial" w:eastAsia="Arial" w:hAnsi="Arial"/>
                  <w:sz w:val="14"/>
                  <w:szCs w:val="14"/>
                  <w:color w:val="0000EE"/>
                  <w:w w:val="93"/>
                </w:rPr>
                <w:t>Indemnification Agreement, dated as of November 15, 2016, between PennantPark Investment Corporation and each of the directors and officers listed on Schedule A attached</w:t>
              </w:r>
            </w:hyperlink>
          </w:p>
        </w:tc>
      </w:tr>
      <w:tr>
        <w:trPr>
          <w:trHeight w:val="176"/>
        </w:trPr>
        <w:tc>
          <w:tcPr>
            <w:tcW w:w="920" w:type="dxa"/>
            <w:vAlign w:val="bottom"/>
          </w:tcPr>
          <w:p>
            <w:pPr>
              <w:spacing w:after="0"/>
              <w:rPr>
                <w:sz w:val="15"/>
                <w:szCs w:val="15"/>
                <w:color w:val="auto"/>
              </w:rPr>
            </w:pPr>
          </w:p>
        </w:tc>
        <w:tc>
          <w:tcPr>
            <w:tcW w:w="10100" w:type="dxa"/>
            <w:vAlign w:val="bottom"/>
            <w:tcBorders>
              <w:top w:val="single" w:sz="8" w:color="0000EE"/>
            </w:tcBorders>
            <w:gridSpan w:val="14"/>
          </w:tcPr>
          <w:p>
            <w:pPr>
              <w:spacing w:after="0"/>
              <w:rPr>
                <w:rFonts w:ascii="Arial" w:cs="Arial" w:eastAsia="Arial" w:hAnsi="Arial"/>
                <w:sz w:val="14"/>
                <w:szCs w:val="14"/>
                <w:u w:val="single" w:color="auto"/>
                <w:color w:val="0000EE"/>
              </w:rPr>
            </w:pPr>
            <w:hyperlink r:id="rId122">
              <w:r>
                <w:rPr>
                  <w:rFonts w:ascii="Arial" w:cs="Arial" w:eastAsia="Arial" w:hAnsi="Arial"/>
                  <w:sz w:val="14"/>
                  <w:szCs w:val="14"/>
                  <w:u w:val="single" w:color="auto"/>
                  <w:color w:val="0000EE"/>
                </w:rPr>
                <w:t>thereto (Incorporated by reference to Exhibit 10.5 to the Registrant’s Annual Report on Form 10-K (File No. 814-00736) filed on November 21, 2016).</w:t>
              </w:r>
            </w:hyperlink>
          </w:p>
        </w:tc>
        <w:tc>
          <w:tcPr>
            <w:tcW w:w="120" w:type="dxa"/>
            <w:vAlign w:val="bottom"/>
            <w:gridSpan w:val="5"/>
          </w:tcPr>
          <w:p>
            <w:pPr>
              <w:spacing w:after="0"/>
              <w:rPr>
                <w:sz w:val="15"/>
                <w:szCs w:val="15"/>
                <w:color w:val="auto"/>
              </w:rPr>
            </w:pPr>
          </w:p>
        </w:tc>
      </w:tr>
    </w:tbl>
    <w:p>
      <w:pPr>
        <w:spacing w:after="0" w:line="96"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14"/>
          <w:szCs w:val="14"/>
          <w:color w:val="0000EE"/>
        </w:rPr>
      </w:pPr>
      <w:hyperlink w:anchor="page67">
        <w:r>
          <w:rPr>
            <w:rFonts w:ascii="Arial" w:cs="Arial" w:eastAsia="Arial" w:hAnsi="Arial"/>
            <w:sz w:val="14"/>
            <w:szCs w:val="14"/>
            <w:u w:val="single" w:color="auto"/>
            <w:color w:val="0000EE"/>
          </w:rPr>
          <w:t>Computation of Per Share Earnings (included in the notes to the audited financial statements contained in this Report)</w:t>
        </w:r>
        <w:r>
          <w:rPr>
            <w:rFonts w:ascii="Arial" w:cs="Arial" w:eastAsia="Arial" w:hAnsi="Arial"/>
            <w:sz w:val="14"/>
            <w:szCs w:val="14"/>
            <w:color w:val="0000EE"/>
          </w:rPr>
          <w:t>.</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14.1*</w:t>
            </w:r>
          </w:p>
        </w:tc>
        <w:tc>
          <w:tcPr>
            <w:tcW w:w="10460" w:type="dxa"/>
            <w:vAlign w:val="bottom"/>
          </w:tcPr>
          <w:p>
            <w:pPr>
              <w:ind w:left="30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Joint Code of Ethics of the Registrant.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21.1*</w:t>
            </w:r>
          </w:p>
        </w:tc>
        <w:tc>
          <w:tcPr>
            <w:tcW w:w="10460" w:type="dxa"/>
            <w:vAlign w:val="bottom"/>
          </w:tcPr>
          <w:p>
            <w:pPr>
              <w:ind w:left="300"/>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Subsidiaries of the Registrant</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31.1*</w:t>
            </w:r>
          </w:p>
        </w:tc>
        <w:tc>
          <w:tcPr>
            <w:tcW w:w="10460" w:type="dxa"/>
            <w:vAlign w:val="bottom"/>
          </w:tcPr>
          <w:p>
            <w:pPr>
              <w:ind w:left="300"/>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Certification of Chief Executive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31.2*</w:t>
            </w:r>
          </w:p>
        </w:tc>
        <w:tc>
          <w:tcPr>
            <w:tcW w:w="10460" w:type="dxa"/>
            <w:vAlign w:val="bottom"/>
          </w:tcPr>
          <w:p>
            <w:pPr>
              <w:ind w:left="30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Certification of Chief Financial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32.1*</w:t>
            </w:r>
          </w:p>
        </w:tc>
        <w:tc>
          <w:tcPr>
            <w:tcW w:w="10460" w:type="dxa"/>
            <w:vAlign w:val="bottom"/>
          </w:tcPr>
          <w:p>
            <w:pPr>
              <w:ind w:left="30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Certification of Chief Executive Officer pursuant to section 906 of the Sarbanes-Oxley Act of 2002.</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32.2*</w:t>
            </w:r>
          </w:p>
        </w:tc>
        <w:tc>
          <w:tcPr>
            <w:tcW w:w="10460" w:type="dxa"/>
            <w:vAlign w:val="bottom"/>
          </w:tcPr>
          <w:p>
            <w:pPr>
              <w:ind w:left="300"/>
              <w:spacing w:after="0"/>
              <w:rPr>
                <w:rFonts w:ascii="Arial" w:cs="Arial" w:eastAsia="Arial" w:hAnsi="Arial"/>
                <w:sz w:val="14"/>
                <w:szCs w:val="14"/>
                <w:color w:val="0000EE"/>
              </w:rPr>
            </w:pPr>
            <w:hyperlink w:anchor="page87">
              <w:r>
                <w:rPr>
                  <w:rFonts w:ascii="Arial" w:cs="Arial" w:eastAsia="Arial" w:hAnsi="Arial"/>
                  <w:sz w:val="14"/>
                  <w:szCs w:val="14"/>
                  <w:u w:val="single" w:color="auto"/>
                  <w:color w:val="0000EE"/>
                </w:rPr>
                <w:t>Certification of Chief Financial Officer pursuant to section 906 of the Sarbanes-Oxley Act of 2002</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99.1</w:t>
            </w:r>
          </w:p>
        </w:tc>
        <w:tc>
          <w:tcPr>
            <w:tcW w:w="10460" w:type="dxa"/>
            <w:vAlign w:val="bottom"/>
          </w:tcPr>
          <w:p>
            <w:pPr>
              <w:ind w:left="300"/>
              <w:spacing w:after="0"/>
              <w:rPr>
                <w:rFonts w:ascii="Arial" w:cs="Arial" w:eastAsia="Arial" w:hAnsi="Arial"/>
                <w:sz w:val="14"/>
                <w:szCs w:val="14"/>
                <w:color w:val="0000EE"/>
                <w:w w:val="94"/>
              </w:rPr>
            </w:pPr>
            <w:hyperlink r:id="rId123">
              <w:r>
                <w:rPr>
                  <w:rFonts w:ascii="Arial" w:cs="Arial" w:eastAsia="Arial" w:hAnsi="Arial"/>
                  <w:sz w:val="14"/>
                  <w:szCs w:val="14"/>
                  <w:u w:val="single" w:color="auto"/>
                  <w:color w:val="0000EE"/>
                  <w:w w:val="94"/>
                </w:rPr>
                <w:t>Privacy Policy of the Registrant (Incorporated by reference to Exhibit 99.1 to the Registrant’s Annual Report on Form 10-K (File No. 814-00736), filed on November 16, 2011)</w:t>
              </w:r>
              <w:r>
                <w:rPr>
                  <w:rFonts w:ascii="Arial" w:cs="Arial" w:eastAsia="Arial" w:hAnsi="Arial"/>
                  <w:sz w:val="14"/>
                  <w:szCs w:val="14"/>
                  <w:color w:val="0000EE"/>
                  <w:w w:val="94"/>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1945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49"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29,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74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940" w:type="dxa"/>
            <w:vAlign w:val="bottom"/>
          </w:tcPr>
          <w:p>
            <w:pPr>
              <w:ind w:left="1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/s/</w:t>
            </w:r>
          </w:p>
        </w:tc>
        <w:tc>
          <w:tcPr>
            <w:tcW w:w="2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Chief Executive Officer and Chairman of the Board of Directors</w:t>
            </w:r>
          </w:p>
        </w:tc>
        <w:tc>
          <w:tcPr>
            <w:tcW w:w="12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21"/>
                <w:szCs w:val="21"/>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29, 2017</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39"/>
        </w:trPr>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2"/>
          </w:tcPr>
          <w:p>
            <w:pPr>
              <w:jc w:val="right"/>
              <w:ind w:right="25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40" w:firstLine="496"/>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7" w:lineRule="exact"/>
        <w:rPr>
          <w:sz w:val="20"/>
          <w:szCs w:val="20"/>
          <w:color w:val="auto"/>
        </w:rPr>
      </w:pPr>
    </w:p>
    <w:p>
      <w:pPr>
        <w:ind w:right="6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8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7" w:name="page78"/>
    <w:bookmarkEnd w:id="77"/>
    <w:p>
      <w:pPr>
        <w:ind w:left="980" w:right="100" w:hanging="486"/>
        <w:spacing w:after="0" w:line="253" w:lineRule="auto"/>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74"/>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right="40"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160" w:firstLine="496"/>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01"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90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0" w:lineRule="exact"/>
        <w:rPr>
          <w:sz w:val="20"/>
          <w:szCs w:val="20"/>
          <w:color w:val="auto"/>
        </w:rPr>
      </w:pPr>
    </w:p>
    <w:p>
      <w:pPr>
        <w:ind w:right="16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8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40"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right="40" w:firstLine="496"/>
        <w:spacing w:after="0" w:line="253"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8" w:name="page79"/>
    <w:bookmarkEnd w:id="78"/>
    <w:p>
      <w:pPr>
        <w:spacing w:after="0" w:line="233" w:lineRule="auto"/>
        <w:rPr>
          <w:sz w:val="20"/>
          <w:szCs w:val="20"/>
          <w:color w:val="auto"/>
        </w:rPr>
      </w:pPr>
      <w:r>
        <w:rPr>
          <w:rFonts w:ascii="Arial" w:cs="Arial" w:eastAsia="Arial" w:hAnsi="Arial"/>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04"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jc w:val="both"/>
        <w:ind w:right="32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06" w:lineRule="exact"/>
        <w:rPr>
          <w:sz w:val="20"/>
          <w:szCs w:val="20"/>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12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96" w:lineRule="exact"/>
        <w:rPr>
          <w:sz w:val="20"/>
          <w:szCs w:val="20"/>
          <w:color w:val="auto"/>
        </w:rPr>
      </w:pPr>
    </w:p>
    <w:p>
      <w:pPr>
        <w:ind w:left="980" w:hanging="486"/>
        <w:spacing w:after="0"/>
        <w:tabs>
          <w:tab w:leader="none" w:pos="9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8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jc w:val="center"/>
        <w:ind w:left="500" w:right="7700" w:hanging="6"/>
        <w:spacing w:after="0" w:line="516" w:lineRule="auto"/>
        <w:tabs>
          <w:tab w:leader="none" w:pos="976" w:val="left"/>
        </w:tabs>
        <w:numPr>
          <w:ilvl w:val="0"/>
          <w:numId w:val="82"/>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jc w:val="both"/>
        <w:ind w:left="980" w:right="40" w:hanging="486"/>
        <w:spacing w:after="0" w:line="238" w:lineRule="auto"/>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93" w:lineRule="exact"/>
        <w:rPr>
          <w:sz w:val="20"/>
          <w:szCs w:val="20"/>
          <w:color w:val="auto"/>
        </w:rPr>
      </w:pPr>
    </w:p>
    <w:p>
      <w:pPr>
        <w:ind w:left="980" w:hanging="486"/>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36"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93" w:lineRule="exact"/>
        <w:rPr>
          <w:sz w:val="20"/>
          <w:szCs w:val="20"/>
          <w:color w:val="auto"/>
        </w:rPr>
      </w:pPr>
    </w:p>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ind w:right="160" w:firstLine="496"/>
        <w:spacing w:after="0" w:line="231" w:lineRule="auto"/>
        <w:rPr>
          <w:sz w:val="20"/>
          <w:szCs w:val="20"/>
          <w:color w:val="auto"/>
        </w:rPr>
      </w:pPr>
      <w:r>
        <w:rPr>
          <w:rFonts w:ascii="Arial" w:cs="Arial" w:eastAsia="Arial" w:hAnsi="Arial"/>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9" w:name="page80"/>
    <w:bookmarkEnd w:id="79"/>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10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98" w:lineRule="exact"/>
        <w:rPr>
          <w:sz w:val="20"/>
          <w:szCs w:val="20"/>
          <w:color w:val="auto"/>
        </w:rPr>
      </w:pPr>
    </w:p>
    <w:p>
      <w:pPr>
        <w:ind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240" w:firstLine="496"/>
        <w:spacing w:after="0" w:line="290" w:lineRule="auto"/>
        <w:rPr>
          <w:sz w:val="20"/>
          <w:szCs w:val="20"/>
          <w:color w:val="auto"/>
        </w:rPr>
      </w:pPr>
      <w:r>
        <w:rPr>
          <w:rFonts w:ascii="Arial" w:cs="Arial" w:eastAsia="Arial" w:hAnsi="Arial"/>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84" w:lineRule="exact"/>
        <w:rPr>
          <w:sz w:val="20"/>
          <w:szCs w:val="20"/>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82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ind w:right="32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15"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right="100" w:firstLine="496"/>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02" w:lineRule="exact"/>
        <w:rPr>
          <w:sz w:val="20"/>
          <w:szCs w:val="20"/>
          <w:color w:val="auto"/>
        </w:rPr>
      </w:pPr>
    </w:p>
    <w:p>
      <w:pPr>
        <w:ind w:left="980" w:hanging="486"/>
        <w:spacing w:after="0"/>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8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80" w:hanging="486"/>
        <w:spacing w:after="0" w:line="290" w:lineRule="auto"/>
        <w:tabs>
          <w:tab w:leader="none" w:pos="9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20" w:hanging="486"/>
        <w:spacing w:after="0" w:line="247" w:lineRule="auto"/>
        <w:tabs>
          <w:tab w:leader="none" w:pos="9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100" w:hanging="486"/>
        <w:spacing w:after="0" w:line="238"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right="20" w:hanging="486"/>
        <w:spacing w:after="0" w:line="238"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jc w:val="both"/>
        <w:ind w:right="1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60" w:hanging="486"/>
        <w:spacing w:after="0" w:line="244" w:lineRule="auto"/>
        <w:tabs>
          <w:tab w:leader="none" w:pos="9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right="2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right="20" w:hanging="486"/>
        <w:spacing w:after="0" w:line="229"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right="340"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ind w:right="200" w:firstLine="496"/>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jc w:val="both"/>
        <w:ind w:left="980" w:right="20" w:hanging="486"/>
        <w:spacing w:after="0" w:line="238"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64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42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2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6800" w:type="dxa"/>
            <w:vAlign w:val="bottom"/>
            <w:gridSpan w:val="4"/>
          </w:tcPr>
          <w:p>
            <w:pPr>
              <w:jc w:val="right"/>
              <w:ind w:right="4520"/>
              <w:spacing w:after="0"/>
              <w:rPr>
                <w:sz w:val="20"/>
                <w:szCs w:val="20"/>
                <w:color w:val="auto"/>
              </w:rPr>
            </w:pPr>
            <w:r>
              <w:rPr>
                <w:rFonts w:ascii="Arial" w:cs="Arial" w:eastAsia="Arial" w:hAnsi="Arial"/>
                <w:sz w:val="14"/>
                <w:szCs w:val="14"/>
                <w:b w:val="1"/>
                <w:bCs w:val="1"/>
                <w:color w:val="auto"/>
              </w:rPr>
              <w:t>Subsidiaries of the Registrant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Voting Securities</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 Percentage</w:t>
            </w:r>
          </w:p>
        </w:tc>
        <w:tc>
          <w:tcPr>
            <w:tcW w:w="14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PennantPark SBIC GP, LLC (Delaware)</w:t>
            </w:r>
          </w:p>
        </w:tc>
        <w:tc>
          <w:tcPr>
            <w:tcW w:w="4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40" w:type="dxa"/>
            <w:vAlign w:val="bottom"/>
            <w:gridSpan w:val="2"/>
            <w:shd w:val="clear" w:color="auto" w:fill="CCECFF"/>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PennantPark SBIC LP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Cascade Environmental Holdings,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ecoserve,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Investment Holdings,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Power Products Holdings,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Superior Digital Displays,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14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9"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LLC which is effectively wholly-owned by us.</w:t>
      </w:r>
    </w:p>
    <w:p>
      <w:pPr>
        <w:ind w:left="500" w:hanging="492"/>
        <w:spacing w:after="0" w:line="221" w:lineRule="auto"/>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00" w:hanging="492"/>
        <w:spacing w:after="0" w:line="221" w:lineRule="auto"/>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00" w:hanging="492"/>
        <w:spacing w:after="0"/>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29,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29,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2017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Arthur H. Penn</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29, 2017</w:t>
            </w:r>
          </w:p>
        </w:tc>
      </w:tr>
    </w:tbl>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2017 as filed with the Securities and Exchange Commission on the date hereof (the “Report”), I, Aviv Efrat, as Chief Financial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Aviv Efrat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29, 2017</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lowerLetter"/>
      <w:start w:val="1"/>
    </w:lvl>
  </w:abstractNum>
  <w:abstractNum w:abstractNumId="5">
    <w:nsid w:val="39386575"/>
    <w:multiLevelType w:val="hybridMultilevel"/>
    <w:lvl w:ilvl="0">
      <w:lvlJc w:val="left"/>
      <w:lvlText w:val="%1)"/>
      <w:numFmt w:val="lowerLetter"/>
      <w:start w:val="2"/>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1)"/>
      <w:numFmt w:val="lowerLetter"/>
      <w:start w:val="3"/>
    </w:lvl>
  </w:abstractNum>
  <w:abstractNum w:abstractNumId="8">
    <w:nsid w:val="235BA861"/>
    <w:multiLevelType w:val="hybridMultilevel"/>
    <w:lvl w:ilvl="0">
      <w:lvlJc w:val="left"/>
      <w:lvlText w:val="%1)"/>
      <w:numFmt w:val="lowerLetter"/>
      <w:start w:val="4"/>
    </w:lvl>
  </w:abstractNum>
  <w:abstractNum w:abstractNumId="9">
    <w:nsid w:val="47398C89"/>
    <w:multiLevelType w:val="hybridMultilevel"/>
    <w:lvl w:ilvl="0">
      <w:lvlJc w:val="left"/>
      <w:lvlText w:val="%1)"/>
      <w:numFmt w:val="lowerLetter"/>
      <w:start w:val="1"/>
    </w:lvl>
  </w:abstractNum>
  <w:abstractNum w:abstractNumId="10">
    <w:nsid w:val="354FE9F9"/>
    <w:multiLevelType w:val="hybridMultilevel"/>
    <w:lvl w:ilvl="0">
      <w:lvlJc w:val="left"/>
      <w:lvlText w:val="%1)"/>
      <w:numFmt w:val="lowerLetter"/>
      <w:start w:val="2"/>
    </w:lvl>
  </w:abstractNum>
  <w:abstractNum w:abstractNumId="11">
    <w:nsid w:val="15B5AF5C"/>
    <w:multiLevelType w:val="hybridMultilevel"/>
    <w:lvl w:ilvl="0">
      <w:lvlJc w:val="left"/>
      <w:lvlText w:val="%1)"/>
      <w:numFmt w:val="lowerLetter"/>
      <w:start w:val="3"/>
    </w:lvl>
  </w:abstractNum>
  <w:abstractNum w:abstractNumId="12">
    <w:nsid w:val="741226BB"/>
    <w:multiLevelType w:val="hybridMultilevel"/>
    <w:lvl w:ilvl="0">
      <w:lvlJc w:val="left"/>
      <w:lvlText w:val="%1)"/>
      <w:numFmt w:val="lowerLetter"/>
      <w:start w:val="4"/>
    </w:lvl>
  </w:abstractNum>
  <w:abstractNum w:abstractNumId="13">
    <w:nsid w:val="D34B6A8"/>
    <w:multiLevelType w:val="hybridMultilevel"/>
    <w:lvl w:ilvl="0">
      <w:lvlJc w:val="left"/>
      <w:lvlText w:val="%1)"/>
      <w:numFmt w:val="lowerLetter"/>
      <w:start w:val="5"/>
    </w:lvl>
  </w:abstractNum>
  <w:abstractNum w:abstractNumId="14">
    <w:nsid w:val="10233C99"/>
    <w:multiLevelType w:val="hybridMultilevel"/>
    <w:lvl w:ilvl="0">
      <w:lvlJc w:val="left"/>
      <w:lvlText w:val="%1)"/>
      <w:numFmt w:val="lowerLetter"/>
      <w:start w:val="6"/>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decimal"/>
      <w:start w:val="4"/>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lvl w:ilvl="1">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4AD084E9"/>
    <w:multiLevelType w:val="hybridMultilevel"/>
    <w:lvl w:ilvl="0">
      <w:lvlJc w:val="left"/>
      <w:lvlText w:val="(%1)"/>
      <w:numFmt w:val="decimal"/>
      <w:start w:val="3"/>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lvl w:ilvl="1">
      <w:lvlJc w:val="left"/>
      <w:lvlText w:val="%2)"/>
      <w:numFmt w:val="decimal"/>
      <w:start w:val="1"/>
    </w:lvl>
  </w:abstractNum>
  <w:abstractNum w:abstractNumId="29">
    <w:nsid w:val="100F8FCA"/>
    <w:multiLevelType w:val="hybridMultilevel"/>
    <w:lvl w:ilvl="0">
      <w:lvlJc w:val="left"/>
      <w:lvlText w:val="(%1)"/>
      <w:numFmt w:val="decimal"/>
      <w:start w:val="2"/>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lvl w:ilvl="1">
      <w:lvlJc w:val="left"/>
      <w:lvlText w:val="%2."/>
      <w:numFmt w:val="decimal"/>
      <w:start w:val="2"/>
    </w:lvl>
  </w:abstractNum>
  <w:abstractNum w:abstractNumId="36">
    <w:nsid w:val="42C296BD"/>
    <w:multiLevelType w:val="hybridMultilevel"/>
    <w:lvl w:ilvl="0">
      <w:lvlJc w:val="left"/>
      <w:lvlText w:val="%1."/>
      <w:numFmt w:val="decimal"/>
      <w:start w:val="3"/>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lowerLetter"/>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lowerLetter"/>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lowerLetter"/>
      <w:start w:val="2"/>
    </w:lvl>
  </w:abstractNum>
  <w:abstractNum w:abstractNumId="56">
    <w:nsid w:val="14330624"/>
    <w:multiLevelType w:val="hybridMultilevel"/>
    <w:lvl w:ilvl="0">
      <w:lvlJc w:val="left"/>
      <w:lvlText w:val="(%1)"/>
      <w:numFmt w:val="lowerLetter"/>
      <w:start w:val="3"/>
    </w:lvl>
  </w:abstractNum>
  <w:abstractNum w:abstractNumId="57">
    <w:nsid w:val="7FFFCA11"/>
    <w:multiLevelType w:val="hybridMultilevel"/>
    <w:lvl w:ilvl="0">
      <w:lvlJc w:val="left"/>
      <w:lvlText w:val="(%1)"/>
      <w:numFmt w:val="lowerLetter"/>
      <w:start w:val="4"/>
    </w:lvl>
  </w:abstractNum>
  <w:abstractNum w:abstractNumId="58">
    <w:nsid w:val="1A27709E"/>
    <w:multiLevelType w:val="hybridMultilevel"/>
    <w:lvl w:ilvl="0">
      <w:lvlJc w:val="left"/>
      <w:lvlText w:val="(%1)"/>
      <w:numFmt w:val="lowerLetter"/>
      <w:start w:val="5"/>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lowerLetter"/>
      <w:start w:val="6"/>
    </w:lvl>
  </w:abstractNum>
  <w:abstractNum w:abstractNumId="61">
    <w:nsid w:val="7FB7E0AA"/>
    <w:multiLevelType w:val="hybridMultilevel"/>
    <w:lvl w:ilvl="0">
      <w:lvlJc w:val="left"/>
      <w:lvlText w:val="(%1)"/>
      <w:numFmt w:val="lowerLetter"/>
      <w:start w:val="7"/>
    </w:lvl>
  </w:abstractNum>
  <w:abstractNum w:abstractNumId="62">
    <w:nsid w:val="6EB5BD4"/>
    <w:multiLevelType w:val="hybridMultilevel"/>
    <w:lvl w:ilvl="0">
      <w:lvlJc w:val="left"/>
      <w:lvlText w:val="&amp;"/>
      <w:numFmt w:val="bullet"/>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1)"/>
      <w:numFmt w:val="upperLetter"/>
      <w:start w:val="1"/>
    </w:lvl>
  </w:abstractNum>
  <w:abstractNum w:abstractNumId="73">
    <w:nsid w:val="2DF6D648"/>
    <w:multiLevelType w:val="hybridMultilevel"/>
    <w:lvl w:ilvl="0">
      <w:lvlJc w:val="left"/>
      <w:lvlText w:val="(%1)"/>
      <w:numFmt w:val="upperLetter"/>
      <w:start w:val="10"/>
    </w:lvl>
    <w:lvl w:ilvl="1">
      <w:lvlJc w:val="left"/>
      <w:lvlText w:val="(%2)"/>
      <w:numFmt w:val="upperLetter"/>
      <w:start w:val="2"/>
    </w:lvl>
  </w:abstractNum>
  <w:abstractNum w:abstractNumId="74">
    <w:nsid w:val="46B7D447"/>
    <w:multiLevelType w:val="hybridMultilevel"/>
    <w:lvl w:ilvl="0">
      <w:lvlJc w:val="left"/>
      <w:lvlText w:val="(%1)"/>
      <w:numFmt w:val="lowerRoman"/>
      <w:start w:val="1"/>
    </w:lvl>
  </w:abstractNum>
  <w:abstractNum w:abstractNumId="75">
    <w:nsid w:val="4A2AC315"/>
    <w:multiLevelType w:val="hybridMultilevel"/>
    <w:lvl w:ilvl="0">
      <w:lvlJc w:val="left"/>
      <w:lvlText w:val="(%1)"/>
      <w:numFmt w:val="upperLetter"/>
      <w:start w:val="1"/>
    </w:lvl>
  </w:abstractNum>
  <w:abstractNum w:abstractNumId="76">
    <w:nsid w:val="39EE015C"/>
    <w:multiLevelType w:val="hybridMultilevel"/>
    <w:lvl w:ilvl="0">
      <w:lvlJc w:val="left"/>
      <w:lvlText w:val="(%1)"/>
      <w:numFmt w:val="upperLetter"/>
      <w:start w:val="1"/>
    </w:lvl>
  </w:abstractNum>
  <w:abstractNum w:abstractNumId="77">
    <w:nsid w:val="57FC4FBB"/>
    <w:multiLevelType w:val="hybridMultilevel"/>
    <w:lvl w:ilvl="0">
      <w:lvlJc w:val="left"/>
      <w:lvlText w:val="(%1)"/>
      <w:numFmt w:val="upperLetter"/>
      <w:start w:val="2"/>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upperLetter"/>
      <w:start w:val="3"/>
    </w:lvl>
  </w:abstractNum>
  <w:abstractNum w:abstractNumId="80">
    <w:nsid w:val="60EF0119"/>
    <w:multiLevelType w:val="hybridMultilevel"/>
    <w:lvl w:ilvl="0">
      <w:lvlJc w:val="left"/>
      <w:lvlText w:val="(%1)"/>
      <w:numFmt w:val="upperLetter"/>
      <w:start w:val="4"/>
    </w:lvl>
  </w:abstractNum>
  <w:abstractNum w:abstractNumId="81">
    <w:nsid w:val="26F324BA"/>
    <w:multiLevelType w:val="hybridMultilevel"/>
    <w:lvl w:ilvl="0">
      <w:lvlJc w:val="left"/>
      <w:lvlText w:val="(%1)"/>
      <w:numFmt w:val="upperLetter"/>
      <w:start w:val="5"/>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upperLetter"/>
      <w:start w:val="6"/>
    </w:lvl>
  </w:abstractNum>
  <w:abstractNum w:abstractNumId="84">
    <w:nsid w:val="7055A5F5"/>
    <w:multiLevelType w:val="hybridMultilevel"/>
    <w:lvl w:ilvl="0">
      <w:lvlJc w:val="left"/>
      <w:lvlText w:val="(%1)"/>
      <w:numFmt w:val="upperLetter"/>
      <w:start w:val="7"/>
    </w:lvl>
  </w:abstractNum>
  <w:abstractNum w:abstractNumId="85">
    <w:nsid w:val="5FB8370B"/>
    <w:multiLevelType w:val="hybridMultilevel"/>
    <w:lvl w:ilvl="0">
      <w:lvlJc w:val="left"/>
      <w:lvlText w:val="(%1)"/>
      <w:numFmt w:val="upperLetter"/>
      <w:start w:val="8"/>
    </w:lvl>
  </w:abstractNum>
  <w:abstractNum w:abstractNumId="86">
    <w:nsid w:val="50801EE1"/>
    <w:multiLevelType w:val="hybridMultilevel"/>
    <w:lvl w:ilvl="0">
      <w:lvlJc w:val="left"/>
      <w:lvlText w:val="(%1)"/>
      <w:numFmt w:val="upperLetter"/>
      <w:start w:val="9"/>
    </w:lvl>
  </w:abstractNum>
  <w:abstractNum w:abstractNumId="87">
    <w:nsid w:val="488AC1A"/>
    <w:multiLevelType w:val="hybridMultilevel"/>
    <w:lvl w:ilvl="0">
      <w:lvlJc w:val="left"/>
      <w:lvlText w:val="(%1)"/>
      <w:numFmt w:val="upperLetter"/>
      <w:start w:val="10"/>
    </w:lvl>
  </w:abstractNum>
  <w:abstractNum w:abstractNumId="88">
    <w:nsid w:val="5FB8011C"/>
    <w:multiLevelType w:val="hybridMultilevel"/>
    <w:lvl w:ilvl="0">
      <w:lvlJc w:val="left"/>
      <w:lvlText w:val="(%1)"/>
      <w:numFmt w:val="upperLetter"/>
      <w:start w:val="1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upperLetter"/>
      <w:start w:val="1"/>
    </w:lvl>
  </w:abstractNum>
  <w:abstractNum w:abstractNumId="91">
    <w:nsid w:val="6FC75AF8"/>
    <w:multiLevelType w:val="hybridMultilevel"/>
    <w:lvl w:ilvl="0">
      <w:lvlJc w:val="left"/>
      <w:lvlText w:val="(%1)"/>
      <w:numFmt w:val="upperLetter"/>
      <w:start w:val="2"/>
    </w:lvl>
  </w:abstractNum>
  <w:abstractNum w:abstractNumId="92">
    <w:nsid w:val="6A5F7029"/>
    <w:multiLevelType w:val="hybridMultilevel"/>
    <w:lvl w:ilvl="0">
      <w:lvlJc w:val="left"/>
      <w:lvlText w:val="(%1)"/>
      <w:numFmt w:val="upperLetter"/>
      <w:start w:val="3"/>
    </w:lvl>
  </w:abstractNum>
  <w:abstractNum w:abstractNumId="93">
    <w:nsid w:val="7D5E18F8"/>
    <w:multiLevelType w:val="hybridMultilevel"/>
    <w:lvl w:ilvl="0">
      <w:lvlJc w:val="left"/>
      <w:lvlText w:val="(%1)"/>
      <w:numFmt w:val="upperLetter"/>
      <w:start w:val="1"/>
    </w:lvl>
    <w:lvl w:ilvl="1">
      <w:lvlJc w:val="left"/>
      <w:lvlText w:val="(%2)"/>
      <w:numFmt w:val="decimal"/>
      <w:start w:val="1"/>
    </w:lvl>
  </w:abstractNum>
  <w:abstractNum w:abstractNumId="94">
    <w:nsid w:val="5F3534A4"/>
    <w:multiLevelType w:val="hybridMultilevel"/>
    <w:lvl w:ilvl="0">
      <w:lvlJc w:val="left"/>
      <w:lvlText w:val="(%1)"/>
      <w:numFmt w:val="upperLetter"/>
      <w:start w:val="5"/>
    </w:lvl>
  </w:abstractNum>
  <w:abstractNum w:abstractNumId="95">
    <w:nsid w:val="73A1821B"/>
    <w:multiLevelType w:val="hybridMultilevel"/>
    <w:lvl w:ilvl="0">
      <w:lvlJc w:val="left"/>
      <w:lvlText w:val="(%1)"/>
      <w:numFmt w:val="upperLetter"/>
      <w:start w:val="1"/>
    </w:lvl>
  </w:abstractNum>
  <w:abstractNum w:abstractNumId="96">
    <w:nsid w:val="7DE67713"/>
    <w:multiLevelType w:val="hybridMultilevel"/>
    <w:lvl w:ilvl="0">
      <w:lvlJc w:val="left"/>
      <w:lvlText w:val="(%1)"/>
      <w:numFmt w:val="upperLetter"/>
      <w:start w:val="2"/>
    </w:lvl>
  </w:abstractNum>
  <w:abstractNum w:abstractNumId="97">
    <w:nsid w:val="555C55B5"/>
    <w:multiLevelType w:val="hybridMultilevel"/>
    <w:lvl w:ilvl="0">
      <w:lvlJc w:val="left"/>
      <w:lvlText w:val="(%1)"/>
      <w:numFmt w:val="upperLetter"/>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upperLetter"/>
      <w:start w:val="3"/>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upperLetter"/>
      <w:start w:val="4"/>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13" Type="http://schemas.openxmlformats.org/officeDocument/2006/relationships/hyperlink" Target="http://www.sec.gov/Archives/edgar/data/1383414/000119312507075646/dex99a.htm" TargetMode="External"/><Relationship Id="rId114" Type="http://schemas.openxmlformats.org/officeDocument/2006/relationships/hyperlink" Target="http://www.sec.gov/Archives/edgar/data/1383414/000119312515393210/d59522dex31.htm" TargetMode="External"/><Relationship Id="rId115" Type="http://schemas.openxmlformats.org/officeDocument/2006/relationships/hyperlink" Target="http://www.sec.gov/Archives/edgar/data/1383414/000119312508072557/dex99d1.htm" TargetMode="External"/><Relationship Id="rId116" Type="http://schemas.openxmlformats.org/officeDocument/2006/relationships/hyperlink" Target="http://www.sec.gov/Archives/edgar/data/1383414/000119312513018556/d470556dex99d8.htm" TargetMode="External"/><Relationship Id="rId117" Type="http://schemas.openxmlformats.org/officeDocument/2006/relationships/hyperlink" Target="http://www.sec.gov/Archives/edgar/data/1383414/000119312514349933/d793312dex99d11.htm" TargetMode="External"/><Relationship Id="rId118" Type="http://schemas.openxmlformats.org/officeDocument/2006/relationships/hyperlink" Target="http://www.sec.gov/Archives/edgar/data/1383414/000119312516449258/d40881dex101.htm" TargetMode="External"/><Relationship Id="rId119" Type="http://schemas.openxmlformats.org/officeDocument/2006/relationships/hyperlink" Target="http://www.sec.gov/Archives/edgar/data/1383414/000119312508072557/dex99k1.htm" TargetMode="External"/><Relationship Id="rId120" Type="http://schemas.openxmlformats.org/officeDocument/2006/relationships/hyperlink" Target="http://www.sec.gov/Archives/edgar/data/1383414/000119312508072557/dex99e.htm" TargetMode="External"/><Relationship Id="rId121" Type="http://schemas.openxmlformats.org/officeDocument/2006/relationships/hyperlink" Target="http://www.sec.gov/Archives/edgar/data/1383414/000156459017015976/pnnt-ex101_12.htm" TargetMode="External"/><Relationship Id="rId122" Type="http://schemas.openxmlformats.org/officeDocument/2006/relationships/hyperlink" Target="http://www.sec.gov/Archives/edgar/data/1383414/000119312516773701/d285279dex105.htm" TargetMode="External"/><Relationship Id="rId123"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2020-05-05T15:20:58Z</dcterms:created>
  <dcterms:modified xsi:type="dcterms:W3CDTF">2020-05-05T15:20:58Z</dcterms:modified>
</cp:coreProperties>
</file>