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923.htm"/>
      <w:bookmarkStart w:id="1" w:name="ksf8k_0809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9,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jc w:val="left"/>
        <w:rPr>
          <w:sz w:val="20"/>
        </w:rPr>
      </w:pPr>
      <w:r>
        <w:rPr>
          <w:sz w:val="20"/>
        </w:rPr>
        <w:t>On August 9, 2023, PennantPark Investment Corporation (the "Company") issued a press release announcing its financial results for the third quarter ended June 30, 2023. A copy of the press release is furnished as Exhibit 99.1 to this report pursuant to Item 2.02 on Form 8-K and Regulation FD.</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left"/>
        <w:rPr>
          <w:sz w:val="20"/>
        </w:rPr>
      </w:pPr>
      <w:r>
        <w:rPr>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p>
    <w:p>
      <w:pPr>
        <w:pStyle w:val="TextBody"/>
        <w:bidi w:val="0"/>
        <w:jc w:val="left"/>
        <w:rPr>
          <w:sz w:val="20"/>
        </w:rPr>
      </w:pPr>
      <w:r>
        <w:rPr>
          <w:sz w:val="20"/>
        </w:rPr>
        <w:t>None</w:t>
      </w:r>
    </w:p>
    <w:p>
      <w:pPr>
        <w:pStyle w:val="TextBody"/>
        <w:bidi w:val="0"/>
        <w:spacing w:before="0" w:after="283"/>
        <w:jc w:val="left"/>
        <w:rPr/>
      </w:pPr>
      <w:r>
        <w:rPr>
          <w:rStyle w:val="StrongEmphasis"/>
          <w:sz w:val="20"/>
        </w:rPr>
        <w:t>(b) Pro forma financial information:</w:t>
      </w:r>
    </w:p>
    <w:p>
      <w:pPr>
        <w:pStyle w:val="TextBody"/>
        <w:bidi w:val="0"/>
        <w:jc w:val="left"/>
        <w:rPr>
          <w:sz w:val="20"/>
        </w:rPr>
      </w:pPr>
      <w:r>
        <w:rPr>
          <w:sz w:val="20"/>
        </w:rPr>
        <w:t>None</w:t>
      </w:r>
    </w:p>
    <w:p>
      <w:pPr>
        <w:pStyle w:val="TextBody"/>
        <w:bidi w:val="0"/>
        <w:spacing w:before="0" w:after="283"/>
        <w:jc w:val="left"/>
        <w:rPr/>
      </w:pPr>
      <w:r>
        <w:rPr>
          <w:rStyle w:val="StrongEmphasis"/>
          <w:sz w:val="20"/>
        </w:rPr>
        <w:t>(c) Shell company transactions:</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August 9, 2023</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980" w:type="dxa"/>
        <w:jc w:val="left"/>
        <w:tblInd w:w="0" w:type="dxa"/>
        <w:tblLayout w:type="fixed"/>
        <w:tblCellMar>
          <w:top w:w="0" w:type="dxa"/>
          <w:left w:w="0" w:type="dxa"/>
          <w:bottom w:w="0" w:type="dxa"/>
          <w:right w:w="0" w:type="dxa"/>
        </w:tblCellMar>
      </w:tblPr>
      <w:tblGrid>
        <w:gridCol w:w="1745"/>
        <w:gridCol w:w="365"/>
        <w:gridCol w:w="2870"/>
      </w:tblGrid>
      <w:tr>
        <w:trPr/>
        <w:tc>
          <w:tcPr>
            <w:tcW w:w="174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9, 2023</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5.0% Increase of Its Quarterly Distribution to $0.21 per Share and Financial Results for the Quarter Ended June 30, 2023</w:t>
      </w:r>
    </w:p>
    <w:p>
      <w:pPr>
        <w:pStyle w:val="TextBody"/>
        <w:bidi w:val="0"/>
        <w:jc w:val="both"/>
        <w:rPr/>
      </w:pPr>
      <w:r>
        <w:rPr/>
        <w:t>MIAMI, Aug. 09, 2023 (GLOBE NEWSWIRE) -- PennantPark Investment Corporation (NYSE: PNNT) announced today its financial results for the third quarter ended June 30, 2023.</w:t>
      </w:r>
    </w:p>
    <w:p>
      <w:pPr>
        <w:pStyle w:val="TextBody"/>
        <w:bidi w:val="0"/>
        <w:spacing w:before="0" w:after="283"/>
        <w:jc w:val="left"/>
        <w:rPr/>
      </w:pPr>
      <w:r>
        <w:rPr>
          <w:rStyle w:val="StrongEmphasis"/>
        </w:rPr>
        <w:t>HIGHLIGHTS</w:t>
      </w:r>
      <w:r>
        <w:rPr/>
        <w:t xml:space="preserve"> </w:t>
        <w:br/>
        <w:t xml:space="preserve">Quarter ended June 30, 2023 (unaudited) </w:t>
        <w:br/>
        <w:t>($ in millions, except per share amounts)</w:t>
      </w:r>
    </w:p>
    <w:tbl>
      <w:tblPr>
        <w:tblW w:w="7200" w:type="dxa"/>
        <w:jc w:val="left"/>
        <w:tblInd w:w="0" w:type="dxa"/>
        <w:tblLayout w:type="fixed"/>
        <w:tblCellMar>
          <w:top w:w="28" w:type="dxa"/>
          <w:left w:w="28" w:type="dxa"/>
          <w:bottom w:w="28" w:type="dxa"/>
          <w:right w:w="28" w:type="dxa"/>
        </w:tblCellMar>
      </w:tblPr>
      <w:tblGrid>
        <w:gridCol w:w="5656"/>
        <w:gridCol w:w="146"/>
        <w:gridCol w:w="226"/>
        <w:gridCol w:w="826"/>
        <w:gridCol w:w="346"/>
      </w:tblGrid>
      <w:tr>
        <w:trPr/>
        <w:tc>
          <w:tcPr>
            <w:tcW w:w="5656"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23.0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0.35</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0.22</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1,075.9</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503.6</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7.72</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Quarterly increase in GAAP net asset value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1.6</w:t>
            </w:r>
          </w:p>
        </w:tc>
        <w:tc>
          <w:tcPr>
            <w:tcW w:w="346" w:type="dxa"/>
            <w:tcBorders/>
            <w:vAlign w:val="center"/>
          </w:tcPr>
          <w:p>
            <w:pPr>
              <w:pStyle w:val="TableContents"/>
              <w:bidi w:val="0"/>
              <w:spacing w:before="0" w:after="283"/>
              <w:jc w:val="left"/>
              <w:rPr/>
            </w:pPr>
            <w:r>
              <w:rPr/>
              <w:t>%</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Adjusted net asset value per share</w:t>
            </w:r>
            <w:r>
              <w:rPr>
                <w:position w:val="8"/>
                <w:sz w:val="19"/>
              </w:rPr>
              <w:t xml:space="preserve"> (2)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7.67</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Quarterly increase in adjusted net asset value per share </w:t>
            </w:r>
            <w:r>
              <w:rPr>
                <w:position w:val="8"/>
                <w:sz w:val="19"/>
              </w:rPr>
              <w:t>(2)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3.1</w:t>
            </w:r>
          </w:p>
        </w:tc>
        <w:tc>
          <w:tcPr>
            <w:tcW w:w="346"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307.7</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2026 Notes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147.4</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2026-2 Notes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162.0</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Regulatory Debt to Equity</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1.26x</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Weighted average yield on debt investments at quarter-end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12.7</w:t>
            </w:r>
          </w:p>
        </w:tc>
        <w:tc>
          <w:tcPr>
            <w:tcW w:w="346" w:type="dxa"/>
            <w:tcBorders/>
            <w:vAlign w:val="center"/>
          </w:tcPr>
          <w:p>
            <w:pPr>
              <w:pStyle w:val="TableContents"/>
              <w:bidi w:val="0"/>
              <w:spacing w:before="0" w:after="283"/>
              <w:jc w:val="left"/>
              <w:rPr/>
            </w:pPr>
            <w:r>
              <w:rPr/>
              <w:t>%</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69.9</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135.7</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PSLF Portfolio data:</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793.9</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64.0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r>
    </w:tbl>
    <w:p>
      <w:pPr>
        <w:pStyle w:val="TextBody"/>
        <w:numPr>
          <w:ilvl w:val="0"/>
          <w:numId w:val="2"/>
        </w:numPr>
        <w:tabs>
          <w:tab w:val="clear" w:pos="1134"/>
          <w:tab w:val="left" w:pos="720" w:leader="none"/>
        </w:tabs>
        <w:bidi w:val="0"/>
        <w:spacing w:before="0" w:after="0"/>
        <w:ind w:left="720" w:hanging="360"/>
        <w:jc w:val="left"/>
        <w:rPr/>
      </w:pPr>
      <w:r>
        <w:rPr/>
        <w:t>Includes investments in PennantPark Senior Loan Fund, LLC ("PSLF"), an unconsolidated joint venture, totaling $161.3 million, at fair value.</w:t>
      </w:r>
    </w:p>
    <w:p>
      <w:pPr>
        <w:pStyle w:val="TextBody"/>
        <w:numPr>
          <w:ilvl w:val="0"/>
          <w:numId w:val="2"/>
        </w:numPr>
        <w:tabs>
          <w:tab w:val="clear" w:pos="1134"/>
          <w:tab w:val="left" w:pos="720" w:leader="none"/>
        </w:tabs>
        <w:bidi w:val="0"/>
        <w:spacing w:before="0" w:after="0"/>
        <w:ind w:left="720" w:hanging="360"/>
        <w:jc w:val="left"/>
        <w:rPr/>
      </w:pPr>
      <w:r>
        <w:rPr/>
        <w:t>This is a non-GAAP financial measure. The Company believes that this number provides useful information to investors and management because it reflects the Company’s financial performance excluding the impact of $3.1 million, or $0.05 per share,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pStyle w:val="TextBody"/>
        <w:numPr>
          <w:ilvl w:val="0"/>
          <w:numId w:val="2"/>
        </w:numPr>
        <w:tabs>
          <w:tab w:val="clear" w:pos="1134"/>
          <w:tab w:val="left" w:pos="720" w:leader="none"/>
        </w:tabs>
        <w:bidi w:val="0"/>
        <w:ind w:left="720" w:hanging="360"/>
        <w:jc w:val="left"/>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2023, Core NII excluded: i) $10.6 million of dividend income related to our equity investment in Dominion Voting Systems; ii) $0.5 million of accrued excise taxes, and iii) $1.9 million of incentive fee expense.</w:t>
      </w:r>
    </w:p>
    <w:p>
      <w:pPr>
        <w:pStyle w:val="TextBody"/>
        <w:bidi w:val="0"/>
        <w:jc w:val="both"/>
        <w:rPr/>
      </w:pPr>
      <w:r>
        <w:rPr>
          <w:rStyle w:val="StrongEmphasis"/>
        </w:rPr>
        <w:t>CONFERENCE CALL AT 12:00 P.M. EST ON AUGUST 10, 2023</w:t>
      </w:r>
    </w:p>
    <w:p>
      <w:pPr>
        <w:pStyle w:val="TextBody"/>
        <w:bidi w:val="0"/>
        <w:jc w:val="both"/>
        <w:rPr/>
      </w:pPr>
      <w:r>
        <w:rPr/>
        <w:t>PennantPark Investment Corporation (“we,” “our,” “us” or the “Company”) will also host a conference call at 12:00 p.m. (Eastern Time) on Thursday, August 10,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#5118252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INCREASE OF QUARTERLY DISTRIBUTION TO $0.21 PER SHARE</w:t>
      </w:r>
    </w:p>
    <w:p>
      <w:pPr>
        <w:pStyle w:val="TextBody"/>
        <w:bidi w:val="0"/>
        <w:jc w:val="both"/>
        <w:rPr/>
      </w:pPr>
      <w:r>
        <w:rPr/>
        <w:t>On August 9, 2023, the Company declared a quarterly distribution of $0.21 per share, an increase of 5.0% from the most recent distribution. The distribution is payable on October 2, 2023 to stockholders of record as of September 18, 2023 and is expected to be paid from taxable net investment income.</w:t>
      </w:r>
    </w:p>
    <w:p>
      <w:pPr>
        <w:pStyle w:val="TextBody"/>
        <w:bidi w:val="0"/>
        <w:jc w:val="both"/>
        <w:rPr/>
      </w:pPr>
      <w:r>
        <w:rPr/>
        <w:t>In addition, the Company will change the frequency of distribution from quarterly to monthly beginning in October. The final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w:t>
      </w:r>
      <w:r>
        <w:rPr/>
        <w:t>We are pleased to announce another increase in our quarterly dividend, which is well covered by our net investment income. We believe that the change to a monthly dividend will be valued by our investors,” said Arthur Penn, Chairman and CEO. “Our earnings stream continues to be robust due to strong credit performance and the excellent returns generated by our PSLF Joint Venture."</w:t>
      </w:r>
    </w:p>
    <w:p>
      <w:pPr>
        <w:pStyle w:val="TextBody"/>
        <w:bidi w:val="0"/>
        <w:jc w:val="both"/>
        <w:rPr/>
      </w:pPr>
      <w:r>
        <w:rPr>
          <w:rStyle w:val="StrongEmphasis"/>
        </w:rPr>
        <w:t>PORTFOLIO AND INVESTMENT ACTIVITY</w:t>
      </w:r>
    </w:p>
    <w:p>
      <w:pPr>
        <w:pStyle w:val="TextBody"/>
        <w:bidi w:val="0"/>
        <w:jc w:val="both"/>
        <w:rPr/>
      </w:pPr>
      <w:r>
        <w:rPr>
          <w:rStyle w:val="StrongEmphasis"/>
        </w:rPr>
        <w:t>PennantPark Investment Corporation</w:t>
      </w:r>
    </w:p>
    <w:p>
      <w:pPr>
        <w:pStyle w:val="TextBody"/>
        <w:bidi w:val="0"/>
        <w:jc w:val="both"/>
        <w:rPr/>
      </w:pPr>
      <w:r>
        <w:rPr/>
        <w:t>As of June 30, 2023, our portfolio totaled $1,075.9 million, which consisted of $590.5 million of first lien secured debt, $94.8 million of second lien secured debt, $154.7 million of subordinated debt (including $102.3 million in PSLF) and $235.8 million of preferred and common equity (including $59.0 million in PSLF). Our debt portfolio consisted of 96% variable-rate investments and 4% fixed-rate investments. As of June 30, 2023, we had one portfolio company on non-accrual, representing 1.1% and zero of our overall portfolio on a cost and fair value basis, respectively. As of June 30, 2023, the portfolio had net unrealized depreciation of $18.8 million. Our overall portfolio consisted of 129 companies with an average investment size of $8.3 million, and a weighted average yield on interest bearing debt investments of 12.7%.</w:t>
      </w:r>
    </w:p>
    <w:p>
      <w:pPr>
        <w:pStyle w:val="TextBody"/>
        <w:bidi w:val="0"/>
        <w:spacing w:before="0" w:after="283"/>
        <w:jc w:val="left"/>
        <w:rPr/>
      </w:pPr>
      <w:r>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As of September 30, 2022, the portfolio had net unrealized depreciation of $71.0 million. Our overall portfolio consisted of 123 companies with an average investment size of $10.1 million, and a weighted average yield on interest bearing debt investments of 10.8 %.</w:t>
      </w:r>
    </w:p>
    <w:p>
      <w:pPr>
        <w:pStyle w:val="TextBody"/>
        <w:bidi w:val="0"/>
        <w:jc w:val="both"/>
        <w:rPr/>
      </w:pPr>
      <w:r>
        <w:rPr/>
        <w:t>For the three months ended June 30, 2023, we invested $69.9 million in three new and 43 existing portfolio companies at a weighted average yield on debt investments of 12.6%. For the three months ended June 30, 2023, sales and repayments of investments totaled $135.7 million, including $61.8 million of sales to PSLF. For the nine months ended June 30, 2023, we invested $214.4 million in 15 new and 60 existing portfolio companies at a weighted average yield on debt investments of 11.9%. For the nine months ended June 30, 2023, sales and repayment totaled $280.5 million, including $80.2 million of sales to PSLF.</w:t>
      </w:r>
    </w:p>
    <w:p>
      <w:pPr>
        <w:pStyle w:val="TextBody"/>
        <w:bidi w:val="0"/>
        <w:spacing w:before="0" w:after="283"/>
        <w:jc w:val="left"/>
        <w:rPr/>
      </w:pPr>
      <w:r>
        <w:rPr/>
        <w:t>For the three months ended June 30, 2022, we invested $326.3 million in 11 new and 36 existing portfolio companies at a weighted average yield on debt investments of 8.7%. Sales and repayments of investments for the three months ended June 30, 2022 totaled $198.3 million, including $176.0 million of sales to PSLF. For the nine months ended June 30, 2022, we invested $799.4 million in 35 new and 48 existing portfolio companies at a weighted average yield on debt investments of 8.2%. Sales and repayment of investments for the nine months ended June 30, 2022 totaled $736.0 million, including $235.6 million of sales to PSLF.</w:t>
      </w:r>
    </w:p>
    <w:p>
      <w:pPr>
        <w:pStyle w:val="TextBody"/>
        <w:bidi w:val="0"/>
        <w:jc w:val="both"/>
        <w:rPr/>
      </w:pPr>
      <w:r>
        <w:rPr>
          <w:rStyle w:val="StrongEmphasis"/>
        </w:rPr>
        <w:t>PennantPark Senior Loan Fund, LLC</w:t>
      </w:r>
    </w:p>
    <w:p>
      <w:pPr>
        <w:pStyle w:val="TextBody"/>
        <w:bidi w:val="0"/>
        <w:jc w:val="both"/>
        <w:rPr/>
      </w:pPr>
      <w:r>
        <w:rPr/>
        <w:t>As of June 30, 2023, PSLF’s portfolio totaled $793.9 million, consisted of 92 companies with an average investment size of $8.6 million and had a weighted average yield on debt investments of 11.8%.</w:t>
      </w:r>
    </w:p>
    <w:p>
      <w:pPr>
        <w:pStyle w:val="TextBody"/>
        <w:bidi w:val="0"/>
        <w:jc w:val="both"/>
        <w:rPr/>
      </w:pPr>
      <w:r>
        <w:rPr/>
        <w:t>As of September 30, 2022, PSLF’s portfolio totaled $730.1 million, consisted of 80 companies with an average investment size of $9.1 million and had a weighted average yield on debt investments of 9.4%.</w:t>
      </w:r>
    </w:p>
    <w:p>
      <w:pPr>
        <w:pStyle w:val="TextBody"/>
        <w:bidi w:val="0"/>
        <w:jc w:val="both"/>
        <w:rPr/>
      </w:pPr>
      <w:r>
        <w:rPr/>
        <w:t>For the three months ended June 30, 2023, PSLF invested $64.0 million (including $61.8 million purchased from the Company) in eight new and one existing portfolio company at a weighted average yield on debt investments of 12.0%. PSLF’s sales and repayments of investments for the same period totaled $20.0 million. For the nine months ended June 30, 2023, PSLF invested $119.3 million (including $80.2 million purchased from the Company) in 16 new and six existing portfolio companies at a weighted average yield on debt investments of 11.8%. PSLF's sales and repayments of investments for the same period totaled $54.0 million.</w:t>
      </w:r>
    </w:p>
    <w:p>
      <w:pPr>
        <w:pStyle w:val="TextBody"/>
        <w:bidi w:val="0"/>
        <w:jc w:val="both"/>
        <w:rPr/>
      </w:pPr>
      <w:r>
        <w:rPr/>
        <w:t>For the three months ended June 30, 2022, PSLF invested $200.5 million (including $176.0 million purchased from the Company) in 14 new and 17 existing portfolio companies at a weighted average yield on debt investments of 7.3%. PSLF’s sales and repayments of investments for the same period totaled $35.1 million. For the nine months ended June 30, 2022, PSLF invested $278.6 million (including $235.6 million was purchased from the Company) in 29 new and 13 existing portfolio companies at a weighted average yield on debt investment of 7.3%. PSLF's sales and repayments of investments for the same period totaled $73.0 million.</w:t>
      </w:r>
    </w:p>
    <w:p>
      <w:pPr>
        <w:pStyle w:val="TextBody"/>
        <w:bidi w:val="0"/>
        <w:jc w:val="both"/>
        <w:rPr/>
      </w:pPr>
      <w:r>
        <w:rPr>
          <w:rStyle w:val="StrongEmphasis"/>
        </w:rPr>
        <w:t>RESULTS OF OPERATIONS</w:t>
      </w:r>
    </w:p>
    <w:p>
      <w:pPr>
        <w:pStyle w:val="TextBody"/>
        <w:bidi w:val="0"/>
        <w:jc w:val="both"/>
        <w:rPr/>
      </w:pPr>
      <w:r>
        <w:rPr/>
        <w:t>Set forth below are the results of operations during the three and nine months ended June 30, 2023 and 2022.</w:t>
      </w:r>
    </w:p>
    <w:p>
      <w:pPr>
        <w:pStyle w:val="TextBody"/>
        <w:bidi w:val="0"/>
        <w:jc w:val="both"/>
        <w:rPr/>
      </w:pPr>
      <w:r>
        <w:rPr>
          <w:rStyle w:val="StrongEmphasis"/>
        </w:rPr>
        <w:t>Investment Income</w:t>
      </w:r>
    </w:p>
    <w:p>
      <w:pPr>
        <w:pStyle w:val="TextBody"/>
        <w:bidi w:val="0"/>
        <w:jc w:val="both"/>
        <w:rPr/>
      </w:pPr>
      <w:r>
        <w:rPr/>
        <w:t>For the three and nine months ended June 30, 2023, investment income was $45.0 million and $111.3 million, respectively, which was attributable to $24.1 million and $72.7 million from first lien secured debt, $3.5 million and $10.9 million from second lien secured debt, $1.2 million and $3.4 million from subordinated debt and $16.2 million and $24.3 million from preferred and common equity, respectively. For the three and nine months ended June 30, 2022, investment income was $23.3 million and $76.0 million, respectively, which was attributable to $17.6 million and $52.2 million from first lien secured debt, $2.9 million and $13.7 million from second lien secured debt, $0.3 million and $2.6 million from subordinated debt and $2.5 million and $7.4 million from preferred and common equity, respectively. The increase in investment income compared to the same periods in the prior year was primarily due to the increase in the cost yield of our debt portfolio and a dividend related to our equity investment in Dominion Voting Systems.</w:t>
      </w:r>
    </w:p>
    <w:p>
      <w:pPr>
        <w:pStyle w:val="TextBody"/>
        <w:bidi w:val="0"/>
        <w:jc w:val="both"/>
        <w:rPr/>
      </w:pPr>
      <w:r>
        <w:rPr>
          <w:rStyle w:val="StrongEmphasis"/>
        </w:rPr>
        <w:t>Expenses</w:t>
      </w:r>
    </w:p>
    <w:p>
      <w:pPr>
        <w:pStyle w:val="TextBody"/>
        <w:bidi w:val="0"/>
        <w:jc w:val="both"/>
        <w:rPr/>
      </w:pPr>
      <w:r>
        <w:rPr/>
        <w:t>For the three and nine months ended June 30, 2023, expenses totaled $22.1 million and $61.4 million, respectively, and were comprised of; $10.1 million and $30.5 million of debt related interest and expenses, $4.0 million and $12.6 million of base management fees, $4.9 million and $10.6 million of incentive fees, $1.9 million and $4.1 million of general and administrative expenses and $1.2 million and $3.6 million of provision for excise taxes. For the three and nine months ended June 30, 2022, expenses totaled $12.8 million and $41.3 million, respectively, and were comprised of $6.7 million and $20.1 million of debt related interest and expenses, $4.9 million and $15.0 million of base management fees, zero and $2.7 million of incentive fees, $1.0 million and $3.0 million of general and administrative expenses and $0.2 million and $0.6 million of provision for excise taxes, respectively. The increase in expenses was primarily due to the increased financing costs of our debt liabilities and increased incentive fees compared to the same period in the prior year.</w:t>
      </w:r>
    </w:p>
    <w:p>
      <w:pPr>
        <w:pStyle w:val="TextBody"/>
        <w:bidi w:val="0"/>
        <w:jc w:val="both"/>
        <w:rPr/>
      </w:pPr>
      <w:r>
        <w:rPr>
          <w:rStyle w:val="StrongEmphasis"/>
        </w:rPr>
        <w:t>Net Investment Income</w:t>
      </w:r>
    </w:p>
    <w:p>
      <w:pPr>
        <w:pStyle w:val="TextBody"/>
        <w:bidi w:val="0"/>
        <w:spacing w:before="0" w:after="283"/>
        <w:jc w:val="left"/>
        <w:rPr/>
      </w:pPr>
      <w:r>
        <w:rPr/>
        <w:t>For the three and nine months ended June 30, 2023, net investment income totaled $23.0 million and $49.9 million, or $0.35 per share and $0.77 per share, respectively. For the three and nine months ended June 30, 2022, net investment income totaled $10.6 million and $34.8 million, or $0.16 per share and $0.52 per share, respectively. The increase in net investment income was primarily due to an increase in investment income partially offset by an increase in expenses compared to the same period in the prior year.</w:t>
      </w:r>
    </w:p>
    <w:p>
      <w:pPr>
        <w:pStyle w:val="TextBody"/>
        <w:bidi w:val="0"/>
        <w:jc w:val="both"/>
        <w:rPr/>
      </w:pPr>
      <w:r>
        <w:rPr>
          <w:rStyle w:val="StrongEmphasis"/>
        </w:rPr>
        <w:t>Net Realized Gains or Losses</w:t>
      </w:r>
    </w:p>
    <w:p>
      <w:pPr>
        <w:pStyle w:val="TextBody"/>
        <w:bidi w:val="0"/>
        <w:jc w:val="both"/>
        <w:rPr/>
      </w:pPr>
      <w:r>
        <w:rPr/>
        <w:t>For the three and nine months ended June 30, 2023, net realized gains (losses) totaled $(6.9) million and $(151.5) million, respectively. For the three and nine months ended June 30, 2022 net realized gains (losses) totaled $(35.4) million and $73.5 million, respectively. The change in realized gains or losses was primarily due to changes in the market conditions of our investments and the values at which they were realized compared to the same periods in the prior year.</w:t>
      </w:r>
    </w:p>
    <w:p>
      <w:pPr>
        <w:pStyle w:val="TextBody"/>
        <w:bidi w:val="0"/>
        <w:jc w:val="both"/>
        <w:rPr/>
      </w:pPr>
      <w:r>
        <w:rPr>
          <w:rStyle w:val="StrongEmphasis"/>
        </w:rPr>
        <w:t>Unrealized Appreciation or Depreciation on Investments and Debt</w:t>
      </w:r>
    </w:p>
    <w:p>
      <w:pPr>
        <w:pStyle w:val="TextBody"/>
        <w:bidi w:val="0"/>
        <w:jc w:val="both"/>
        <w:rPr/>
      </w:pPr>
      <w:r>
        <w:rPr/>
        <w:t>For the three and nine months ended June 30, 2023, net change in unrealized appreciation (depreciation) on investments was $13.3 million and $57.1 million, respectively. For the three and nine months ended June 30, 2022, net change in unrealized appreciation (depreciation) on investments was $5.6 million and $(99.1) million, respectively. As of June 30, 2023 and September 30, 2022, our net unrealized appreciation (depreciation) on investments totaled $(18.8) million and $(75.7) million, respectively. The net change in unrealized appreciation or depreciation on our investments compared to the same period in the prior year was primarily due to the operating performance of the portfolio companies within our portfolio and changes in the capital market conditions of our investments.</w:t>
      </w:r>
    </w:p>
    <w:p>
      <w:pPr>
        <w:pStyle w:val="TextBody"/>
        <w:bidi w:val="0"/>
        <w:jc w:val="both"/>
        <w:rPr/>
      </w:pPr>
      <w:r>
        <w:rPr/>
        <w:t>For the three and nine months ended June 30, 2023, our Credit Facility had a net change in unrealized (appreciation) depreciation of $(8.4) million and $(2.5) million, respectively. For the three and nine months ended June 30, 2022, the Credit Facility had a net change in unrealized (appreciation) depreciation of $8.9 million and $9.2 million, respectively. As of June 30, 2023 and September 30, 2022, the net unrealized depreciation on the Credit Facility totaled $6.8 million and $9.2 million, respectively. The net change in unrealized appreciation or depreciation compared to the same periods in the prior year was primarily due to changes in the capital markets.</w:t>
      </w:r>
    </w:p>
    <w:p>
      <w:pPr>
        <w:pStyle w:val="TextBody"/>
        <w:bidi w:val="0"/>
        <w:jc w:val="both"/>
        <w:rPr/>
      </w:pPr>
      <w:r>
        <w:rPr>
          <w:rStyle w:val="StrongEmphasis"/>
        </w:rPr>
        <w:t>Net Increase (Decrease) in Net Assets Resulting from Operations</w:t>
      </w:r>
    </w:p>
    <w:p>
      <w:pPr>
        <w:pStyle w:val="TextBody"/>
        <w:bidi w:val="0"/>
        <w:jc w:val="both"/>
        <w:rPr/>
      </w:pPr>
      <w:r>
        <w:rPr/>
        <w:t>For the three and nine months ended June 30, 2023, net increase (decrease) in net assets resulting from operations totaled $20.9 million and $(46.1) million, or $0.32 per share and $(0.71) per share, respectively. For the three and nine months ended June 30, 2022, net increase (decrease) in net assets resulting from operations totaled $(18.5) million and $10.2 million, or $(0.28) and $0.15 per share, respectively. The increase or decrease from operations compared to the same periods in the prior year was primarily due to changes in net investment income and changes in net realized and unrealized gains or losses.</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pStyle w:val="TextBody"/>
        <w:bidi w:val="0"/>
        <w:jc w:val="both"/>
        <w:rPr/>
      </w:pPr>
      <w:r>
        <w:rPr/>
        <w:t>As of June 30, 2023 and September 30, 2022, we had $314.4 million and $385.9 million in outstanding borrowings under the Credit Facility, respectively, and the weighted average interest rate was 7.4% and 5.3%, respectively. As of June 30, 2023 and September 30, 2022, we had $185.6 million and $114.1 million of unused borrowing capacity under the Credit Facility, respectively, subject to leverage and borrowing base restrictions.</w:t>
      </w:r>
    </w:p>
    <w:p>
      <w:pPr>
        <w:pStyle w:val="TextBody"/>
        <w:bidi w:val="0"/>
        <w:jc w:val="both"/>
        <w:rPr/>
      </w:pPr>
      <w:r>
        <w:rPr/>
        <w:t>As of June 30, 2023 and September 30, 2022, we had cash and cash equivalents of $42.8 million and $52.7 million, respectively, available for investing and general corporate purposes. We believe our liquidity and capital resources are sufficient to allow us to effectively operate our business.</w:t>
      </w:r>
    </w:p>
    <w:p>
      <w:pPr>
        <w:pStyle w:val="TextBody"/>
        <w:bidi w:val="0"/>
        <w:jc w:val="both"/>
        <w:rPr/>
      </w:pPr>
      <w:r>
        <w:rPr/>
        <w:t>For the nine months ended June 30, 2023, our operating activities provided cash of $113.9 million and our financing activities used cash of $124.1 million. Our operating activities provided cash primarily due to our investment activities and our financing activities used cash primarily to fund repayments under the Credit Facility.</w:t>
      </w:r>
    </w:p>
    <w:p>
      <w:pPr>
        <w:pStyle w:val="TextBody"/>
        <w:bidi w:val="0"/>
        <w:jc w:val="both"/>
        <w:rPr/>
      </w:pPr>
      <w:r>
        <w:rPr/>
        <w:t>For the nine months ended June 30, 2022, our operating activities used cash of $97.5 million, and our financing activities provided cash of $106.9 million. Our operating activities used cash primarily due to our investment activities and our financing activities provided cash primarily due to borrowing under the Credit Facility and proceeds from our 2026-2 Notes.</w:t>
      </w:r>
    </w:p>
    <w:p>
      <w:pPr>
        <w:pStyle w:val="TextBody"/>
        <w:bidi w:val="0"/>
        <w:jc w:val="both"/>
        <w:rPr/>
      </w:pPr>
      <w:r>
        <w:rPr>
          <w:rStyle w:val="StrongEmphasis"/>
        </w:rPr>
        <w:t>RECENT DEVELOPMENTS</w:t>
      </w:r>
    </w:p>
    <w:p>
      <w:pPr>
        <w:pStyle w:val="TextBody"/>
        <w:bidi w:val="0"/>
        <w:jc w:val="both"/>
        <w:rPr/>
      </w:pPr>
      <w:r>
        <w:rPr/>
        <w:t>On July 26, 2023, PSLF, through its wholly-owned and consolidated subsidiary, PennantPark CLO VII, LLC (“CLO VII”), closed a $300.0 million debt securitization in the form of a collateralized loan obligation. PSLF retained all of the subordinated notes, which totaled $54.0 million. The reinvestment period for the term debt securitization ends in July 2027 and the debt is scheduled to mature in July 2035.</w:t>
      </w:r>
    </w:p>
    <w:p>
      <w:pPr>
        <w:pStyle w:val="TextBody"/>
        <w:bidi w:val="0"/>
        <w:jc w:val="both"/>
        <w:rPr/>
      </w:pPr>
      <w:r>
        <w:rPr>
          <w:rStyle w:val="StrongEmphasis"/>
        </w:rPr>
        <w:t>DISTRIBUTIONS</w:t>
      </w:r>
    </w:p>
    <w:p>
      <w:pPr>
        <w:pStyle w:val="TextBody"/>
        <w:bidi w:val="0"/>
        <w:jc w:val="both"/>
        <w:rPr/>
      </w:pPr>
      <w:r>
        <w:rPr/>
        <w:t>During the three and nine months ended June 30, 2023, we declared distributions of $0.20 and $0.55 per share, for total distributions of $13.0 million and $35.9 million, respectively. For the three and nine months ended June 30, 2022, we declared distributions of $0.145 and $0.405 per share, for total distributions of $9.4 million and $26.8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AVAILABLE INFORMATION</w:t>
      </w:r>
    </w:p>
    <w:p>
      <w:pPr>
        <w:pStyle w:val="TextBody"/>
        <w:bidi w:val="0"/>
        <w:jc w:val="both"/>
        <w:rPr/>
      </w:pPr>
      <w:r>
        <w:rPr/>
        <w:t xml:space="preserve">The Company makes available on its website its Quarterly report on Form 10-Q filed with the SEC and stockholders may find the report on our website at </w:t>
      </w:r>
      <w:r>
        <w:rPr>
          <w:u w:val="single"/>
        </w:rPr>
        <w:t>www.pennantpark.com</w:t>
      </w:r>
      <w:r>
        <w:rPr/>
        <w:t>.</w:t>
      </w:r>
    </w:p>
    <w:p>
      <w:pPr>
        <w:pStyle w:val="TextBody"/>
        <w:bidi w:val="0"/>
        <w:jc w:val="center"/>
        <w:rPr>
          <w:rStyle w:val="StrongEmphasis"/>
        </w:rPr>
      </w:pPr>
      <w:r>
        <w:rPr/>
      </w:r>
    </w:p>
    <w:p>
      <w:pPr>
        <w:pStyle w:val="TextBody"/>
        <w:bidi w:val="0"/>
        <w:jc w:val="center"/>
        <w:rPr/>
      </w:pPr>
      <w:r>
        <w:rPr>
          <w:rStyle w:val="StrongEmphasis"/>
        </w:rPr>
        <w:t>PENNANTPARK INVESTMENT CORPORATION AND SUBSIDIARIES</w:t>
      </w:r>
      <w:r>
        <w:rPr/>
        <w:t xml:space="preserve"> </w:t>
        <w:br/>
      </w:r>
      <w:r>
        <w:rPr>
          <w:rStyle w:val="StrongEmphasis"/>
        </w:rPr>
        <w:t>CONSOLIDATED STATEMENTS OF ASSETS AND LIABILITIES</w:t>
      </w:r>
      <w:r>
        <w:rPr/>
        <w:t xml:space="preserve"> </w:t>
        <w:br/>
        <w:t>(In thousands, except share data)</w:t>
      </w:r>
    </w:p>
    <w:tbl>
      <w:tblPr>
        <w:tblW w:w="10205" w:type="dxa"/>
        <w:jc w:val="left"/>
        <w:tblInd w:w="0" w:type="dxa"/>
        <w:tblLayout w:type="fixed"/>
        <w:tblCellMar>
          <w:top w:w="28" w:type="dxa"/>
          <w:left w:w="28" w:type="dxa"/>
          <w:bottom w:w="28" w:type="dxa"/>
          <w:right w:w="28" w:type="dxa"/>
        </w:tblCellMar>
      </w:tblPr>
      <w:tblGrid>
        <w:gridCol w:w="6408"/>
        <w:gridCol w:w="146"/>
        <w:gridCol w:w="248"/>
        <w:gridCol w:w="1171"/>
        <w:gridCol w:w="181"/>
        <w:gridCol w:w="146"/>
        <w:gridCol w:w="293"/>
        <w:gridCol w:w="1384"/>
        <w:gridCol w:w="228"/>
      </w:tblGrid>
      <w:tr>
        <w:trPr/>
        <w:tc>
          <w:tcPr>
            <w:tcW w:w="64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9"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2023</w:t>
            </w:r>
            <w:r>
              <w:rPr/>
              <w:t xml:space="preserve"> </w:t>
              <w:br/>
            </w: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2022</w:t>
            </w:r>
          </w:p>
        </w:tc>
        <w:tc>
          <w:tcPr>
            <w:tcW w:w="228" w:type="dxa"/>
            <w:tcBorders/>
            <w:vAlign w:val="center"/>
          </w:tcPr>
          <w:p>
            <w:pPr>
              <w:pStyle w:val="TableContents"/>
              <w:bidi w:val="0"/>
              <w:spacing w:before="0" w:after="283"/>
              <w:jc w:val="center"/>
              <w:rPr/>
            </w:pPr>
            <w:r>
              <w:rPr/>
              <w:t> </w:t>
            </w:r>
          </w:p>
        </w:tc>
      </w:tr>
      <w:tr>
        <w:trPr/>
        <w:tc>
          <w:tcPr>
            <w:tcW w:w="6408"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right"/>
              <w:rPr/>
            </w:pPr>
            <w:r>
              <w:rPr/>
              <w:t> </w:t>
            </w:r>
          </w:p>
        </w:tc>
        <w:tc>
          <w:tcPr>
            <w:tcW w:w="141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08"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right"/>
              <w:rPr/>
            </w:pPr>
            <w:r>
              <w:rPr/>
              <w:t> </w:t>
            </w:r>
          </w:p>
        </w:tc>
        <w:tc>
          <w:tcPr>
            <w:tcW w:w="14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cost—$794,387 and $882,513, respectively)</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before="0" w:after="283"/>
              <w:jc w:val="right"/>
              <w:rPr/>
            </w:pPr>
            <w:r>
              <w:rPr/>
              <w:t>810,303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932,155</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cost—$55,373 and $37,612, respectively)</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50,197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34,760</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cost—$244,940 and $381,904, respectively)</w:t>
            </w:r>
          </w:p>
        </w:tc>
        <w:tc>
          <w:tcPr>
            <w:tcW w:w="146"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215,380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259,386</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t>Total investments (amortized cost—$1,094,700 and $1,302,029, respectively)</w:t>
            </w:r>
          </w:p>
        </w:tc>
        <w:tc>
          <w:tcPr>
            <w:tcW w:w="146" w:type="dxa"/>
            <w:tcBorders/>
            <w:vAlign w:val="center"/>
          </w:tcPr>
          <w:p>
            <w:pPr>
              <w:pStyle w:val="TableContents"/>
              <w:bidi w:val="0"/>
              <w:spacing w:before="0" w:after="283"/>
              <w:jc w:val="righ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7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1,075,880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8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1,226,301</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Cash and cash equivalents (cost—$42,720 and $52,844, respectively)</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42,776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52,666</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4,970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3,593</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Receivable for investments sold</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15,630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29,494</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Distribution receivable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5,079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2,420</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4,036</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righ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1,156,371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1,318,510</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right"/>
              <w:rPr/>
            </w:pPr>
            <w:r>
              <w:rPr/>
              <w:t> </w:t>
            </w:r>
          </w:p>
        </w:tc>
        <w:tc>
          <w:tcPr>
            <w:tcW w:w="141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08"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13,045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9,784</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Truist Credit Facility payable, at fair value (cost—$314,420 and $385,920, respectively)</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307,661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376,687</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2026 Notes payable, net (par— $150,000)</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147,443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146,767</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2026 Notes-2 payable, net (par— $165,000)</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162,013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161,373</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SBA debentures payable, net (par—zero and $20,000, respectively)</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19,686</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3,993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4,849</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4,870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2,800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6,264</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10,927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6,639</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896</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righ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652,752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732,945</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Commitments and contingencies</w:t>
            </w:r>
          </w:p>
        </w:tc>
        <w:tc>
          <w:tcPr>
            <w:tcW w:w="146" w:type="dxa"/>
            <w:tcBorders/>
            <w:vAlign w:val="center"/>
          </w:tcPr>
          <w:p>
            <w:pPr>
              <w:pStyle w:val="TableContents"/>
              <w:bidi w:val="0"/>
              <w:spacing w:before="0" w:after="283"/>
              <w:jc w:val="right"/>
              <w:rPr/>
            </w:pPr>
            <w:r>
              <w:rPr/>
              <w:t> </w:t>
            </w:r>
          </w:p>
        </w:tc>
        <w:tc>
          <w:tcPr>
            <w:tcW w:w="141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08"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right"/>
              <w:rPr/>
            </w:pPr>
            <w:r>
              <w:rPr/>
              <w:t> </w:t>
            </w:r>
          </w:p>
        </w:tc>
        <w:tc>
          <w:tcPr>
            <w:tcW w:w="14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77"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08" w:type="dxa"/>
            <w:tcBorders/>
            <w:vAlign w:val="center"/>
          </w:tcPr>
          <w:p>
            <w:pPr>
              <w:pStyle w:val="TableContents"/>
              <w:bidi w:val="0"/>
              <w:spacing w:before="0" w:after="283"/>
              <w:jc w:val="left"/>
              <w:rPr/>
            </w:pPr>
            <w:r>
              <w:rPr/>
              <w:t>Common stock, 65,224,500 shares issued and outstanding, Par value $0.001 per share and 100,000,000 shares authorized</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65</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right"/>
              <w:rPr/>
            </w:pPr>
            <w:r>
              <w:rPr/>
              <w:t> </w:t>
            </w:r>
          </w:p>
        </w:tc>
        <w:tc>
          <w:tcPr>
            <w:tcW w:w="24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748,169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748,169</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righ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(244,615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(162,669</w:t>
            </w:r>
          </w:p>
        </w:tc>
        <w:tc>
          <w:tcPr>
            <w:tcW w:w="228" w:type="dxa"/>
            <w:tcBorders/>
            <w:vAlign w:val="center"/>
          </w:tcPr>
          <w:p>
            <w:pPr>
              <w:pStyle w:val="TableContents"/>
              <w:bidi w:val="0"/>
              <w:spacing w:before="0" w:after="283"/>
              <w:jc w:val="left"/>
              <w:rPr/>
            </w:pPr>
            <w:r>
              <w:rPr/>
              <w:t>)</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righ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503,619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585,565</w:t>
            </w:r>
          </w:p>
        </w:tc>
        <w:tc>
          <w:tcPr>
            <w:tcW w:w="228" w:type="dxa"/>
            <w:tcBorders/>
            <w:vAlign w:val="center"/>
          </w:tcPr>
          <w:p>
            <w:pPr>
              <w:pStyle w:val="TableContents"/>
              <w:bidi w:val="0"/>
              <w:spacing w:before="0" w:after="283"/>
              <w:jc w:val="left"/>
              <w:rPr/>
            </w:pPr>
            <w:r>
              <w:rPr/>
              <w:t> </w:t>
            </w:r>
          </w:p>
        </w:tc>
      </w:tr>
      <w:tr>
        <w:trPr/>
        <w:tc>
          <w:tcPr>
            <w:tcW w:w="64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right"/>
              <w:rPr/>
            </w:pPr>
            <w:r>
              <w:rPr/>
              <w:t> </w:t>
            </w:r>
          </w:p>
        </w:tc>
        <w:tc>
          <w:tcPr>
            <w:tcW w:w="2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1,156,371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1,318,510</w:t>
            </w:r>
          </w:p>
        </w:tc>
        <w:tc>
          <w:tcPr>
            <w:tcW w:w="228" w:type="dxa"/>
            <w:tcBorders/>
            <w:vAlign w:val="center"/>
          </w:tcPr>
          <w:p>
            <w:pPr>
              <w:pStyle w:val="TableContents"/>
              <w:bidi w:val="0"/>
              <w:spacing w:before="0" w:after="283"/>
              <w:jc w:val="left"/>
              <w:rPr/>
            </w:pPr>
            <w:r>
              <w:rPr/>
              <w:t> </w:t>
            </w:r>
          </w:p>
        </w:tc>
      </w:tr>
      <w:tr>
        <w:trPr/>
        <w:tc>
          <w:tcPr>
            <w:tcW w:w="6408"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righ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7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8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8.98</w:t>
            </w:r>
          </w:p>
        </w:tc>
        <w:tc>
          <w:tcPr>
            <w:tcW w:w="228"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center"/>
        <w:rPr/>
      </w:pPr>
      <w:r>
        <w:rPr>
          <w:rStyle w:val="StrongEmphasis"/>
        </w:rPr>
        <w:t>PENNANTPARK INVESTMENT CORPORATION AND SUBSIDIARIES</w:t>
      </w:r>
      <w:r>
        <w:rPr/>
        <w:t xml:space="preserve"> </w:t>
        <w:br/>
      </w:r>
      <w:r>
        <w:rPr>
          <w:rStyle w:val="StrongEmphasis"/>
        </w:rPr>
        <w:t>CONSOLIDATED STATEMENTS OF OPERATIONS</w:t>
      </w:r>
      <w:r>
        <w:rPr/>
        <w:t xml:space="preserve"> </w:t>
        <w:br/>
        <w:t>(In thousands, except share data)</w:t>
      </w:r>
    </w:p>
    <w:tbl>
      <w:tblPr>
        <w:tblW w:w="10205" w:type="dxa"/>
        <w:jc w:val="left"/>
        <w:tblInd w:w="0" w:type="dxa"/>
        <w:tblLayout w:type="fixed"/>
        <w:tblCellMar>
          <w:top w:w="28" w:type="dxa"/>
          <w:left w:w="28" w:type="dxa"/>
          <w:bottom w:w="28" w:type="dxa"/>
          <w:right w:w="28" w:type="dxa"/>
        </w:tblCellMar>
      </w:tblPr>
      <w:tblGrid>
        <w:gridCol w:w="4419"/>
        <w:gridCol w:w="146"/>
        <w:gridCol w:w="226"/>
        <w:gridCol w:w="766"/>
        <w:gridCol w:w="181"/>
        <w:gridCol w:w="146"/>
        <w:gridCol w:w="226"/>
        <w:gridCol w:w="841"/>
        <w:gridCol w:w="181"/>
        <w:gridCol w:w="146"/>
        <w:gridCol w:w="226"/>
        <w:gridCol w:w="961"/>
        <w:gridCol w:w="181"/>
        <w:gridCol w:w="146"/>
        <w:gridCol w:w="226"/>
        <w:gridCol w:w="961"/>
        <w:gridCol w:w="226"/>
      </w:tblGrid>
      <w:tr>
        <w:trPr/>
        <w:tc>
          <w:tcPr>
            <w:tcW w:w="44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t xml:space="preserve"> </w:t>
              <w:br/>
            </w:r>
            <w:r>
              <w:rPr>
                <w:rStyle w:val="StrongEmphasis"/>
              </w:rPr>
              <w:t>June 30,</w:t>
            </w:r>
            <w:r>
              <w:rPr/>
              <w:t xml:space="preserve"> </w:t>
              <w:br/>
            </w: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70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w:t>
            </w:r>
            <w:r>
              <w:rPr/>
              <w:t xml:space="preserve"> </w:t>
              <w:br/>
            </w:r>
            <w:r>
              <w:rPr>
                <w:rStyle w:val="StrongEmphasis"/>
              </w:rPr>
              <w:t>June 30,</w:t>
            </w:r>
            <w:r>
              <w:rPr/>
              <w:t xml:space="preserve"> </w:t>
              <w:br/>
            </w:r>
            <w:r>
              <w:rPr>
                <w:rStyle w:val="StrongEmphasis"/>
              </w:rPr>
              <w:t>(Unaudited)</w:t>
            </w:r>
          </w:p>
        </w:tc>
        <w:tc>
          <w:tcPr>
            <w:tcW w:w="226" w:type="dxa"/>
            <w:tcBorders/>
            <w:vAlign w:val="center"/>
          </w:tcPr>
          <w:p>
            <w:pPr>
              <w:pStyle w:val="TableContents"/>
              <w:bidi w:val="0"/>
              <w:spacing w:before="0" w:after="283"/>
              <w:jc w:val="center"/>
              <w:rPr/>
            </w:pPr>
            <w:r>
              <w:rPr/>
              <w:t> </w:t>
            </w:r>
          </w:p>
        </w:tc>
      </w:tr>
      <w:tr>
        <w:trPr/>
        <w:tc>
          <w:tcPr>
            <w:tcW w:w="44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2022</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2022</w:t>
            </w:r>
          </w:p>
        </w:tc>
        <w:tc>
          <w:tcPr>
            <w:tcW w:w="226" w:type="dxa"/>
            <w:tcBorders/>
            <w:vAlign w:val="center"/>
          </w:tcPr>
          <w:p>
            <w:pPr>
              <w:pStyle w:val="TableContents"/>
              <w:bidi w:val="0"/>
              <w:spacing w:before="0" w:after="283"/>
              <w:jc w:val="center"/>
              <w:rPr/>
            </w:pPr>
            <w:r>
              <w:rPr/>
              <w:t> </w:t>
            </w:r>
          </w:p>
        </w:tc>
      </w:tr>
      <w:tr>
        <w:trPr/>
        <w:tc>
          <w:tcPr>
            <w:tcW w:w="4419"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righ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23,189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15,890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72,179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45,973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4,071</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11,786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12,917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1,428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8,050</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t>From non-controlled, affiliated investments:</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4,392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2,694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10,898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7,303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3,983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6,655</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45,011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23,348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111,323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76,035</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righ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3,993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4,887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12,635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14,977</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4,870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10,591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2,657</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10,139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6,737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30,455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20,122</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750</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2,169</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20,874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12,597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57,761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40,675</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600</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22,055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12,797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61,392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41,275</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22,956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10,551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49,931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34,760</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righ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vAlign w:val="center"/>
          </w:tcPr>
          <w:p>
            <w:pPr>
              <w:pStyle w:val="TableContents"/>
              <w:bidi w:val="0"/>
              <w:spacing w:before="0" w:after="283"/>
              <w:jc w:val="left"/>
              <w:rPr/>
            </w:pPr>
            <w:r>
              <w:rPr/>
              <w:t>Net realized gain (loss) on investments and debt:</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(5,193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(15,742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7,203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(34,381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(133,098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75,243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Debt extinguishment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(2,801</w:t>
            </w:r>
          </w:p>
        </w:tc>
        <w:tc>
          <w:tcPr>
            <w:tcW w:w="226" w:type="dxa"/>
            <w:tcBorders/>
            <w:vAlign w:val="center"/>
          </w:tcPr>
          <w:p>
            <w:pPr>
              <w:pStyle w:val="TableContents"/>
              <w:bidi w:val="0"/>
              <w:spacing w:before="0" w:after="283"/>
              <w:jc w:val="left"/>
              <w:rPr/>
            </w:pPr>
            <w:r>
              <w:rPr/>
              <w:t>)</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(6,183</w:t>
            </w:r>
          </w:p>
        </w:tc>
        <w:tc>
          <w:tcPr>
            <w:tcW w:w="226" w:type="dxa"/>
            <w:tcBorders/>
            <w:vAlign w:val="center"/>
          </w:tcPr>
          <w:p>
            <w:pPr>
              <w:pStyle w:val="TableContents"/>
              <w:bidi w:val="0"/>
              <w:spacing w:before="0" w:after="283"/>
              <w:jc w:val="left"/>
              <w:rPr/>
            </w:pPr>
            <w:r>
              <w:rPr/>
              <w:t>)</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(35,391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(151,546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73,462</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righ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13,056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14,317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(33,513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(193,348</w:t>
            </w:r>
          </w:p>
        </w:tc>
        <w:tc>
          <w:tcPr>
            <w:tcW w:w="226" w:type="dxa"/>
            <w:tcBorders/>
            <w:vAlign w:val="center"/>
          </w:tcPr>
          <w:p>
            <w:pPr>
              <w:pStyle w:val="TableContents"/>
              <w:bidi w:val="0"/>
              <w:spacing w:before="0" w:after="283"/>
              <w:jc w:val="left"/>
              <w:rPr/>
            </w:pPr>
            <w:r>
              <w:rPr/>
              <w:t>)</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(8,725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90,634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94,257</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(8,127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(8,128</w:t>
            </w:r>
          </w:p>
        </w:tc>
        <w:tc>
          <w:tcPr>
            <w:tcW w:w="226" w:type="dxa"/>
            <w:tcBorders/>
            <w:vAlign w:val="center"/>
          </w:tcPr>
          <w:p>
            <w:pPr>
              <w:pStyle w:val="TableContents"/>
              <w:bidi w:val="0"/>
              <w:spacing w:before="0" w:after="283"/>
              <w:jc w:val="left"/>
              <w:rPr/>
            </w:pPr>
            <w:r>
              <w:rPr/>
              <w:t>)</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(8,393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(2,474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9,183</w:t>
            </w:r>
          </w:p>
        </w:tc>
        <w:tc>
          <w:tcPr>
            <w:tcW w:w="226" w:type="dxa"/>
            <w:tcBorders/>
            <w:vAlign w:val="center"/>
          </w:tcPr>
          <w:p>
            <w:pPr>
              <w:pStyle w:val="TableContents"/>
              <w:bidi w:val="0"/>
              <w:spacing w:before="0" w:after="283"/>
              <w:jc w:val="left"/>
              <w:rPr/>
            </w:pPr>
            <w:r>
              <w:rPr/>
              <w:t> </w:t>
            </w:r>
          </w:p>
        </w:tc>
      </w:tr>
      <w:tr>
        <w:trPr/>
        <w:tc>
          <w:tcPr>
            <w:tcW w:w="441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(98,036</w:t>
            </w:r>
          </w:p>
        </w:tc>
        <w:tc>
          <w:tcPr>
            <w:tcW w:w="226" w:type="dxa"/>
            <w:tcBorders/>
            <w:vAlign w:val="center"/>
          </w:tcPr>
          <w:p>
            <w:pPr>
              <w:pStyle w:val="TableContents"/>
              <w:bidi w:val="0"/>
              <w:spacing w:before="0" w:after="283"/>
              <w:jc w:val="left"/>
              <w:rPr/>
            </w:pPr>
            <w:r>
              <w:rPr/>
              <w:t>)</w:t>
            </w:r>
          </w:p>
        </w:tc>
      </w:tr>
      <w:tr>
        <w:trPr/>
        <w:tc>
          <w:tcPr>
            <w:tcW w:w="4419"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(29,032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(96,003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(24,574</w:t>
            </w:r>
          </w:p>
        </w:tc>
        <w:tc>
          <w:tcPr>
            <w:tcW w:w="226" w:type="dxa"/>
            <w:tcBorders/>
            <w:vAlign w:val="center"/>
          </w:tcPr>
          <w:p>
            <w:pPr>
              <w:pStyle w:val="TableContents"/>
              <w:bidi w:val="0"/>
              <w:spacing w:before="0" w:after="283"/>
              <w:jc w:val="left"/>
              <w:rPr/>
            </w:pPr>
            <w:r>
              <w:rPr/>
              <w:t>)</w:t>
            </w:r>
          </w:p>
        </w:tc>
      </w:tr>
      <w:tr>
        <w:trPr/>
        <w:tc>
          <w:tcPr>
            <w:tcW w:w="4419"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20,949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(18,481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(46,072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10,186</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(0.71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0.15</w:t>
            </w:r>
          </w:p>
        </w:tc>
        <w:tc>
          <w:tcPr>
            <w:tcW w:w="226" w:type="dxa"/>
            <w:tcBorders/>
            <w:vAlign w:val="center"/>
          </w:tcPr>
          <w:p>
            <w:pPr>
              <w:pStyle w:val="TableContents"/>
              <w:bidi w:val="0"/>
              <w:spacing w:before="0" w:after="283"/>
              <w:jc w:val="left"/>
              <w:rPr/>
            </w:pPr>
            <w:r>
              <w:rPr/>
              <w:t> </w:t>
            </w:r>
          </w:p>
        </w:tc>
      </w:tr>
      <w:tr>
        <w:trPr/>
        <w:tc>
          <w:tcPr>
            <w:tcW w:w="4419"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0.52</w:t>
            </w:r>
          </w:p>
        </w:tc>
        <w:tc>
          <w:tcPr>
            <w:tcW w:w="22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br/>
        <w:t>ABOUT PENNANTPARK INVESTMENT CORPORATION</w:t>
      </w:r>
    </w:p>
    <w:p>
      <w:pPr>
        <w:pStyle w:val="TextBody"/>
        <w:bidi w:val="0"/>
        <w:jc w:val="both"/>
        <w:rPr/>
      </w:pPr>
      <w:r>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jc w:val="both"/>
        <w:rPr/>
      </w:pPr>
      <w:r>
        <w:rPr>
          <w:rStyle w:val="StrongEmphasis"/>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left"/>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4769</Words>
  <Characters>26676</Characters>
  <CharactersWithSpaces>31701</CharactersWithSpaces>
  <Paragraphs>1276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