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0100" w:type="dxa"/>
            <w:vAlign w:val="bottom"/>
            <w:gridSpan w:val="3"/>
          </w:tcPr>
          <w:p>
            <w:pPr>
              <w:jc w:val="center"/>
              <w:ind w:right="1232"/>
              <w:spacing w:after="0"/>
              <w:rPr>
                <w:sz w:val="20"/>
                <w:szCs w:val="20"/>
                <w:color w:val="auto"/>
              </w:rPr>
            </w:pPr>
            <w:r>
              <w:rPr>
                <w:rFonts w:ascii="Arial" w:cs="Arial" w:eastAsia="Arial" w:hAnsi="Arial"/>
                <w:sz w:val="18"/>
                <w:szCs w:val="18"/>
                <w:b w:val="1"/>
                <w:bCs w:val="1"/>
                <w:color w:val="auto"/>
                <w:w w:val="87"/>
              </w:rPr>
              <w:t>As filed with the Securities and Exchange Commission on January 19, 2007</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720" w:type="dxa"/>
            <w:vAlign w:val="bottom"/>
          </w:tcPr>
          <w:p>
            <w:pPr>
              <w:ind w:left="2600"/>
              <w:spacing w:after="0"/>
              <w:rPr>
                <w:sz w:val="20"/>
                <w:szCs w:val="20"/>
                <w:color w:val="auto"/>
              </w:rPr>
            </w:pPr>
            <w:r>
              <w:rPr>
                <w:rFonts w:ascii="Arial" w:cs="Arial" w:eastAsia="Arial" w:hAnsi="Arial"/>
                <w:sz w:val="18"/>
                <w:szCs w:val="18"/>
                <w:b w:val="1"/>
                <w:bCs w:val="1"/>
                <w:color w:val="auto"/>
              </w:rPr>
              <w:t>Registration No. 333-</w:t>
            </w:r>
          </w:p>
        </w:tc>
        <w:tc>
          <w:tcPr>
            <w:tcW w:w="0" w:type="dxa"/>
            <w:vAlign w:val="bottom"/>
          </w:tcPr>
          <w:p>
            <w:pPr>
              <w:spacing w:after="0"/>
              <w:rPr>
                <w:sz w:val="1"/>
                <w:szCs w:val="1"/>
                <w:color w:val="auto"/>
              </w:rPr>
            </w:pPr>
          </w:p>
        </w:tc>
      </w:tr>
      <w:tr>
        <w:trPr>
          <w:trHeight w:val="134"/>
        </w:trPr>
        <w:tc>
          <w:tcPr>
            <w:tcW w:w="13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42"/>
        </w:trPr>
        <w:tc>
          <w:tcPr>
            <w:tcW w:w="1320" w:type="dxa"/>
            <w:vAlign w:val="bottom"/>
          </w:tcPr>
          <w:p>
            <w:pPr>
              <w:spacing w:after="0"/>
              <w:rPr>
                <w:sz w:val="24"/>
                <w:szCs w:val="24"/>
                <w:color w:val="auto"/>
              </w:rPr>
            </w:pPr>
          </w:p>
        </w:tc>
        <w:tc>
          <w:tcPr>
            <w:tcW w:w="10100" w:type="dxa"/>
            <w:vAlign w:val="bottom"/>
            <w:gridSpan w:val="3"/>
          </w:tcPr>
          <w:p>
            <w:pPr>
              <w:jc w:val="center"/>
              <w:ind w:right="1212"/>
              <w:spacing w:after="0"/>
              <w:rPr>
                <w:sz w:val="20"/>
                <w:szCs w:val="20"/>
                <w:color w:val="auto"/>
              </w:rPr>
            </w:pPr>
            <w:r>
              <w:rPr>
                <w:rFonts w:ascii="Arial" w:cs="Arial" w:eastAsia="Arial" w:hAnsi="Arial"/>
                <w:sz w:val="32"/>
                <w:szCs w:val="32"/>
                <w:b w:val="1"/>
                <w:bCs w:val="1"/>
                <w:color w:val="auto"/>
              </w:rPr>
              <w:t>U.S. SECURITIES AND EXCHANGE COMMISSION</w:t>
            </w:r>
          </w:p>
        </w:tc>
        <w:tc>
          <w:tcPr>
            <w:tcW w:w="0" w:type="dxa"/>
            <w:vAlign w:val="bottom"/>
          </w:tcPr>
          <w:p>
            <w:pPr>
              <w:spacing w:after="0"/>
              <w:rPr>
                <w:sz w:val="1"/>
                <w:szCs w:val="1"/>
                <w:color w:val="auto"/>
              </w:rPr>
            </w:pPr>
          </w:p>
        </w:tc>
      </w:tr>
      <w:tr>
        <w:trPr>
          <w:trHeight w:val="281"/>
        </w:trPr>
        <w:tc>
          <w:tcPr>
            <w:tcW w:w="1320" w:type="dxa"/>
            <w:vAlign w:val="bottom"/>
          </w:tcPr>
          <w:p>
            <w:pPr>
              <w:spacing w:after="0"/>
              <w:rPr>
                <w:sz w:val="24"/>
                <w:szCs w:val="24"/>
                <w:color w:val="auto"/>
              </w:rPr>
            </w:pPr>
          </w:p>
        </w:tc>
        <w:tc>
          <w:tcPr>
            <w:tcW w:w="10100" w:type="dxa"/>
            <w:vAlign w:val="bottom"/>
            <w:gridSpan w:val="3"/>
          </w:tcPr>
          <w:p>
            <w:pPr>
              <w:jc w:val="center"/>
              <w:ind w:right="1232"/>
              <w:spacing w:after="0"/>
              <w:rPr>
                <w:sz w:val="20"/>
                <w:szCs w:val="20"/>
                <w:color w:val="auto"/>
              </w:rPr>
            </w:pPr>
            <w:r>
              <w:rPr>
                <w:rFonts w:ascii="Arial" w:cs="Arial" w:eastAsia="Arial" w:hAnsi="Arial"/>
                <w:sz w:val="22"/>
                <w:szCs w:val="22"/>
                <w:b w:val="1"/>
                <w:bCs w:val="1"/>
                <w:color w:val="auto"/>
                <w:w w:val="94"/>
              </w:rPr>
              <w:t>WASHINGTON, D.C. 20549</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80" w:type="dxa"/>
            <w:vAlign w:val="bottom"/>
            <w:gridSpan w:val="2"/>
          </w:tcPr>
          <w:p>
            <w:pPr>
              <w:jc w:val="center"/>
              <w:ind w:right="4652"/>
              <w:spacing w:after="0"/>
              <w:rPr>
                <w:sz w:val="20"/>
                <w:szCs w:val="20"/>
                <w:color w:val="auto"/>
              </w:rPr>
            </w:pPr>
            <w:r>
              <w:rPr>
                <w:rFonts w:ascii="Arial" w:cs="Arial" w:eastAsia="Arial" w:hAnsi="Arial"/>
                <w:sz w:val="32"/>
                <w:szCs w:val="32"/>
                <w:b w:val="1"/>
                <w:bCs w:val="1"/>
                <w:color w:val="auto"/>
              </w:rPr>
              <w:t>FORM N-2</w:t>
            </w:r>
          </w:p>
        </w:tc>
        <w:tc>
          <w:tcPr>
            <w:tcW w:w="0" w:type="dxa"/>
            <w:vAlign w:val="bottom"/>
          </w:tcPr>
          <w:p>
            <w:pPr>
              <w:spacing w:after="0"/>
              <w:rPr>
                <w:sz w:val="1"/>
                <w:szCs w:val="1"/>
                <w:color w:val="auto"/>
              </w:rPr>
            </w:pPr>
          </w:p>
        </w:tc>
      </w:tr>
      <w:tr>
        <w:trPr>
          <w:trHeight w:val="296"/>
        </w:trPr>
        <w:tc>
          <w:tcPr>
            <w:tcW w:w="132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1320" w:type="dxa"/>
            <w:vAlign w:val="bottom"/>
            <w:vMerge w:val="continue"/>
          </w:tcPr>
          <w:p>
            <w:pPr>
              <w:spacing w:after="0"/>
              <w:rPr>
                <w:sz w:val="24"/>
                <w:szCs w:val="24"/>
                <w:color w:val="auto"/>
              </w:rPr>
            </w:pPr>
          </w:p>
        </w:tc>
        <w:tc>
          <w:tcPr>
            <w:tcW w:w="10100" w:type="dxa"/>
            <w:vAlign w:val="bottom"/>
            <w:gridSpan w:val="3"/>
          </w:tcPr>
          <w:p>
            <w:pPr>
              <w:jc w:val="center"/>
              <w:ind w:right="812"/>
              <w:spacing w:after="0"/>
              <w:rPr>
                <w:sz w:val="20"/>
                <w:szCs w:val="20"/>
                <w:color w:val="auto"/>
              </w:rPr>
            </w:pPr>
            <w:r>
              <w:rPr>
                <w:rFonts w:ascii="Arial" w:cs="Arial" w:eastAsia="Arial" w:hAnsi="Arial"/>
                <w:sz w:val="22"/>
                <w:szCs w:val="22"/>
                <w:b w:val="1"/>
                <w:bCs w:val="1"/>
                <w:color w:val="auto"/>
                <w:w w:val="97"/>
              </w:rPr>
              <w:t>REGISTRATION STATEMENT UNDER THE SECURITIES ACT OF 1933</w:t>
            </w:r>
          </w:p>
        </w:tc>
        <w:tc>
          <w:tcPr>
            <w:tcW w:w="0" w:type="dxa"/>
            <w:vAlign w:val="bottom"/>
          </w:tcPr>
          <w:p>
            <w:pPr>
              <w:spacing w:after="0"/>
              <w:rPr>
                <w:sz w:val="1"/>
                <w:szCs w:val="1"/>
                <w:color w:val="auto"/>
              </w:rPr>
            </w:pPr>
          </w:p>
        </w:tc>
      </w:tr>
      <w:tr>
        <w:trPr>
          <w:trHeight w:val="459"/>
        </w:trPr>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10100" w:type="dxa"/>
            <w:vAlign w:val="bottom"/>
            <w:gridSpan w:val="3"/>
          </w:tcPr>
          <w:p>
            <w:pPr>
              <w:jc w:val="center"/>
              <w:ind w:right="812"/>
              <w:spacing w:after="0"/>
              <w:rPr>
                <w:sz w:val="20"/>
                <w:szCs w:val="20"/>
                <w:color w:val="auto"/>
              </w:rPr>
            </w:pPr>
            <w:r>
              <w:rPr>
                <w:rFonts w:ascii="Arial" w:cs="Arial" w:eastAsia="Arial" w:hAnsi="Arial"/>
                <w:sz w:val="22"/>
                <w:szCs w:val="22"/>
                <w:b w:val="1"/>
                <w:bCs w:val="1"/>
                <w:color w:val="auto"/>
              </w:rPr>
              <w:t>PRE-EFFECTIVE AMENDMENT NO.</w:t>
            </w:r>
          </w:p>
        </w:tc>
        <w:tc>
          <w:tcPr>
            <w:tcW w:w="0" w:type="dxa"/>
            <w:vAlign w:val="bottom"/>
          </w:tcPr>
          <w:p>
            <w:pPr>
              <w:spacing w:after="0"/>
              <w:rPr>
                <w:sz w:val="1"/>
                <w:szCs w:val="1"/>
                <w:color w:val="auto"/>
              </w:rPr>
            </w:pPr>
          </w:p>
        </w:tc>
      </w:tr>
      <w:tr>
        <w:trPr>
          <w:trHeight w:val="459"/>
        </w:trPr>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10100" w:type="dxa"/>
            <w:vAlign w:val="bottom"/>
            <w:gridSpan w:val="3"/>
          </w:tcPr>
          <w:p>
            <w:pPr>
              <w:jc w:val="center"/>
              <w:ind w:right="812"/>
              <w:spacing w:after="0"/>
              <w:rPr>
                <w:sz w:val="20"/>
                <w:szCs w:val="20"/>
                <w:color w:val="auto"/>
              </w:rPr>
            </w:pPr>
            <w:r>
              <w:rPr>
                <w:rFonts w:ascii="Arial" w:cs="Arial" w:eastAsia="Arial" w:hAnsi="Arial"/>
                <w:sz w:val="22"/>
                <w:szCs w:val="22"/>
                <w:b w:val="1"/>
                <w:bCs w:val="1"/>
                <w:color w:val="auto"/>
                <w:w w:val="99"/>
              </w:rPr>
              <w:t>POST-EFFECTIVE AMENDMENT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-2169160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-2169160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4"/>
          <w:szCs w:val="24"/>
          <w:color w:val="auto"/>
        </w:rPr>
      </w:pPr>
    </w:p>
    <w:p>
      <w:pPr>
        <w:ind w:left="1740" w:hanging="1138"/>
        <w:spacing w:after="0"/>
        <w:tabs>
          <w:tab w:leader="none" w:pos="17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REGISTRATION STATEMENT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 INVESTMENT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445 Park Avenue, 9</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ind w:left="4680"/>
        <w:spacing w:after="0"/>
        <w:rPr>
          <w:sz w:val="20"/>
          <w:szCs w:val="20"/>
          <w:color w:val="auto"/>
        </w:rPr>
      </w:pPr>
      <w:r>
        <w:rPr>
          <w:rFonts w:ascii="Arial" w:cs="Arial" w:eastAsia="Arial" w:hAnsi="Arial"/>
          <w:sz w:val="18"/>
          <w:szCs w:val="18"/>
          <w:b w:val="1"/>
          <w:bCs w:val="1"/>
          <w:color w:val="auto"/>
        </w:rPr>
        <w:t>New York, New York 10022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(212) 307-3280</w:t>
      </w:r>
    </w:p>
    <w:p>
      <w:pPr>
        <w:spacing w:after="0" w:line="17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jc w:val="center"/>
        <w:spacing w:after="0" w:line="220" w:lineRule="auto"/>
        <w:rPr>
          <w:sz w:val="20"/>
          <w:szCs w:val="20"/>
          <w:color w:val="auto"/>
        </w:rPr>
      </w:pPr>
      <w:r>
        <w:rPr>
          <w:rFonts w:ascii="Arial" w:cs="Arial" w:eastAsia="Arial" w:hAnsi="Arial"/>
          <w:sz w:val="18"/>
          <w:szCs w:val="18"/>
          <w:b w:val="1"/>
          <w:bCs w:val="1"/>
          <w:color w:val="auto"/>
        </w:rPr>
        <w:t>445 Park Avenue, 9</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307-3280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2060" w:type="dxa"/>
        <w:tblCellMar>
          <w:top w:w="0" w:type="dxa"/>
          <w:left w:w="0" w:type="dxa"/>
          <w:bottom w:w="0" w:type="dxa"/>
          <w:right w:w="0" w:type="dxa"/>
        </w:tblCellMar>
      </w:tblPr>
      <w:tr>
        <w:trPr>
          <w:trHeight w:val="222"/>
        </w:trPr>
        <w:tc>
          <w:tcPr>
            <w:tcW w:w="22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Copies of information to:</w:t>
            </w:r>
          </w:p>
        </w:tc>
      </w:tr>
      <w:tr>
        <w:trPr>
          <w:trHeight w:val="406"/>
        </w:trPr>
        <w:tc>
          <w:tcPr>
            <w:tcW w:w="2220" w:type="dxa"/>
            <w:vAlign w:val="bottom"/>
          </w:tcPr>
          <w:p>
            <w:pPr>
              <w:jc w:val="center"/>
              <w:ind w:right="412"/>
              <w:spacing w:after="0"/>
              <w:rPr>
                <w:sz w:val="20"/>
                <w:szCs w:val="20"/>
                <w:color w:val="auto"/>
              </w:rPr>
            </w:pPr>
            <w:r>
              <w:rPr>
                <w:rFonts w:ascii="Arial" w:cs="Arial" w:eastAsia="Arial" w:hAnsi="Arial"/>
                <w:sz w:val="18"/>
                <w:szCs w:val="18"/>
                <w:b w:val="1"/>
                <w:bCs w:val="1"/>
                <w:color w:val="auto"/>
                <w:w w:val="90"/>
              </w:rPr>
              <w:t>Thomas J. Friedmann</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86"/>
              </w:rPr>
              <w:t>Steven B. Boehm</w:t>
            </w:r>
          </w:p>
        </w:tc>
      </w:tr>
      <w:tr>
        <w:trPr>
          <w:trHeight w:val="216"/>
        </w:trPr>
        <w:tc>
          <w:tcPr>
            <w:tcW w:w="222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David J. Harris</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93"/>
              </w:rPr>
              <w:t>Cynthia M. Krus</w:t>
            </w:r>
          </w:p>
        </w:tc>
      </w:tr>
      <w:tr>
        <w:trPr>
          <w:trHeight w:val="216"/>
        </w:trPr>
        <w:tc>
          <w:tcPr>
            <w:tcW w:w="2220" w:type="dxa"/>
            <w:vAlign w:val="bottom"/>
          </w:tcPr>
          <w:p>
            <w:pPr>
              <w:jc w:val="center"/>
              <w:ind w:right="432"/>
              <w:spacing w:after="0"/>
              <w:rPr>
                <w:sz w:val="20"/>
                <w:szCs w:val="20"/>
                <w:color w:val="auto"/>
              </w:rPr>
            </w:pPr>
            <w:r>
              <w:rPr>
                <w:rFonts w:ascii="Arial" w:cs="Arial" w:eastAsia="Arial" w:hAnsi="Arial"/>
                <w:sz w:val="18"/>
                <w:szCs w:val="18"/>
                <w:b w:val="1"/>
                <w:bCs w:val="1"/>
                <w:color w:val="auto"/>
                <w:w w:val="92"/>
              </w:rPr>
              <w:t>Dechert LLP</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91"/>
              </w:rPr>
              <w:t>Sutherland Asbill &amp; Brennan LLP</w:t>
            </w:r>
          </w:p>
        </w:tc>
      </w:tr>
      <w:tr>
        <w:trPr>
          <w:trHeight w:val="216"/>
        </w:trPr>
        <w:tc>
          <w:tcPr>
            <w:tcW w:w="2220" w:type="dxa"/>
            <w:vAlign w:val="bottom"/>
          </w:tcPr>
          <w:p>
            <w:pPr>
              <w:jc w:val="center"/>
              <w:ind w:right="412"/>
              <w:spacing w:after="0"/>
              <w:rPr>
                <w:sz w:val="20"/>
                <w:szCs w:val="20"/>
                <w:color w:val="auto"/>
              </w:rPr>
            </w:pPr>
            <w:r>
              <w:rPr>
                <w:rFonts w:ascii="Arial" w:cs="Arial" w:eastAsia="Arial" w:hAnsi="Arial"/>
                <w:sz w:val="18"/>
                <w:szCs w:val="18"/>
                <w:b w:val="1"/>
                <w:bCs w:val="1"/>
                <w:color w:val="auto"/>
                <w:w w:val="89"/>
              </w:rPr>
              <w:t>1775 I Street, N.W.</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87"/>
              </w:rPr>
              <w:t>1275 Pennsylvania Avenue, N.W.</w:t>
            </w:r>
          </w:p>
        </w:tc>
      </w:tr>
      <w:tr>
        <w:trPr>
          <w:trHeight w:val="216"/>
        </w:trPr>
        <w:tc>
          <w:tcPr>
            <w:tcW w:w="2220" w:type="dxa"/>
            <w:vAlign w:val="bottom"/>
          </w:tcPr>
          <w:p>
            <w:pPr>
              <w:jc w:val="center"/>
              <w:ind w:right="412"/>
              <w:spacing w:after="0"/>
              <w:rPr>
                <w:sz w:val="20"/>
                <w:szCs w:val="20"/>
                <w:color w:val="auto"/>
              </w:rPr>
            </w:pPr>
            <w:r>
              <w:rPr>
                <w:rFonts w:ascii="Arial" w:cs="Arial" w:eastAsia="Arial" w:hAnsi="Arial"/>
                <w:sz w:val="18"/>
                <w:szCs w:val="18"/>
                <w:b w:val="1"/>
                <w:bCs w:val="1"/>
                <w:color w:val="auto"/>
                <w:w w:val="88"/>
              </w:rPr>
              <w:t>Washington, DC 20006</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89"/>
              </w:rPr>
              <w:t>Washington, DC</w:t>
            </w:r>
          </w:p>
        </w:tc>
      </w:tr>
      <w:tr>
        <w:trPr>
          <w:trHeight w:val="228"/>
        </w:trPr>
        <w:tc>
          <w:tcPr>
            <w:tcW w:w="2220" w:type="dxa"/>
            <w:vAlign w:val="bottom"/>
          </w:tcPr>
          <w:p>
            <w:pPr>
              <w:jc w:val="center"/>
              <w:ind w:right="432"/>
              <w:spacing w:after="0"/>
              <w:rPr>
                <w:sz w:val="20"/>
                <w:szCs w:val="20"/>
                <w:color w:val="auto"/>
              </w:rPr>
            </w:pPr>
            <w:r>
              <w:rPr>
                <w:rFonts w:ascii="Arial" w:cs="Arial" w:eastAsia="Arial" w:hAnsi="Arial"/>
                <w:sz w:val="18"/>
                <w:szCs w:val="18"/>
                <w:b w:val="1"/>
                <w:bCs w:val="1"/>
                <w:color w:val="auto"/>
                <w:w w:val="89"/>
              </w:rPr>
              <w:t>(202) 261-3300</w:t>
            </w:r>
          </w:p>
        </w:tc>
        <w:tc>
          <w:tcPr>
            <w:tcW w:w="5760" w:type="dxa"/>
            <w:vAlign w:val="bottom"/>
          </w:tcPr>
          <w:p>
            <w:pPr>
              <w:jc w:val="center"/>
              <w:ind w:left="3072"/>
              <w:spacing w:after="0"/>
              <w:rPr>
                <w:sz w:val="20"/>
                <w:szCs w:val="20"/>
                <w:color w:val="auto"/>
              </w:rPr>
            </w:pPr>
            <w:r>
              <w:rPr>
                <w:rFonts w:ascii="Arial" w:cs="Arial" w:eastAsia="Arial" w:hAnsi="Arial"/>
                <w:sz w:val="18"/>
                <w:szCs w:val="18"/>
                <w:b w:val="1"/>
                <w:bCs w:val="1"/>
                <w:color w:val="auto"/>
                <w:w w:val="87"/>
              </w:rPr>
              <w:t>(202) 383-0100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b w:val="1"/>
          <w:bCs w:val="1"/>
          <w:color w:val="auto"/>
        </w:rPr>
        <w:t>Approximate Date of Proposed Public Offering</w:t>
      </w:r>
      <w:r>
        <w:rPr>
          <w:rFonts w:ascii="Arial" w:cs="Arial" w:eastAsia="Arial" w:hAnsi="Arial"/>
          <w:sz w:val="18"/>
          <w:szCs w:val="18"/>
          <w:color w:val="auto"/>
        </w:rPr>
        <w:t>: As soon as practicable after the effective date of this Registration Statement. If any securities being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00" w:type="dxa"/>
            <w:vAlign w:val="bottom"/>
          </w:tcPr>
          <w:p>
            <w:pPr>
              <w:jc w:val="center"/>
              <w:ind w:left="1307"/>
              <w:spacing w:after="0"/>
              <w:rPr>
                <w:sz w:val="20"/>
                <w:szCs w:val="20"/>
                <w:color w:val="auto"/>
              </w:rPr>
            </w:pPr>
            <w:r>
              <w:rPr>
                <w:rFonts w:ascii="Arial" w:cs="Arial" w:eastAsia="Arial" w:hAnsi="Arial"/>
                <w:sz w:val="14"/>
                <w:szCs w:val="14"/>
                <w:b w:val="1"/>
                <w:bCs w:val="1"/>
                <w:color w:val="auto"/>
                <w:w w:val="88"/>
              </w:rPr>
              <w:t>Proposed Maximum</w:t>
            </w:r>
          </w:p>
        </w:tc>
        <w:tc>
          <w:tcPr>
            <w:tcW w:w="1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0" w:type="dxa"/>
            <w:vAlign w:val="bottom"/>
          </w:tcPr>
          <w:p>
            <w:pPr>
              <w:jc w:val="center"/>
              <w:ind w:left="1327"/>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680" w:type="dxa"/>
            <w:vAlign w:val="bottom"/>
          </w:tcPr>
          <w:p>
            <w:pPr>
              <w:jc w:val="center"/>
              <w:ind w:left="226"/>
              <w:spacing w:after="0" w:line="149" w:lineRule="exact"/>
              <w:rPr>
                <w:sz w:val="20"/>
                <w:szCs w:val="20"/>
                <w:color w:val="auto"/>
              </w:rPr>
            </w:pPr>
            <w:r>
              <w:rPr>
                <w:rFonts w:ascii="Arial" w:cs="Arial" w:eastAsia="Arial" w:hAnsi="Arial"/>
                <w:sz w:val="14"/>
                <w:szCs w:val="14"/>
                <w:b w:val="1"/>
                <w:bCs w:val="1"/>
                <w:color w:val="auto"/>
                <w:w w:val="88"/>
              </w:rPr>
              <w:t>Amount of Registration</w:t>
            </w:r>
          </w:p>
        </w:tc>
      </w:tr>
      <w:tr>
        <w:trPr>
          <w:trHeight w:val="175"/>
        </w:trPr>
        <w:tc>
          <w:tcPr>
            <w:tcW w:w="20" w:type="dxa"/>
            <w:vAlign w:val="bottom"/>
          </w:tcPr>
          <w:p>
            <w:pPr>
              <w:spacing w:after="0"/>
              <w:rPr>
                <w:sz w:val="15"/>
                <w:szCs w:val="15"/>
                <w:color w:val="auto"/>
              </w:rPr>
            </w:pPr>
          </w:p>
        </w:tc>
        <w:tc>
          <w:tcPr>
            <w:tcW w:w="652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Title of Securities Being Registered</w:t>
            </w:r>
          </w:p>
        </w:tc>
        <w:tc>
          <w:tcPr>
            <w:tcW w:w="3200" w:type="dxa"/>
            <w:vAlign w:val="bottom"/>
            <w:tcBorders>
              <w:bottom w:val="single" w:sz="8" w:color="auto"/>
            </w:tcBorders>
          </w:tcPr>
          <w:p>
            <w:pPr>
              <w:jc w:val="center"/>
              <w:ind w:left="1307"/>
              <w:spacing w:after="0"/>
              <w:rPr>
                <w:sz w:val="20"/>
                <w:szCs w:val="20"/>
                <w:color w:val="auto"/>
              </w:rPr>
            </w:pPr>
            <w:r>
              <w:rPr>
                <w:rFonts w:ascii="Arial" w:cs="Arial" w:eastAsia="Arial" w:hAnsi="Arial"/>
                <w:sz w:val="14"/>
                <w:szCs w:val="14"/>
                <w:b w:val="1"/>
                <w:bCs w:val="1"/>
                <w:color w:val="auto"/>
                <w:w w:val="90"/>
              </w:rPr>
              <w:t>Price (1)</w:t>
            </w:r>
          </w:p>
        </w:tc>
        <w:tc>
          <w:tcPr>
            <w:tcW w:w="168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b w:val="1"/>
                <w:bCs w:val="1"/>
                <w:color w:val="auto"/>
                <w:w w:val="84"/>
              </w:rPr>
              <w:t>Fee (2)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Common Stock, $0.001 par value per share</w:t>
            </w:r>
          </w:p>
        </w:tc>
        <w:tc>
          <w:tcPr>
            <w:tcW w:w="3200" w:type="dxa"/>
            <w:vAlign w:val="bottom"/>
          </w:tcPr>
          <w:p>
            <w:pPr>
              <w:jc w:val="center"/>
              <w:ind w:left="1327"/>
              <w:spacing w:after="0"/>
              <w:rPr>
                <w:sz w:val="20"/>
                <w:szCs w:val="20"/>
                <w:color w:val="auto"/>
              </w:rPr>
            </w:pPr>
            <w:r>
              <w:rPr>
                <w:rFonts w:ascii="Arial" w:cs="Arial" w:eastAsia="Arial" w:hAnsi="Arial"/>
                <w:sz w:val="18"/>
                <w:szCs w:val="18"/>
                <w:color w:val="auto"/>
                <w:w w:val="87"/>
              </w:rPr>
              <w:t>$460,000,000</w:t>
            </w:r>
          </w:p>
        </w:tc>
        <w:tc>
          <w:tcPr>
            <w:tcW w:w="1680" w:type="dxa"/>
            <w:vAlign w:val="bottom"/>
          </w:tcPr>
          <w:p>
            <w:pPr>
              <w:jc w:val="center"/>
              <w:ind w:left="226"/>
              <w:spacing w:after="0"/>
              <w:rPr>
                <w:sz w:val="20"/>
                <w:szCs w:val="20"/>
                <w:color w:val="auto"/>
              </w:rPr>
            </w:pPr>
            <w:r>
              <w:rPr>
                <w:rFonts w:ascii="Arial" w:cs="Arial" w:eastAsia="Arial" w:hAnsi="Arial"/>
                <w:sz w:val="18"/>
                <w:szCs w:val="18"/>
                <w:color w:val="auto"/>
                <w:w w:val="89"/>
              </w:rPr>
              <w:t>$49,220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pursuant to Rule 457(o) solely for the purpose of determining the registration fee.</w:t>
      </w:r>
    </w:p>
    <w:p>
      <w:pPr>
        <w:spacing w:after="0" w:line="159"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38" w:orient="portrait"/>
          <w:cols w:equalWidth="0" w:num="1">
            <w:col w:w="11420"/>
          </w:cols>
          <w:pgMar w:left="240" w:top="230" w:right="239" w:bottom="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SECURITIES ACT OF 1933, AS AMENDED, OR UNTIL THIS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state where the offer or sale is not permitted.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PRELIMINARY PROSPECTUS</w:t>
            </w:r>
          </w:p>
        </w:tc>
        <w:tc>
          <w:tcPr>
            <w:tcW w:w="470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311150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-10795</wp:posOffset>
            </wp:positionV>
            <wp:extent cx="462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PENNANT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Pennant Investment Corporation is a newly organized, externally managed, closed-end, non-diversified management investment company that intends to file an election to be treated as a business development company under the Investment Company Act of 1940. Our investment objective is to generate both current income and capital appreciation through debt and equity investments. We intend to invest primarily in middle-market companies in the form of mezzanine loans, senior secured loans and equity securities.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will be managed by Pennant Investment Advisers, LLC. Pennant Investment Administration, LLC will provide the administrative services necessary for us to operate.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Because we are newly organized, our shares have no history of public trading. We currently expect that the initial offering price per share of our common stock</w:t>
      </w:r>
    </w:p>
    <w:p>
      <w:pPr>
        <w:spacing w:after="0" w:line="38" w:lineRule="exact"/>
        <w:rPr>
          <w:sz w:val="20"/>
          <w:szCs w:val="20"/>
          <w:color w:val="auto"/>
        </w:rPr>
      </w:pPr>
    </w:p>
    <w:p>
      <w:pPr>
        <w:spacing w:after="0"/>
        <w:tabs>
          <w:tab w:leader="none" w:pos="1800" w:val="left"/>
          <w:tab w:leader="none" w:pos="272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 We intend to apply to have our common stock approved for quotation on The Nasdaq Global Market under the symbol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6" w:lineRule="exact"/>
        <w:rPr>
          <w:sz w:val="20"/>
          <w:szCs w:val="20"/>
          <w:color w:val="auto"/>
        </w:rPr>
      </w:pPr>
    </w:p>
    <w:p>
      <w:pPr>
        <w:jc w:val="both"/>
        <w:ind w:right="1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a high degree of risk. Before buying any shares, you should read the discussion of the material risks of investing in our common stock, including the risk of leverage, in “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the prospectus.</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This prospectus contains important information you should know before investing in our common stock. Please read it before you invest and keep it for future reference. Upon completion of this offering, we will file annual, quarterly and current reports, proxy statements and other information about us with the Securities and Exchange Commission, or SEC. This information will be available free of charge by contacting us at 445 Park Avenue,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 by telephone at (212) 307-3280. The SEC also maintains a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that contains such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Shares of closed-end investment companies frequently tend to trade at a discount to their net asset value. If our shares trade at a discount to our net asset value, it</w:t>
      </w:r>
    </w:p>
    <w:p>
      <w:pPr>
        <w:spacing w:after="0" w:line="50"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may increase the risk of loss for purchasers in this offering. Assuming an initial public offering price of $ per share (the midpoint of the initial public offering range), purchasers in this offering will experience immediate dilution of approximately $ per share. See “Dilution” for more information.</w:t>
      </w:r>
    </w:p>
    <w:p>
      <w:pPr>
        <w:spacing w:after="0" w:line="9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Per share</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2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Public offering price</w:t>
            </w:r>
          </w:p>
        </w:tc>
        <w:tc>
          <w:tcPr>
            <w:tcW w:w="3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0"/>
        </w:trPr>
        <w:tc>
          <w:tcPr>
            <w:tcW w:w="6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Sales load (underwriting discounts and commissions)</w:t>
            </w:r>
          </w:p>
        </w:tc>
        <w:tc>
          <w:tcPr>
            <w:tcW w:w="3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Proceeds, before expenses, to us (1)</w:t>
            </w:r>
          </w:p>
        </w:tc>
        <w:tc>
          <w:tcPr>
            <w:tcW w:w="3960" w:type="dxa"/>
            <w:vAlign w:val="bottom"/>
          </w:tcPr>
          <w:p>
            <w:pPr>
              <w:ind w:left="260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125"/>
        </w:trPr>
        <w:tc>
          <w:tcPr>
            <w:tcW w:w="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-104140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w:t>
        <w:tab/>
        <w:t>We estimate that we will incur approximately $</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 expenses in connection with this offering.</w:t>
      </w:r>
    </w:p>
    <w:p>
      <w:pPr>
        <w:spacing w:after="0" w:line="194" w:lineRule="exact"/>
        <w:rPr>
          <w:sz w:val="20"/>
          <w:szCs w:val="20"/>
          <w:color w:val="auto"/>
        </w:rPr>
      </w:pPr>
    </w:p>
    <w:p>
      <w:pPr>
        <w:sectPr>
          <w:pgSz w:w="11900" w:h="16838" w:orient="portrait"/>
          <w:cols w:equalWidth="0" w:num="2">
            <w:col w:w="3780" w:space="580"/>
            <w:col w:w="7060"/>
          </w:cols>
          <w:pgMar w:left="240" w:top="459" w:right="239" w:bottom="1440" w:gutter="0" w:footer="0" w:header="0"/>
          <w:type w:val="continuous"/>
        </w:sectPr>
      </w:pPr>
    </w:p>
    <w:p>
      <w:pPr>
        <w:ind w:right="60"/>
        <w:spacing w:after="0" w:line="256" w:lineRule="auto"/>
        <w:rPr>
          <w:sz w:val="20"/>
          <w:szCs w:val="20"/>
          <w:color w:val="auto"/>
        </w:rPr>
      </w:pPr>
      <w:r>
        <w:rPr>
          <w:rFonts w:ascii="Arial" w:cs="Arial" w:eastAsia="Arial" w:hAnsi="Arial"/>
          <w:sz w:val="18"/>
          <w:szCs w:val="18"/>
          <w:color w:val="auto"/>
        </w:rPr>
        <w:t>The underwriters will reserve up to shares for sale, directly or indirectly, to our directors and officers. In addition, the underwriters may purchase up to an additional shares of our common stock at the public offering price, less the sales load payable by us, to cover over-allotments, if any, within 30 days from the date of this prospectus. If the underwriters exercise this option in full, the total sales load will be $ , and total proceeds, before expenses, will be $ .</w:t>
      </w:r>
    </w:p>
    <w:p>
      <w:pPr>
        <w:sectPr>
          <w:pgSz w:w="11900" w:h="16838" w:orient="portrait"/>
          <w:cols w:equalWidth="0" w:num="1">
            <w:col w:w="11420"/>
          </w:cols>
          <w:pgMar w:left="240" w:top="459"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are offering the common stock as set forth in “Underwriting.” Delivery of the shares will be made on or about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2007.</w:t>
      </w:r>
    </w:p>
    <w:p>
      <w:pPr>
        <w:spacing w:after="0" w:line="211" w:lineRule="exact"/>
        <w:rPr>
          <w:sz w:val="20"/>
          <w:szCs w:val="20"/>
          <w:color w:val="auto"/>
        </w:rPr>
      </w:pPr>
    </w:p>
    <w:p>
      <w:pPr>
        <w:sectPr>
          <w:pgSz w:w="11900" w:h="16838" w:orient="portrait"/>
          <w:cols w:equalWidth="0" w:num="2">
            <w:col w:w="9180" w:space="720"/>
            <w:col w:w="1520"/>
          </w:cols>
          <w:pgMar w:left="240" w:top="45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Bear, Stearns &amp; Co. Inc.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Banc of America Securities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SunTrust Robinson Humphrey</w:t>
      </w:r>
    </w:p>
    <w:p>
      <w:pPr>
        <w:spacing w:after="0" w:line="124" w:lineRule="exact"/>
        <w:rPr>
          <w:sz w:val="20"/>
          <w:szCs w:val="20"/>
          <w:color w:val="auto"/>
        </w:rPr>
      </w:pPr>
    </w:p>
    <w:p>
      <w:pPr>
        <w:sectPr>
          <w:pgSz w:w="11900" w:h="16838" w:orient="portrait"/>
          <w:cols w:equalWidth="0" w:num="4">
            <w:col w:w="2260" w:space="720"/>
            <w:col w:w="2620" w:space="720"/>
            <w:col w:w="1860" w:space="720"/>
            <w:col w:w="2520"/>
          </w:cols>
          <w:pgMar w:left="240" w:top="459" w:right="239" w:bottom="1440" w:gutter="0" w:footer="0" w:header="0"/>
          <w:type w:val="continuous"/>
        </w:sectPr>
      </w:pPr>
    </w:p>
    <w:p>
      <w:pPr>
        <w:ind w:left="1960"/>
        <w:spacing w:after="0"/>
        <w:rPr>
          <w:sz w:val="20"/>
          <w:szCs w:val="20"/>
          <w:color w:val="auto"/>
        </w:rPr>
      </w:pPr>
      <w:r>
        <w:rPr>
          <w:rFonts w:ascii="Arial" w:cs="Arial" w:eastAsia="Arial" w:hAnsi="Arial"/>
          <w:sz w:val="16"/>
          <w:szCs w:val="16"/>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Friedman Billings Ramsey</w:t>
      </w:r>
    </w:p>
    <w:p>
      <w:pPr>
        <w:sectPr>
          <w:pgSz w:w="11900" w:h="16838" w:orient="portrait"/>
          <w:cols w:equalWidth="0" w:num="2">
            <w:col w:w="7020" w:space="720"/>
            <w:col w:w="36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anyone to provide you with additional information, or information different from that contained in this prospectus. If anyone provides you with different or additional information, you should not rely on it.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shares of our common stock.</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Through and including , 2007 (25 days after the date of this prospectus), federal securities laws may require all dealers that effect transactions in our common stock, whether or not participating in this offering, to deliver a prospectus. This is in addition to the dealers’ obligation to deliver a prospectus when acting as underwriters and with respect to their unsold allotments or subscriptions.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412"/>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84"/>
        </w:trPr>
        <w:tc>
          <w:tcPr>
            <w:tcW w:w="1500" w:type="dxa"/>
            <w:vAlign w:val="bottom"/>
            <w:tcBorders>
              <w:bottom w:val="single" w:sz="8" w:color="0000EE"/>
            </w:tcBorders>
            <w:gridSpan w:val="11"/>
          </w:tcPr>
          <w:p>
            <w:pPr>
              <w:spacing w:after="0" w:line="184"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3180" w:type="dxa"/>
            <w:vAlign w:val="bottom"/>
            <w:gridSpan w:val="12"/>
          </w:tcPr>
          <w:p>
            <w:pPr>
              <w:spacing w:after="0"/>
              <w:rPr>
                <w:sz w:val="15"/>
                <w:szCs w:val="15"/>
                <w:color w:val="auto"/>
              </w:rPr>
            </w:pPr>
          </w:p>
        </w:tc>
        <w:tc>
          <w:tcPr>
            <w:tcW w:w="67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10"/>
          </w:tcPr>
          <w:p>
            <w:pPr>
              <w:spacing w:after="0" w:line="196" w:lineRule="exact"/>
              <w:rPr>
                <w:rFonts w:ascii="Arial" w:cs="Arial" w:eastAsia="Arial" w:hAnsi="Arial"/>
                <w:sz w:val="18"/>
                <w:szCs w:val="18"/>
                <w:color w:val="0000EE"/>
                <w:w w:val="82"/>
              </w:rPr>
            </w:pPr>
            <w:hyperlink w:anchor="page13">
              <w:r>
                <w:rPr>
                  <w:rFonts w:ascii="Arial" w:cs="Arial" w:eastAsia="Arial" w:hAnsi="Arial"/>
                  <w:sz w:val="18"/>
                  <w:szCs w:val="18"/>
                  <w:color w:val="0000EE"/>
                  <w:w w:val="82"/>
                </w:rPr>
                <w:t>Fees and Expenses</w:t>
              </w:r>
            </w:hyperlink>
          </w:p>
        </w:tc>
        <w:tc>
          <w:tcPr>
            <w:tcW w:w="3340" w:type="dxa"/>
            <w:vAlign w:val="bottom"/>
            <w:gridSpan w:val="13"/>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3780" w:type="dxa"/>
            <w:vAlign w:val="bottom"/>
            <w:gridSpan w:val="19"/>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Forward-looking Statements</w:t>
              </w:r>
            </w:hyperlink>
          </w:p>
        </w:tc>
        <w:tc>
          <w:tcPr>
            <w:tcW w:w="2660" w:type="dxa"/>
            <w:vAlign w:val="bottom"/>
            <w:gridSpan w:val="10"/>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8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Discussion of Expected Operating Plans</w:t>
              </w:r>
            </w:hyperlink>
          </w:p>
        </w:tc>
        <w:tc>
          <w:tcPr>
            <w:tcW w:w="1840" w:type="dxa"/>
            <w:vAlign w:val="bottom"/>
            <w:gridSpan w:val="6"/>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Distributions</w:t>
              </w:r>
            </w:hyperlink>
          </w:p>
        </w:tc>
        <w:tc>
          <w:tcPr>
            <w:tcW w:w="3540" w:type="dxa"/>
            <w:vAlign w:val="bottom"/>
            <w:gridSpan w:val="14"/>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Capitalization</w:t>
              </w:r>
            </w:hyperlink>
          </w:p>
        </w:tc>
        <w:tc>
          <w:tcPr>
            <w:tcW w:w="3680" w:type="dxa"/>
            <w:vAlign w:val="bottom"/>
            <w:gridSpan w:val="15"/>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Dilution</w:t>
              </w:r>
            </w:hyperlink>
          </w:p>
        </w:tc>
        <w:tc>
          <w:tcPr>
            <w:tcW w:w="4080" w:type="dxa"/>
            <w:vAlign w:val="bottom"/>
            <w:gridSpan w:val="22"/>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Business</w:t>
              </w:r>
            </w:hyperlink>
          </w:p>
        </w:tc>
        <w:tc>
          <w:tcPr>
            <w:tcW w:w="4040" w:type="dxa"/>
            <w:vAlign w:val="bottom"/>
            <w:gridSpan w:val="21"/>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Management</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Control Persons and Principal Stockholders</w:t>
              </w:r>
            </w:hyperlink>
          </w:p>
        </w:tc>
        <w:tc>
          <w:tcPr>
            <w:tcW w:w="1600" w:type="dxa"/>
            <w:vAlign w:val="bottom"/>
            <w:gridSpan w:val="3"/>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Determination of Net Asset Value</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Dividend Reinvestment Plan</w:t>
              </w:r>
            </w:hyperlink>
          </w:p>
        </w:tc>
        <w:tc>
          <w:tcPr>
            <w:tcW w:w="2300" w:type="dxa"/>
            <w:vAlign w:val="bottom"/>
            <w:gridSpan w:val="7"/>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U.S. Federal Income Tax Considerations</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Capital Stock</w:t>
              </w:r>
            </w:hyperlink>
          </w:p>
        </w:tc>
        <w:tc>
          <w:tcPr>
            <w:tcW w:w="1180" w:type="dxa"/>
            <w:vAlign w:val="bottom"/>
            <w:gridSpan w:val="2"/>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Regulation</w:t>
              </w:r>
            </w:hyperlink>
          </w:p>
        </w:tc>
        <w:tc>
          <w:tcPr>
            <w:tcW w:w="1540" w:type="dxa"/>
            <w:vAlign w:val="bottom"/>
            <w:tcBorders>
              <w:top w:val="single" w:sz="8" w:color="0000EE"/>
            </w:tcBorders>
            <w:gridSpan w:val="12"/>
          </w:tcPr>
          <w:p>
            <w:pPr>
              <w:spacing w:after="0"/>
              <w:rPr>
                <w:sz w:val="17"/>
                <w:szCs w:val="17"/>
                <w:color w:val="auto"/>
              </w:rPr>
            </w:pPr>
          </w:p>
        </w:tc>
        <w:tc>
          <w:tcPr>
            <w:tcW w:w="2360" w:type="dxa"/>
            <w:vAlign w:val="bottom"/>
            <w:gridSpan w:val="8"/>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Shares Eligible for Future Sale</w:t>
              </w:r>
            </w:hyperlink>
          </w:p>
        </w:tc>
        <w:tc>
          <w:tcPr>
            <w:tcW w:w="2500" w:type="dxa"/>
            <w:vAlign w:val="bottom"/>
            <w:gridSpan w:val="9"/>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5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Custodian, Transfer and Distribution Paying Agent and Registrar</w:t>
              </w:r>
            </w:hyperlink>
          </w:p>
        </w:tc>
        <w:tc>
          <w:tcPr>
            <w:tcW w:w="100" w:type="dxa"/>
            <w:vAlign w:val="bottom"/>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Brokerage Allocation and Other Practices</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9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Underwriting</w:t>
            </w:r>
          </w:p>
        </w:tc>
        <w:tc>
          <w:tcPr>
            <w:tcW w:w="1980" w:type="dxa"/>
            <w:vAlign w:val="bottom"/>
            <w:tcBorders>
              <w:top w:val="single" w:sz="8" w:color="0000EE"/>
            </w:tcBorders>
            <w:gridSpan w:val="13"/>
          </w:tcPr>
          <w:p>
            <w:pPr>
              <w:spacing w:after="0"/>
              <w:rPr>
                <w:sz w:val="17"/>
                <w:szCs w:val="17"/>
                <w:color w:val="auto"/>
              </w:rPr>
            </w:pPr>
          </w:p>
        </w:tc>
        <w:tc>
          <w:tcPr>
            <w:tcW w:w="1740" w:type="dxa"/>
            <w:vAlign w:val="bottom"/>
            <w:gridSpan w:val="4"/>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980" w:type="dxa"/>
            <w:vAlign w:val="bottom"/>
            <w:gridSpan w:val="7"/>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Independent Registered Accounting Firm</w:t>
              </w:r>
            </w:hyperlink>
          </w:p>
        </w:tc>
        <w:tc>
          <w:tcPr>
            <w:tcW w:w="1760" w:type="dxa"/>
            <w:vAlign w:val="bottom"/>
            <w:gridSpan w:val="5"/>
          </w:tcPr>
          <w:p>
            <w:pPr>
              <w:spacing w:after="0"/>
              <w:rPr>
                <w:sz w:val="17"/>
                <w:szCs w:val="17"/>
                <w:color w:val="auto"/>
              </w:rPr>
            </w:pPr>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468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Available Information</w:t>
              </w:r>
            </w:hyperlink>
          </w:p>
        </w:tc>
        <w:tc>
          <w:tcPr>
            <w:tcW w:w="67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Except where the context suggests otherwise, the terms “we,” “us,” “our” and “Pennant” refer to Pennant Investment Corporation; “Pennant Investment Advisers” or “investment adviser” refers to Pennant Investment Advisers, LLC, and “Pennant Administration” or the “administrator” refers to Pennant Investment Administration, LLC.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Investment Corporation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Pennant Investment Corporation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 Pennant’s investment objective is to generate both current income and capital appreciation through debt and equity investments. From time to time, we may also invest in public companies that are thinly traded.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our portfolio will be primarily comprised of investments in subordinated loans, referred to as mezzanine loans, and senior secured loans made to private U.S. middle-market companies. We will also invest in equity securities, such as preferred stock, common stock, warrants or options received in connection with our debt investments or through direct investments. We expect that these investments will range between $15 million and $50 million each, although this investment size will vary proportionately with the size of our capital base. In this prospectus, we use the term “middle-market” to refer to companies with annual revenues between $50 million and $1 billion.</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Pennant SPV Company, LLC, a special purpose vehicle that is a wholly owned subsidiary of Pennant or the Borrower, entered into a credit facility, or the Credit Facility, and other related documentation with Bear Stearns &amp; Co. Inc., or Bear Stearns, for the purpose of acquiring interests in senior secured loans and other debt obligations that will comprise our initial investment portfolio upon consummation of this offering. The Credit Facility provides for available borrowings of up to an aggregate principal amount of $200 million, subject to specified borrowing conditions. We intend to use a portion of the net proceeds of this offering to repay the outstanding principal of, and accrued and unpaid interest on, the Credit Facility as well as to pay the reasonable transaction costs incurred by us and Bear Stearns in establishing the Credit Facility. As a result of our anticipated investments under the Credit Facility and immediately upon consummation of this offering, we expect that our portfolio will initially consist primarily of senior secured loans. Over time, however, we expect that our portfolio will include a combination of senior and mezzanine loans and senior secured loans and, to a lesser extent, equity securities. See “Discussion of Expected Operating Plans-Credit Facility” and “Business - Investments.”</w:t>
      </w:r>
    </w:p>
    <w:p>
      <w:pPr>
        <w:spacing w:after="0" w:line="12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While our primary focus will be to generate current income through investments in debt securities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 Investment Advisers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 Investment Corporation and the founder of our investment adviser, Pennant Investment Advisers, LLC.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also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 Stockholders who invested in Apollo Investment’s initial public offering and reinvested all dividends realized a total return in excess of 76 percent for the period from April 2004 through November 30, 2006. However, there can be no assurance that we will be able to achieve similar investment returns. Mr. Penn has committed to invest directly and</w:t>
      </w:r>
    </w:p>
    <w:p>
      <w:pPr>
        <w:spacing w:after="0" w:line="1"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indirectly, through a family trust, approximately $</w:t>
      </w:r>
      <w:r>
        <w:rPr>
          <w:sz w:val="20"/>
          <w:szCs w:val="20"/>
          <w:color w:val="auto"/>
        </w:rPr>
        <w:tab/>
      </w:r>
      <w:r>
        <w:rPr>
          <w:rFonts w:ascii="Arial" w:cs="Arial" w:eastAsia="Arial" w:hAnsi="Arial"/>
          <w:sz w:val="16"/>
          <w:szCs w:val="16"/>
          <w:color w:val="auto"/>
        </w:rPr>
        <w:t>million in shares of Pennant as part of this offering.</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62"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We and our investment adviser expect to hire additional investment professionals to assist with our ongoing management and in investing the proceeds of this offering. Specifically, we intend to hire a chief financial officer and chief compliance officer promptly after completion of this offering. In addition, our investment adviser intends to retain a total of seven to ten investment professionals within the first 12 months after completion of this offering. We and our investment adviser intend to hire investment professionals with skills applicable to the business plan of Pennant, including executives with middle market investing, leveraged and mezzanine finance and capital markets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Pennant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w:t>
      </w:r>
    </w:p>
    <w:p>
      <w:pPr>
        <w:spacing w:after="0" w:line="1" w:lineRule="exact"/>
        <w:rPr>
          <w:sz w:val="20"/>
          <w:szCs w:val="20"/>
          <w:color w:val="auto"/>
        </w:rPr>
      </w:pPr>
    </w:p>
    <w:p>
      <w:pPr>
        <w:ind w:left="440" w:right="20" w:hanging="324"/>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As evidence of this trend, the average deal size in the high-yield market has grown from approximately $164 million in 1997 to approximately $450 million in the first nine months of 2006. In the first nine months of 2006, approximately 2% of all high-yield issues raised less than $100 million. We believe these trends have made it harder for middle-market companies to raise funds by issuing high-yield debt securities.</w:t>
      </w:r>
    </w:p>
    <w:p>
      <w:pPr>
        <w:spacing w:after="0" w:line="58" w:lineRule="exact"/>
        <w:rPr>
          <w:rFonts w:ascii="Arial" w:cs="Arial" w:eastAsia="Arial" w:hAnsi="Arial"/>
          <w:sz w:val="18"/>
          <w:szCs w:val="18"/>
          <w:color w:val="auto"/>
        </w:rPr>
      </w:pPr>
    </w:p>
    <w:p>
      <w:pPr>
        <w:ind w:left="440" w:hanging="324"/>
        <w:spacing w:after="0" w:line="29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 expect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 In 2005 and the first nine months of 2006, private equity funds raised $150 billion and $130 billion, respectively. Of this amount, we believe that approximately $39 billion and $23 billion have been raised to finance leveraged buyout funds targeting U.S. middle market companies in 2005 and the first nine months of 2006, respectively.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340" w:hanging="324"/>
        <w:spacing w:after="0" w:line="293"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 “public-to-private” transactions as well as the number of companies selecting a “sale” alternative versus raising capital in the public equity markets as a means of increasing liquidity will remain large. The volume of “public to private” transactions in the United States increased from $13.6 billion in the first nine months of 2004 to $53.6 billion in the first nine months of 2006. Additionally, the cost and effort associated with being a public company in the United States have become more onerous, causing many management teams to consider alternative liquidity strategies. We believe these trends will reinforce demand for debt-related financing and mezzanine investment opportunities for middle-market companies.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Penn will have principal management responsibility for Pennant Investment Advisers as its managing partner. Mr. Penn has more than 20 years of experience in mezzanine lending, leveraged finance, private equity and distressed debt investing. Through his tenure at Apollo Investment Management, he also has direct experience in successfully capitalizing, staffing and managing a publicly traded business development company. Mr. Penn intends to dedicate the vast majority of his time to managing Pennant and Pennant Investment Advisor. In addition, Pennant Investment Advisers intends to hire additional investment professionals who, we expect, will possess a broad range of transactional, financial, managerial and investment skills.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Through his investment experience, we believe Mr. Penn has developed a strong reputation in the capital markets. We believe that this experience, together with his expertise in raising capital, investing in debt and equity securities and managing investments in companies, will afford Pennant a competitive advantage in identifying and investing in middle-market companies. Mr. Penn has committed to invest directly and indirectly, through a family trust, approximately $ million in shares of Pennant as part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 When market conditions make it difficult for us to invest according to our criteria, we intend to be highly selective in deploying our capital. We do not intend to pursue short-term origination targets. We believe this approach will enable us to build an attractive investment portfolio that meets our return and value criteria over the long term.</w:t>
      </w:r>
    </w:p>
    <w:p>
      <w:pPr>
        <w:spacing w:after="0" w:line="1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intend to conduct a rigorous due diligence process that draws from our investment adviser’s investment experience, industry expertise and network of contacts. Among other things, our due diligence is designed to ensure that a prospective portfolio company will be able to meet its debt service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 In making investment decisions we will seek to pursue and invest in companies that meet several of the following criteria:</w:t>
      </w:r>
    </w:p>
    <w:p>
      <w:pPr>
        <w:spacing w:after="0" w:line="51"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value orientation and positive free cash flow;</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financial sponsors that have a history of creating value with portfolio companies;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and competitive industry position;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viable exit strategy and reliable liquidation value of assets.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Assuming a potential investment meets most or all of our investment criteria, we intend to be flexible in adopting transaction structures that address the needs of prospective portfolio companies and their owners. Our investment philosophy is focused on internal rates of return over the life of an investment. Given our investment criteria and due diligence process, we expect to structure our investments so they correlate closely with the success of our portfolio companies.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his role as Chief Operating Officer and President of Apollo Investment Corporation, Mr. Penn oversaw investments in 73 companies operating in partnership with 54 different financial sponsors across 29 industries. As a result of his 20 years experience in the investment business, Mr. Penn has long-term relationships with management consultants and management teams that we believe will enable us effectively to evaluate investment opportunities in numerous industries, as well as substantial information concerning those industries. We believe the expertise of our investment advisers’ management team will enable Pennant Investment Advisers to identify, assess and structure investments successfully across all levels of a company’s capital structure and to manage potential risk and return at all stages of the economic cycle.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to identify potential investments both through active origination and through dialogue with numerous management teams, members of the financial community and corporate partners with whom Mr. Penn has long-term relationships. We believe that Mr. Penn’s broad network of contacts within the investment, commercial banking, private equity and investment management communities and his strong reputation in investment management will enable us to attract well-positioned prospective portfolio companies. Additionally, we expect to generate information from our investment advisers’ network of accountants, consultants, lawyers and management teams of portfolio companies and other companies. We also expect that we will have access to additional contacts and relationships as a result of the additional investment professionals our investment adviser intends to retain.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that the in-depth coverage and experience of Mr. Penn, as well as that of the additional investment professionals we intend to retain, will enable us to invest throughout various stages of the economic cycle and will provide our investment adviser with access to ongoing market insights in addition to a significant investment sourcing engine. See “Business—Investments.” While we will be subject to compliance with the 1940 Act, we will not be subject to many of the regulatory limitations that govern traditional lending institutions such as banks. As a result, we expect to be flexible in selecting and structuring investments, adjusting investment criteria, transaction structures and, in some cases, the types of securities in which we invest. We believe that this approach should enable Pennant Investment Advisers to identify attractive investment opportunities throughout the economic cycle so that we can make investments consistent with our stated objective, even during turbulent periods in the capital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These provisions often force private equity and venture capital funds to seek returns on their investments through mergers, public equity offerings or other liquidity events more quickly than they otherwise might, potentially resulting in both a lower overall return to investors and an adverse impact on their portfolio companies. We believe that our flexibility to make investments with a long-term view and without the capital return requirements of traditional private investment vehicles will provide us with the opportunity to generate returns on invested capital and enable us to be a better long-term partner for our portfolio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INVESTMENT</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Borrower has entered into the Credit Facility with Bear Stearns for the purpose of acquiring interests in senior secured loans and other debt obligations that will comprise our initial investment portfolio upon consummation of this offering. We intend to use a portion of the net proceeds of this offering to repay the outstanding principal of, and accrued and unpaid interest on, the Credit Facility as well as to pay reasonable transaction costs incurred by us and Bear Stearns in establishing the Credit Facility. We expect that, at the closing of this offering, our portfolio investments will consist primarily of senior secured loans made to private U.S. middle-market companies. In addition, we expect each of these loans to have the following characteristics:</w:t>
      </w:r>
    </w:p>
    <w:p>
      <w:pPr>
        <w:spacing w:after="0" w:line="35" w:lineRule="exact"/>
        <w:rPr>
          <w:sz w:val="20"/>
          <w:szCs w:val="20"/>
          <w:color w:val="auto"/>
        </w:rPr>
      </w:pPr>
    </w:p>
    <w:p>
      <w:pPr>
        <w:ind w:left="5680" w:right="5600" w:hanging="5564"/>
        <w:spacing w:after="0" w:line="408" w:lineRule="auto"/>
        <w:tabs>
          <w:tab w:leader="none" w:pos="450" w:val="left"/>
        </w:tabs>
        <w:numPr>
          <w:ilvl w:val="0"/>
          <w:numId w:val="8"/>
        </w:numPr>
        <w:rPr>
          <w:rFonts w:ascii="Arial" w:cs="Arial" w:eastAsia="Arial" w:hAnsi="Arial"/>
          <w:sz w:val="15"/>
          <w:szCs w:val="15"/>
          <w:color w:val="auto"/>
        </w:rPr>
      </w:pPr>
      <w:r>
        <w:rPr>
          <w:rFonts w:ascii="Arial" w:cs="Arial" w:eastAsia="Arial" w:hAnsi="Arial"/>
          <w:sz w:val="15"/>
          <w:szCs w:val="15"/>
          <w:color w:val="auto"/>
        </w:rPr>
        <w:t>stated principal amounts in a range of between $2 million and $20 million; 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dates not exceeding ten years;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 between of 1.5% and 4% over the applicable London Interbank Offer Rate, or LIBOR, for a corresponding maturity;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customary financial and transferability covenants.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the initial loan portfolio, we intend to purchase only senior secured loans that comply with our investment objectives. Over time, however, we anticipate that senior secured loans will decrease as a percentage of our total assets as we add mezzanine loans and equity securities to our investment portfolio subsequent to this offering. See “Discussion of Expected Operating Plans–Credit Facility.”</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intends to use its standard procedures to determine the fair value of investments in senior secured loans or debt obligations held by us. These are described under “Business – Investment selection – Ongoing relationships with portfolio companies – Valuation process.” Under the terms of the Credit Facility, we will be advanced 100% of the lesser of (1) the par value or (2) current market value of any senior secured loans and other debt obligations to be acquired. See “Business –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Our investment activities will be managed by Pennant Investment Advisers and supervised by our board of directors, a majority of whom are independent of our investment adviser and Pennant. Pennant Investment Advisers is a newly formed investment adviser that intends to register under the Investment Advisers Act of 1940, or the “Advisers Act.” Under our Investment Management Agreement, we have agreed to pay Pennant Investment Advisers an annual base management fee based on our gross assets as well as an incentive fee based on our investment performance. See “Management—Investment management agreement.”</w:t>
      </w:r>
    </w:p>
    <w:p>
      <w:pPr>
        <w:spacing w:after="0" w:line="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also entered into an administrative agreement under which we have agreed to reimburse Pennant Administration for the allocable portion of overhead and other expenses incurred by Pennant Administration in performing its obligations under the administration agreement, including rent and our allocable portion of the costs of compensation and related expenses of our chief compliance officer and chief financial officer and their respective staffs. See “Management — Administration agreement.”</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Borrower has entered into the Credit Facility to fund portfolio investments prior to consummation of this offering. We may also borrow funds to make investments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though we have not decided the extent to which we will finance portfolio investments using debt. See “Regulation.” See “Material U.S. Federal Income Tax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offices are located at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telephone number (212) 307-3280.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80"/>
        <w:spacing w:after="0" w:line="393" w:lineRule="auto"/>
        <w:rPr>
          <w:sz w:val="20"/>
          <w:szCs w:val="20"/>
          <w:color w:val="auto"/>
        </w:rPr>
      </w:pPr>
      <w:r>
        <w:rPr>
          <w:rFonts w:ascii="Arial" w:cs="Arial" w:eastAsia="Arial" w:hAnsi="Arial"/>
          <w:sz w:val="18"/>
          <w:szCs w:val="18"/>
          <w:color w:val="auto"/>
        </w:rPr>
        <w:t>Proposed Nasdaq Global Market symbol Trading at a Discount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Distributions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-661670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8" w:lineRule="exact"/>
        <w:rPr>
          <w:sz w:val="20"/>
          <w:szCs w:val="20"/>
          <w:color w:val="auto"/>
        </w:rPr>
      </w:pPr>
    </w:p>
    <w:p>
      <w:pPr>
        <w:ind w:left="580"/>
        <w:spacing w:after="0"/>
        <w:tabs>
          <w:tab w:leader="none" w:pos="2380" w:val="left"/>
        </w:tabs>
        <w:rPr>
          <w:sz w:val="20"/>
          <w:szCs w:val="20"/>
          <w:color w:val="auto"/>
        </w:rPr>
      </w:pPr>
      <w:r>
        <w:rPr>
          <w:rFonts w:ascii="Arial" w:cs="Arial" w:eastAsia="Arial" w:hAnsi="Arial"/>
          <w:sz w:val="18"/>
          <w:szCs w:val="18"/>
          <w:color w:val="auto"/>
        </w:rPr>
        <w:t>shares, excluding</w:t>
      </w:r>
      <w:r>
        <w:rPr>
          <w:sz w:val="20"/>
          <w:szCs w:val="20"/>
          <w:color w:val="auto"/>
        </w:rPr>
        <w:tab/>
      </w:r>
      <w:r>
        <w:rPr>
          <w:rFonts w:ascii="Arial" w:cs="Arial" w:eastAsia="Arial" w:hAnsi="Arial"/>
          <w:sz w:val="15"/>
          <w:szCs w:val="15"/>
          <w:color w:val="auto"/>
        </w:rPr>
        <w:t>shares of common stock issuable pursuant to the over-allotment</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option granted to the underwriters. The underwriters will reserve up to · shares of common stock for sale, directly or indirectly, to our directors and officers.</w:t>
      </w:r>
    </w:p>
    <w:p>
      <w:pPr>
        <w:spacing w:after="0" w:line="84"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shares, excluding shares of common stock issuable pursuant to the over-allotment option granted to the underwriters.</w:t>
      </w:r>
    </w:p>
    <w:p>
      <w:pPr>
        <w:spacing w:after="0" w:line="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plan to invest the net proceeds of this offering in portfolio companies in accordance with our investment objective and the strategies described in this prospectus. We also intend to use a portion of the net proceeds of this offering to repay the outstanding principal of, and accrued and unpaid interest on, the Credit Facility. As a result of this investment and other anticipated investments, we expect that our portfolio will initially consist primarily of senior secured loans because we anticipate that we will be able to invest in such loans more rapidly than we can invest in mezzanine loans and equity securities.</w:t>
      </w:r>
    </w:p>
    <w:p>
      <w:pPr>
        <w:spacing w:after="0" w:line="3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anticipate that a substantial portion of the net proceeds of this offering will be used within 12-18 months and all of the net proceeds will be used within two years, in accordance with our investment objective, depending on the availability of appropriate investment opportunities and market conditions. Pending such investments, we will invest the remaining net proceeds primarily in cash, cash equivalents, U.S. government securities and other high-quality debt investments that mature in one year or less from the date of investment. See “Use of Proceeds.”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2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of closed-end investment companies frequently trade at a discount to their net asset value. The possibility that our shares may trade at a discount to our net asset value is separate and distinct from the risk that our net asset value per share may decline. We cannot predict whether our shares will trade above, at or below net asset value.</w:t>
      </w:r>
    </w:p>
    <w:p>
      <w:pPr>
        <w:spacing w:after="0" w:line="5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intend to distribute quarterly distributions to our stockholders out of assets legally available for distribution. Our quarterly distributions, if any, will be determined by our board of directors.</w:t>
      </w:r>
    </w:p>
    <w:p>
      <w:pPr>
        <w:spacing w:after="0" w:line="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intend to elect to be treated for federal income tax purposes as a RIC. As a RIC, we generally will not have to pay corporate-level federal income taxes on any ordinary income or capital gains that we distribute to our stockholders as distributions. To maintain our RIC status and obtain RIC tax benefits, we must meet specified source-of-income and asset diversification requirements and distribute annually at least 90% of our ordinary income and realized net short-term capital gains in excess of realized net long-term capital losses, if any, out of assets legally available for distribution. See “Distributions.”</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40" w:space="720"/>
            <w:col w:w="6960"/>
          </w:cols>
          <w:pgMar w:left="240" w:top="459"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Leverage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intend to borrow funds to make investments using our Credit Facility prior to consummation of this offering, and we may borrow other funds subsequent to this offering, including before we have fully invested the proceeds of this offering. As a result, we will be exposed to the risks of borrowing money, which may be considered a speculative investment technique. Borrowing, also known as leverage, magnifies the potential gain and loss on amounts invested and therefore increases the risks associated with investing in our securities. In addition, the costs associated with our borrowings, including any increase in the investment advisory fee payable to our investment adviser, will be borne by our common stockholders.</w:t>
      </w:r>
    </w:p>
    <w:p>
      <w:pPr>
        <w:spacing w:after="0" w:line="64"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Dividend reinvestment plan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We intend to have a dividend reinvestment plan for our stockholders. This will be an “opt out” dividend reinvestment plan. As a result, if we declare a dividend or other distribution, then stockholders’ cash distributions will be reinvested automatically in additional shares of our common stock, unless they specifically “opt out” of the dividend reinvestment plan, so as to receive cash dividends or other distributions. Stockholders who receive distributions in the form of shares of common stock will be subject to the same federal, state and local tax consequences as stockholders who elect to receive their distributions in cash. See “Dividend Reinvestment Plan.”</w:t>
      </w:r>
    </w:p>
    <w:p>
      <w:pPr>
        <w:spacing w:after="0" w:line="64"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Investment advisory fees</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5"/>
          <w:szCs w:val="15"/>
          <w:color w:val="auto"/>
        </w:rPr>
        <w:t>We will pay Pennant Investment Advisers a fee for its services under the investment advisory and management agreement consisting of two components – a base management fee and an incentive fee. The base management fee will be calculated at an annual rate of 2.00% of our gross assets. The incentive fee will consist of two parts. The first part will be calculated and payable quarterly in arrears based upon our “Pre-Incentive Fee Net Investment Income” for the immediately preceding quarter, and will be subject to a Hurdle (as defined under “Fees and Expenses”) and a “catch-up” feature. The second part will be determined and payable in arrears as of the end of each calendar year (or upon termination of the investment advisory and management agreement, as of the termination date) and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See “Management–Investment management agreement.”</w:t>
      </w:r>
    </w:p>
    <w:p>
      <w:pPr>
        <w:spacing w:after="0" w:line="62"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Administration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will reimburse Pennant Administration for the allocable portion of overhead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incurred by Pennant Administration in performing its obligations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administration agreement, including furnishing us with office facilities, equipment and clerical,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bookkeeping and record keeping services at such facilities, as well as providing us with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To the extent that our administrator outsources any of its functions,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pay the fees associated with such functions on a direct basis without profit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administrator. See “Management–Administration agreement.”</w:t>
      </w:r>
    </w:p>
    <w:p>
      <w:pPr>
        <w:spacing w:after="0" w:line="165"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License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have entered into a license agreement with Pennant Investment Advisers, pursuant to which Pennant Investment Advisers has agreed to grant us a non-exclusive license to use the name “Pennant.” For a description of Pennant Investment Advisers, Pennant Administration and our contractual arrangements with these companies, see “Management—Investment management agreement,” “—Administration agreement” and “—License agreement.”</w:t>
      </w:r>
    </w:p>
    <w:p>
      <w:pPr>
        <w:spacing w:after="0" w:line="62"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Anti-takeover provisions</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color w:val="auto"/>
        </w:rPr>
        <w:t>Our board of directors will be divided into three classes of directors serving staggered three-year terms. This structure is intended to increase the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w:t>
      </w:r>
    </w:p>
    <w:p>
      <w:pPr>
        <w:spacing w:after="0" w:line="62"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40"/>
        <w:spacing w:after="0" w:line="289" w:lineRule="auto"/>
        <w:rPr>
          <w:sz w:val="20"/>
          <w:szCs w:val="20"/>
          <w:color w:val="auto"/>
        </w:rPr>
      </w:pPr>
      <w:r>
        <w:rPr>
          <w:rFonts w:ascii="Arial" w:cs="Arial" w:eastAsia="Arial" w:hAnsi="Arial"/>
          <w:sz w:val="16"/>
          <w:szCs w:val="16"/>
          <w:color w:val="auto"/>
        </w:rPr>
        <w:t>We have no operating history. If we fail to qualify as a regulated investment company, we could become subject to federal income tax on all of our income, which would have a material adverse effect on our financial performance. We intend to invest in private companies. These activities may involve a high degree of business and financial risk. We will also be subject to risks associated with access to additional capital, fluctuating quarterly results and variation in our portfolio value. See “Risk Factors” beginning on page 11 and the other information included in this prospectus for a discussion of factors you should carefully consider before deciding to invest in shares of our common stock.</w:t>
      </w:r>
    </w:p>
    <w:p>
      <w:pPr>
        <w:spacing w:after="0" w:line="64"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 xml:space="preserve">We have filed with the SEC a registration statement on Form N-2 under the Securities Act of 1933, as amended, or the “Securities Act,” which contains additional information about us and the shares of our common stock being offered by this prospectus. After completion of this offering, we will be required to file periodic reports, proxy statements and other information with the SEC. This information will be available at the SEC’s public reference room in Washington, D.C. and on the SEC’s Internet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7"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“us” or “Pennant,” or that “we” will pay fees or expenses, stockholders will indirectly bear such fees or expenses as investors in Pennant.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Sales load (as a percentage of offering price)</w:t>
            </w:r>
          </w:p>
        </w:tc>
        <w:tc>
          <w:tcPr>
            <w:tcW w:w="13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Offering expenses (as a percentage of offering price)</w:t>
            </w:r>
          </w:p>
        </w:tc>
        <w:tc>
          <w:tcPr>
            <w:tcW w:w="1300" w:type="dxa"/>
            <w:vAlign w:val="bottom"/>
            <w:gridSpan w:val="3"/>
          </w:tcPr>
          <w:p>
            <w:pPr>
              <w:ind w:left="940"/>
              <w:spacing w:after="0"/>
              <w:rPr>
                <w:sz w:val="20"/>
                <w:szCs w:val="20"/>
                <w:color w:val="auto"/>
              </w:rPr>
            </w:pPr>
            <w:r>
              <w:rPr>
                <w:rFonts w:ascii="Arial" w:cs="Arial" w:eastAsia="Arial" w:hAnsi="Arial"/>
                <w:sz w:val="18"/>
                <w:szCs w:val="18"/>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expenses</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None(3)</w:t>
            </w:r>
          </w:p>
        </w:tc>
        <w:tc>
          <w:tcPr>
            <w:tcW w:w="0" w:type="dxa"/>
            <w:vAlign w:val="bottom"/>
          </w:tcPr>
          <w:p>
            <w:pPr>
              <w:spacing w:after="0"/>
              <w:rPr>
                <w:sz w:val="1"/>
                <w:szCs w:val="1"/>
                <w:color w:val="auto"/>
              </w:rPr>
            </w:pPr>
          </w:p>
        </w:tc>
      </w:tr>
      <w:tr>
        <w:trPr>
          <w:trHeight w:val="221"/>
        </w:trPr>
        <w:tc>
          <w:tcPr>
            <w:tcW w:w="10120" w:type="dxa"/>
            <w:vAlign w:val="bottom"/>
            <w:gridSpan w:val="2"/>
          </w:tcPr>
          <w:p>
            <w:pPr>
              <w:spacing w:after="0"/>
              <w:rPr>
                <w:sz w:val="20"/>
                <w:szCs w:val="20"/>
                <w:color w:val="auto"/>
              </w:rPr>
            </w:pPr>
            <w:r>
              <w:rPr>
                <w:rFonts w:ascii="Arial" w:cs="Arial" w:eastAsia="Arial" w:hAnsi="Arial"/>
                <w:sz w:val="18"/>
                <w:szCs w:val="18"/>
                <w:color w:val="auto"/>
              </w:rPr>
              <w:t>Total stockholder transaction expenses (as a percentage of offering price)</w:t>
            </w:r>
          </w:p>
        </w:tc>
        <w:tc>
          <w:tcPr>
            <w:tcW w:w="5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100" w:type="dxa"/>
            <w:vAlign w:val="bottom"/>
          </w:tcPr>
          <w:p>
            <w:pPr>
              <w:spacing w:after="0"/>
              <w:rPr>
                <w:sz w:val="17"/>
                <w:szCs w:val="17"/>
                <w:color w:val="auto"/>
              </w:rPr>
            </w:pPr>
          </w:p>
        </w:tc>
        <w:tc>
          <w:tcPr>
            <w:tcW w:w="1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3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0"/>
              </w:rPr>
              <w:t>Incentive fees payable under investment advisory and management agreement (20% of realized capital gains and 20% of Pre-Incentive Fee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0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1300" w:type="dxa"/>
            <w:vAlign w:val="bottom"/>
            <w:gridSpan w:val="3"/>
          </w:tcPr>
          <w:p>
            <w:pPr>
              <w:jc w:val="right"/>
              <w:ind w:right="132"/>
              <w:spacing w:after="0"/>
              <w:rPr>
                <w:sz w:val="20"/>
                <w:szCs w:val="20"/>
                <w:color w:val="auto"/>
              </w:rPr>
            </w:pPr>
            <w:r>
              <w:rPr>
                <w:rFonts w:ascii="Arial" w:cs="Arial" w:eastAsia="Arial" w:hAnsi="Arial"/>
                <w:sz w:val="18"/>
                <w:szCs w:val="18"/>
                <w:color w:val="auto"/>
              </w:rPr>
              <w:t>0.00%(5)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13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None(6)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expenses</w:t>
            </w:r>
          </w:p>
        </w:tc>
        <w:tc>
          <w:tcPr>
            <w:tcW w:w="1300" w:type="dxa"/>
            <w:vAlign w:val="bottom"/>
            <w:gridSpan w:val="3"/>
          </w:tcPr>
          <w:p>
            <w:pPr>
              <w:jc w:val="right"/>
              <w:ind w:right="1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 (estimated)</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indebtedness and that our annual operating expenses remain at the levels set forth in the table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 year</w:t>
            </w:r>
          </w:p>
        </w:tc>
        <w:tc>
          <w:tcPr>
            <w:tcW w:w="4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8"/>
              </w:rPr>
              <w:t>3 years</w:t>
            </w:r>
          </w:p>
        </w:tc>
        <w:tc>
          <w:tcPr>
            <w:tcW w:w="4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8"/>
              </w:rPr>
              <w:t>5 years</w:t>
            </w: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10 years</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You would pay the following expenses on a $1,000 investment, assuming a 5% annual return</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11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This example should not be considered a representation of our future expenses, and actual expenses (including the cost of debt, if any, and other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76"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shares sold in this offering, which is a one-time fee, is the only sales load paid in connection with this offering.</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980" w:hanging="452"/>
        <w:spacing w:after="0" w:line="28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(as defined under “Discussion of Expected Operating Plans—Contractual Obligations”) is based on our gross assets. See “Management—Investment management agreement” and footnote 5 below.</w:t>
      </w:r>
    </w:p>
    <w:p>
      <w:pPr>
        <w:ind w:left="460" w:right="4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our current business plan, we anticipate that a substantial portion of the net proceeds of this offering will be used within 12-18 months and all of the net proceeds will be used within two years, in accordance with our investment objective, and we expect that we will not have any capital gains and only an insignificant amount of interest income that will not exceed the quarterly Hurdle discussed below. As a result, we do not anticipate paying any incentive fees in the first year after the completion of this offering. Once fully invested, we expect the incentive fees we pay to increase to the extent we earn greater interest income through our investments in portfolio companies and, to a lesser extent, realize capital gains upon the sale of equity investments in our portfolio companies. The incentive fee consists of two parts:</w:t>
      </w:r>
    </w:p>
    <w:p>
      <w:pPr>
        <w:spacing w:after="0" w:line="37" w:lineRule="exact"/>
        <w:rPr>
          <w:rFonts w:ascii="Arial" w:cs="Arial" w:eastAsia="Arial" w:hAnsi="Arial"/>
          <w:sz w:val="16"/>
          <w:szCs w:val="16"/>
          <w:color w:val="auto"/>
        </w:rPr>
      </w:pPr>
    </w:p>
    <w:p>
      <w:pPr>
        <w:ind w:left="460" w:right="140"/>
        <w:spacing w:after="0" w:line="256" w:lineRule="auto"/>
        <w:rPr>
          <w:rFonts w:ascii="Arial" w:cs="Arial" w:eastAsia="Arial" w:hAnsi="Arial"/>
          <w:sz w:val="16"/>
          <w:szCs w:val="16"/>
          <w:color w:val="auto"/>
        </w:rPr>
      </w:pPr>
      <w:r>
        <w:rPr>
          <w:rFonts w:ascii="Arial" w:cs="Arial" w:eastAsia="Arial" w:hAnsi="Arial"/>
          <w:sz w:val="18"/>
          <w:szCs w:val="18"/>
          <w:color w:val="auto"/>
        </w:rPr>
        <w:t>The first part, which is payable quarterly in arrears, will equal 20% of the excess, if any, of our “Pre-Incentive Fee Net Investment Income” that exceeds a 1.75% quarterly (7.00% annualized) hurdle rate (the “Hurdle”), subject to a “catch-up” provision measured at the end of each calendar quarter. The first part of the incentive fee will be computed and paid on income that may include interest that is accrued but not yet received in cash. The operation of the first part of the incentive fee for each quarter is as follows:</w:t>
      </w:r>
    </w:p>
    <w:p>
      <w:pPr>
        <w:spacing w:after="0" w:line="62" w:lineRule="exact"/>
        <w:rPr>
          <w:rFonts w:ascii="Arial" w:cs="Arial" w:eastAsia="Arial" w:hAnsi="Arial"/>
          <w:sz w:val="16"/>
          <w:szCs w:val="16"/>
          <w:color w:val="auto"/>
        </w:rPr>
      </w:pPr>
    </w:p>
    <w:p>
      <w:pPr>
        <w:ind w:left="900" w:right="100" w:hanging="325"/>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 incentive fee is payable to our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900" w:right="60" w:hanging="325"/>
        <w:spacing w:after="0" w:line="294"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 of our Pre-Incentive Fee Net Investment Income, as if a Hurdle did not apply when our Pre-Incentive Fee Net Investment Income exceeds 2.1875% in any calendar quarter.</w:t>
      </w:r>
    </w:p>
    <w:p>
      <w:pPr>
        <w:spacing w:after="0" w:line="34" w:lineRule="exact"/>
        <w:rPr>
          <w:rFonts w:ascii="Arial" w:cs="Arial" w:eastAsia="Arial" w:hAnsi="Arial"/>
          <w:sz w:val="16"/>
          <w:szCs w:val="16"/>
          <w:color w:val="auto"/>
        </w:rPr>
      </w:pPr>
    </w:p>
    <w:p>
      <w:pPr>
        <w:ind w:left="900" w:right="400" w:hanging="325"/>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14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The second part of the incentive fee will be payable, in arrears, at the end of each calendar year (or upon termination of the investment advisory and management agreement, as of the termination date), commencing with the year ending December 31, 2007. For a more detailed discussion of the calculation of this fee, see “Management–Investment management agreement.”</w:t>
      </w:r>
    </w:p>
    <w:p>
      <w:pPr>
        <w:spacing w:after="0" w:line="35" w:lineRule="exact"/>
        <w:rPr>
          <w:sz w:val="20"/>
          <w:szCs w:val="20"/>
          <w:color w:val="auto"/>
        </w:rPr>
      </w:pPr>
    </w:p>
    <w:p>
      <w:pPr>
        <w:ind w:left="460" w:right="100" w:hanging="452"/>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Borrower has entered into the Credit Facility to fund portfolio investments prior to consummation of this offering. We may also borrow funds to make investments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though we have not decided whether, and to what extent, we will finance portfolio investments using debt. However, assuming we borrow for investment purposes an amount equal to 40% of our total assets (including such borrowed funds) and that the annual interest rate on the amount borrowed is ·%, our total annual expenses (estimated) would be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Management fees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8620" w:type="dxa"/>
            <w:vAlign w:val="bottom"/>
          </w:tcPr>
          <w:p>
            <w:pPr>
              <w:spacing w:after="0"/>
              <w:rPr>
                <w:sz w:val="20"/>
                <w:szCs w:val="20"/>
                <w:color w:val="auto"/>
              </w:rPr>
            </w:pPr>
            <w:r>
              <w:rPr>
                <w:rFonts w:ascii="Arial" w:cs="Arial" w:eastAsia="Arial" w:hAnsi="Arial"/>
                <w:sz w:val="18"/>
                <w:szCs w:val="18"/>
                <w:i w:val="1"/>
                <w:iCs w:val="1"/>
                <w:color w:val="auto"/>
                <w:w w:val="88"/>
              </w:rPr>
              <w:t>Incentive fees payable under investment advisory and management agreement (20% of realized capital gains and 20% of</w:t>
            </w:r>
          </w:p>
        </w:tc>
        <w:tc>
          <w:tcPr>
            <w:tcW w:w="2340" w:type="dxa"/>
            <w:vAlign w:val="bottom"/>
          </w:tcPr>
          <w:p>
            <w:pPr>
              <w:jc w:val="right"/>
              <w:ind w:right="592"/>
              <w:spacing w:after="0"/>
              <w:rPr>
                <w:sz w:val="20"/>
                <w:szCs w:val="20"/>
                <w:color w:val="auto"/>
              </w:rPr>
            </w:pPr>
            <w:r>
              <w:rPr>
                <w:rFonts w:ascii="Arial" w:cs="Arial" w:eastAsia="Arial" w:hAnsi="Arial"/>
                <w:sz w:val="18"/>
                <w:szCs w:val="18"/>
                <w:i w:val="1"/>
                <w:iCs w:val="1"/>
                <w:color w:val="auto"/>
                <w:w w:val="93"/>
              </w:rPr>
              <w:t>Pre-Incentive Fee Net</w:t>
            </w:r>
          </w:p>
        </w:tc>
        <w:tc>
          <w:tcPr>
            <w:tcW w:w="460" w:type="dxa"/>
            <w:vAlign w:val="bottom"/>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i w:val="1"/>
                <w:iCs w:val="1"/>
                <w:color w:val="auto"/>
              </w:rPr>
              <w:t>Investment Income)</w:t>
            </w:r>
          </w:p>
        </w:tc>
        <w:tc>
          <w:tcPr>
            <w:tcW w:w="2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6"/>
              </w:rPr>
              <w:t>0.00%</w:t>
            </w: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payments on borrowed funds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spacing w:after="0"/>
              <w:rPr>
                <w:sz w:val="20"/>
                <w:szCs w:val="20"/>
                <w:color w:val="auto"/>
              </w:rPr>
            </w:pPr>
            <w:r>
              <w:rPr>
                <w:rFonts w:ascii="Arial" w:cs="Arial" w:eastAsia="Arial" w:hAnsi="Arial"/>
                <w:sz w:val="18"/>
                <w:szCs w:val="18"/>
                <w:i w:val="1"/>
                <w:iCs w:val="1"/>
                <w:color w:val="auto"/>
              </w:rPr>
              <w:t>Other 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2"/>
        </w:trPr>
        <w:tc>
          <w:tcPr>
            <w:tcW w:w="8620" w:type="dxa"/>
            <w:vAlign w:val="bottom"/>
          </w:tcPr>
          <w:p>
            <w:pPr>
              <w:spacing w:after="0"/>
              <w:rPr>
                <w:sz w:val="20"/>
                <w:szCs w:val="20"/>
                <w:color w:val="auto"/>
              </w:rPr>
            </w:pPr>
            <w:r>
              <w:rPr>
                <w:rFonts w:ascii="Arial" w:cs="Arial" w:eastAsia="Arial" w:hAnsi="Arial"/>
                <w:sz w:val="18"/>
                <w:szCs w:val="18"/>
                <w:i w:val="1"/>
                <w:iCs w:val="1"/>
                <w:color w:val="auto"/>
              </w:rPr>
              <w:t>Total annual expenses (estimated)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estimated organizational expenses of $300,000 (which are non-recurring) and our overhead expenses, including payments under the administration agreement based on our projected allocable portion of overhead and other expenses incurred by Pennant Administration in performing its obligations under the administration agreement. See “Management—Administration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 ISK FACTORS</w:t>
      </w:r>
    </w:p>
    <w:p>
      <w:pPr>
        <w:spacing w:after="0" w:line="17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no operating history.</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were incorporated in January 2007 and have not yet commenced operations. We are subject to all of the business risks and uncertainties associated with any new business, including the risk that we will not achieve our investment objective and that the value of your investment could decline substantially. Although the Borrower will use the proceeds of the Credit Facility to acquire portfolio investments prior to consummation of this offering, we anticipate that it will take us up to 12-18 months to invest a substantial portion of the net proceeds of this offering, and up to two years to invest all of the net proceeds, in accordance with our investment objective. During this period, we will invest the remaining net proceeds of this offering, after repayment of the Credit Facility, in short-term investments, such as cash and cash equivalents, which we expect will earn yields substantially lower than the interest income that we anticipate receiving in respect of investments in mezzanine loans, senior secured loans and equity securities. As a result, any distributions we make during this period may be substantially lower than the distributions that we expect to pay when our portfolio is fully invested.</w:t>
      </w:r>
    </w:p>
    <w:p>
      <w:pPr>
        <w:spacing w:after="0" w:line="193"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We are dependent upon Pennant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management of Pennant Investment Advisers, including initially Mr. Penn. We will also depend, to a significant extent, on Pennant Investment Advisers’ access to the investment information and deal flow generated by Mr. Penn and any other investment professionals to be hired by our investment adviser. Mr. Penn and other management of Pennant Investment Advisers will evaluate, negotiate, structure, close and monitor our investments. Our future success will depend on the continued service of Mr. Penn and other management personnel to be hired by Pennant Investment Advisers. The departure of Mr. Penn or any other managers hired by Pennant Investment Advisers could have a material adverse effect on our ability to achieve our investment objective. In addition, we can offer no assurance that Pennant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efforts of a limited management team.</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this time, our operations depend exclusively upon the efforts, knowledge and expertise of Mr. Penn. Following this offering, Mr. Penn intends to expand the investment adviser’s management team by retaining a total of seven to ten investment professionals within the first 12 months after completion of this offering. We expect to hire a chief financial officer and chief compliance officer promptly after completion of this offering. However, it is our investment adviser’s intention to maintain a relatively small management team. We anticipate that this team will operate without the financial or other resources and commitments typically associated with larger institutional investment firms. We cannot assure you that the additional professionals our investment adviser may retain will have the expertise or experience of Mr. Penn. We also cannot assure you that unforeseen business, medical, personal or other circumstances will not lead Mr. Penn or any other investment professional hired by our investment adviser to terminate his or her employment with us. The loss of Mr. Penn or other subsequently retained professionals of our investment adviser, if any, would be detrimental to our ability to achieve our business objectives and would have a material adverse affect on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its management will have limited experience managing a business development company.</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1940 Act imposes numerous constraints on the operations of business development companies. For example, business development companies are required to invest at least 70% of their total assets primarily in securities of private or thinly traded U.S.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 While Mr. Penn, our Chief Executive Officer and the Managing Partner of our investment adviser, has approximately two and one-half years of experience managing the investments of another business development company, such experience may not translate directly into his roles acting on our behalf. In addition, the investment philosophy and techniques used by Mr. Penn and Pennant Investment Advisers may differ from those other funds. Accordingly, we can offer no assurance that Pennant will replicate the historical performance of other investment companies with which Mr. Penn has been affiliated, and we caution you that our investment returns could be substantially lower than the returns achieved by such other companies.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ability to achieve our investment objective will depend on our ability to grow, which will depend, in turn, on Pennant Investment Advisers’ ability to identify, invest in and monitor companies that meet our investment criteria.</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Accomplishing this result on a cost-effective basis will be largely a function of Pennant Investment Advisers’ structuring of the investment process, its ability to provide competent, attentive and efficient services to us and our access to financing on acceptable terms. The management team of Pennant Investment Advisers will have substantial responsibilities under the investment advisory and management agreement. In order to grow, we and Pennant Investment Advisers will need to hire, train, supervise and manage new employees. However, we can offer no assurance that any such employees will contribute effectively to the work of the investment adviser, and caution you that they may also be called upon to provide managerial assistance to our portfolio companies as the principals of our administrator. Such demands on their time may distract them or slow our rate of investment. Any failure to manage our future growth effectively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plan to make in middle-market companies. We will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and we expect the trend to continue. Many of our potential competitors are substantially larger and have considerably greater financial, technical and marketing resources than we do. For example, some competitors may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w:t>
      </w:r>
    </w:p>
    <w:p>
      <w:pPr>
        <w:spacing w:after="0" w:line="12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will not seek to compete primarily based on the interest rates we offer, and we believe that some of our competitors may make loans with interest rates that will be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intend to elect to be treated as a RIC, and we will be subject to corporate-level income tax if we are unable to qualify as a RIC.</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qualify as a RIC under the Code and obtain RIC tax benefits, we must meet certain income source,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in the future, we may be subject to certain asset coverage ratio requirements under the 1940 Act and financial covenants under loan and credit agreements that could, under certain circumstances, restrict us from making distributions necessary to qualify for RIC tax benefits. If we are unable to obtain cash from other sources, we may fail to qualify for such benefits and, thus, may be subject to corporate-level income tax. To qualify as a RIC, we must also meet certain asset diversification requirements at the end of each calendar quarter. Failure to meet these tests may result in our having to dispose of certain investments quickly in order to prevent the loss of RIC status. Because we anticipate that most of our investments will be in the securities of relatively illiquid middle-market private companies, any such dispositions could be made at disadvantageous prices and may result in substantial losses. If we fail to qualify for RIC tax benefits for any reason and remain or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For federal income tax purposes, we will include in income certain amounts that we have not yet received in cash, such as original issue discount, which may arise if we receive warrants in connection with the making of a loan or possibly in other circumstances, or contracted payment-in-kind, or “PIK,” interest, which represents contractual interest added to the loan balance and due at the end of the loan term. Such original issue discount, which could be significant relative to our overall investment activities, or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Since in certain cases we may recognize income before or without receiving cash representing such income,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 See “Material U.S. Federal Income Tax Considerations—Taxation as a RIC.”</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only in amounts such that our asset coverage, as defined in the 1940 Act, equals at least 200%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1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at a price below the current net asset value of the common stock, or sell warrants, options or rights to acquire such common stock, at a price below the current net asset value of the common stock if our board of directors determines that such sale is in the best interests of Pennant and our stockholders, and our stockholders approve Pennant’s policy and practice of making such sales. In any such case, the price at which our securities are to be issued and sold may not be less than a price which, in the determination of our board of directors, closely approximates the market value of such securities (less any distributing commission or discount).</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issuing securities to raise capital as described above,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any such securitized pool of loans. An inability to successfully securitize our loan portfolio could limit our ability to grow our business, fully execute our business strategy and decrease our earnings, if any. Moreover, the successful securitization of our loan portfolio might expose us to losses as the residual loans in which we do not sell interests will tend to be those that are riskier and more apt to generate losses.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Since, in addition to entering into the Credit Facility, we may obtain additional debt financing subsequent to this offering we are exposed to the typical risks associated with leverage.</w:t>
      </w:r>
    </w:p>
    <w:p>
      <w:pPr>
        <w:spacing w:after="0" w:line="45" w:lineRule="exact"/>
        <w:rPr>
          <w:sz w:val="20"/>
          <w:szCs w:val="20"/>
          <w:color w:val="auto"/>
        </w:rPr>
      </w:pPr>
    </w:p>
    <w:p>
      <w:pPr>
        <w:ind w:left="440" w:right="320" w:hanging="324"/>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exposed to increased risk of loss if we incur debt to make investments. If we do incur debt, a decrease in the value of our investments would have a greater negative impact on the value of our common stock than if we did not use debt.</w:t>
      </w:r>
    </w:p>
    <w:p>
      <w:pPr>
        <w:spacing w:after="0" w:line="50" w:lineRule="exact"/>
        <w:rPr>
          <w:rFonts w:ascii="Arial" w:cs="Arial" w:eastAsia="Arial" w:hAnsi="Arial"/>
          <w:sz w:val="18"/>
          <w:szCs w:val="18"/>
          <w:color w:val="auto"/>
        </w:rPr>
      </w:pPr>
    </w:p>
    <w:p>
      <w:pPr>
        <w:ind w:left="440" w:right="860" w:hanging="324"/>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distributions would be restricted if our asset coverage ratio were not at least 200% and any amounts that we use to service our indebtedness would not be available for distributions to our common stockholders.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is likely that such securities will be governed by an indenture or other instrument containing covenants restricting our operating flexibility.</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in the future may have rights, preferences and privileges more favorable than those of our common stock.</w:t>
      </w:r>
    </w:p>
    <w:p>
      <w:pPr>
        <w:spacing w:after="0" w:line="20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Since we intend to use debt to finance our investments prior to the completion of this offering and we may obtain additional debt financing subsequent to this offering, changes in interest rates may affect our cost of capital and net investment income.</w:t>
      </w:r>
    </w:p>
    <w:p>
      <w:pPr>
        <w:spacing w:after="0" w:line="4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Since we intend to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use debt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w:t>
      </w:r>
    </w:p>
    <w:p>
      <w:pPr>
        <w:spacing w:after="0" w:line="12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will need additional capital to fund growth in our investments once we have fully invested the proceeds of this offering. We may issue debt or equity securities or borrow from financial institutions in order to obtain this additional capital.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 In addition, as a business development company, we are generally required to maintain a ratio of at least 200% of total assets to total borrowings, which may restrict our ability to borrow in certain circumstances.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Many of our portfolio investments will be recorded at fair value as determined in good faith by our board of directors. As a result, there will be uncertainty as to the value of our portfolio investments.</w:t>
      </w:r>
    </w:p>
    <w:p>
      <w:pPr>
        <w:spacing w:after="0" w:line="4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large percentage of our portfolio investments will be in the form of securities that are not publicly traded. The fair value of securities and other investments that are not publicly traded may not be readily determinable. We will value these securities quarterly at fair value as determined in good faith by our board of directors. Our board of directors will use the services of several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generally make investments in private companies. Substantially all of these securities will be subject to legal and other restrictions on resale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executive officers and directors to be retained in the future, and the future partners of our investment adviser, Pennant Investment Advisers, may serve as officers, directors or principals of entities that operate in the same or a related line of business as we do or of investment funds managed by affiliates of Pennant that may be formed in the future. Accordingly, if this occurs, they may have obligations to investors in those entities, the fulfillment of which might not be in the best interests of us or our stockholders.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Pennant Investment Advisers, and will reimburse Pennant Investment Advisers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Pennant Investment Advisers has interests that differ from those of our stockholders, giving rise to a conflict.</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Pennant Investment Advisers will receive a quarterly incentive fee based, in part, on our Pre-Incentive Fee Net Investment Income, if any, for the immediately preceding calendar quarter. This incentive fee is subject to a quarterly Hurdle before providing an incentive fee return to the investment adviser. To the extent we or Pennant Investment Advisers are able to exert influence over our portfolio companies, this quarterly incentive fee may provide Pennant Investment Advisers with an incentive to induce our portfolio companies to accelerate or defer interest or other obligations owed to us from one calendar quarter to another.</w:t>
      </w:r>
    </w:p>
    <w:p>
      <w:pPr>
        <w:spacing w:after="0" w:line="11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portion of the incentive fee payable by Pennant that relates to our Pre-Incentive Fee Net Investment Income will be computed and paid on income that includes interest, if any, that has been accrued but not yet received in cash. This fee structure may be considered to involve a conflict of interest for our investment adviser because it may encourage the investment adviser to favor debt financings that provide for deferred interest rather than current cash payments of interest.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entered into a royalty-free license agreement with our investment adviser, pursuant to which our investment adviser has agreed to grant us a non-exclusive license to use the name “Pennant.” Under the license agreement, we will have the right to use the “Pennant” name for so long as Pennant Investment Advisers or one of its affiliates remains our investment adviser. In addition, we will pay Pennant Administration, an affiliate of Pennant Investment Advisers, our allocable portion of overhead and other expenses incurred by Pennant Administration in performing its obligations under the administration agreement, including rent and our allocable portion of the cost of our chief financial officer and chief compliance officer and their respective staffs. These arrangements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affect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 operating policies and strategies without prior notice or stockholder approval.</w:t>
      </w:r>
    </w:p>
    <w:p>
      <w:pPr>
        <w:spacing w:after="0" w:line="1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term loans, mezzanine debt and selected equity investments issued by middle market companies.</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term loans, we will generally take a security interest in the available assets of these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including the equity interests of their subsidiaries. We expect this security interest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will generally be subordinated to senior loans and will generally be unsecured. This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above average amount of risk and volatility or a loss of principal.</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cash prior to maturity of some of our mezzanine debt investment, such investments will be of greater risk than amortizing loans.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Equity Investments</w:t>
      </w:r>
      <w:r>
        <w:rPr>
          <w:rFonts w:ascii="Arial" w:cs="Arial" w:eastAsia="Arial" w:hAnsi="Arial"/>
          <w:sz w:val="15"/>
          <w:szCs w:val="15"/>
          <w:color w:val="auto"/>
        </w:rPr>
        <w:t>. We expect to make selected equity investments. In addition, when we invest in first and second lien senior loans or mezzanine debt, we</w:t>
      </w:r>
      <w:r>
        <w:rPr>
          <w:rFonts w:ascii="Arial" w:cs="Arial" w:eastAsia="Arial" w:hAnsi="Arial"/>
          <w:sz w:val="15"/>
          <w:szCs w:val="15"/>
          <w:i w:val="1"/>
          <w:iCs w:val="1"/>
          <w:color w:val="auto"/>
        </w:rPr>
        <w:t xml:space="preserve"> </w:t>
      </w:r>
      <w:r>
        <w:rPr>
          <w:rFonts w:ascii="Arial" w:cs="Arial" w:eastAsia="Arial" w:hAnsi="Arial"/>
          <w:sz w:val="15"/>
          <w:szCs w:val="15"/>
          <w:color w:val="auto"/>
        </w:rPr>
        <w:t>may acquire warrants to purchase equity securities. Our goal is 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440" w:right="200" w:hanging="324"/>
        <w:spacing w:after="0" w:line="25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440" w:right="28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0" w:lineRule="exact"/>
        <w:rPr>
          <w:rFonts w:ascii="Arial" w:cs="Arial" w:eastAsia="Arial" w:hAnsi="Arial"/>
          <w:sz w:val="18"/>
          <w:szCs w:val="18"/>
          <w:color w:val="auto"/>
        </w:rPr>
      </w:pPr>
    </w:p>
    <w:p>
      <w:pPr>
        <w:ind w:left="440" w:right="40" w:hanging="324"/>
        <w:spacing w:after="0" w:line="33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440" w:right="220" w:hanging="324"/>
        <w:spacing w:after="0" w:line="298"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440" w:right="46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have not yet identified all of the portfolio company investments we intend to acquire using the borrowings under the Credit Facility or the proceeds of this offering.</w:t>
      </w:r>
    </w:p>
    <w:p>
      <w:pPr>
        <w:spacing w:after="0" w:line="4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While we expect to use the advances borrowed under the Credit Facility to acquire interests in certain senior secured loans and other debt obligations, we have not yet identified all of the potential investments for our portfolio. As a result, you are unable to evaluate all of our specific portfolio company investments prior to purchasing shares of our common stock. Additionally, our investment adviser will select our investments subsequent to the closing of this offering, and our stockholders will have no input with respect to such investment decisions. These factors increase the uncertainty, and thus the risk, of investing in our shares.</w:t>
      </w:r>
    </w:p>
    <w:p>
      <w:pPr>
        <w:spacing w:after="0" w:line="173"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4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most of the senior and mezzanine loans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interests and subordinate all or a portion of our claim to that of other creditors. This could occur even though we may have structured our investment as senior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we invest in mezzanine loans or senior secured loans, we may also invest in the equity securities of the borrower or acquire warrant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make follow-on investments in our portfolio companies could impair the value of our portfolio.</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in order to:</w:t>
      </w:r>
    </w:p>
    <w:p>
      <w:pPr>
        <w:spacing w:after="0" w:line="11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38" w:lineRule="auto"/>
        <w:rPr>
          <w:sz w:val="20"/>
          <w:szCs w:val="20"/>
          <w:color w:val="auto"/>
        </w:rPr>
      </w:pPr>
      <w:r>
        <w:rPr>
          <w:rFonts w:ascii="Arial" w:cs="Arial" w:eastAsia="Arial" w:hAnsi="Arial"/>
          <w:sz w:val="16"/>
          <w:szCs w:val="16"/>
          <w:b w:val="1"/>
          <w:bCs w:val="1"/>
          <w:color w:val="auto"/>
        </w:rPr>
        <w:t>Because we will generally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may do so in the future, we do not currently anticipate taking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will invest primarily in privately held companies. Generally, little public information exists about these companies, and we will be required to rely on the ability of the members of Pennant Investment Advisers’ investment professionals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intend to invest primarily in mezzanine loans, senior secured loans and equity securities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Pennant Investment Advisers to make speculative investments.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incentive fee payable by us to Pennant Investment Advisers may create an incentive for Pennant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including investors in this offering.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incentive fee payable by us to our investment adviser also may induce Pennant Investment Advisers to invest on our behalf in instruments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1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 Investment Advisers with respect to the assets invested in the securities and instruments of other investment companies under the Investment Management Agreement (as defined under “Discussion of Expected Operating Plans—Contractual Obligations”). With respect to any such investments, each of our stockholders will bear his or her share of the investment advisory fees of Pennant Investment Advisers as well as indirectly bearing the investment advisory fees and other expenses of any investment companies in which we invest.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investment strategy contemplates potential investments in debt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w:t>
      </w:r>
    </w:p>
    <w:p>
      <w:pPr>
        <w:jc w:val="both"/>
        <w:ind w:right="100"/>
        <w:spacing w:after="0" w:line="255" w:lineRule="auto"/>
        <w:rPr>
          <w:sz w:val="20"/>
          <w:szCs w:val="20"/>
          <w:color w:val="auto"/>
        </w:rPr>
      </w:pPr>
      <w:r>
        <w:rPr>
          <w:rFonts w:ascii="Arial" w:cs="Arial" w:eastAsia="Arial" w:hAnsi="Arial"/>
          <w:sz w:val="18"/>
          <w:szCs w:val="18"/>
          <w:color w:val="auto"/>
        </w:rPr>
        <w:t>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Maryland General Corporation Law, our charter and our bylaws contain provisions that may discourage, delay or make more difficult a change in control of Pennant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0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investment adviser may not be able to achieve the same or similar returns to those achieved by their investment professionals while they were employed at prior jobs.</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Mr. Penn held senior positions at a number of investment banks and most recently, as the Chief Operating Officer and President of Apollo Investments, Mr. Penn’s track record and achievements are not necessarily indicative of future results that will be achieved by our investment adviser. In his role as Chief Operating Officer and President, Mr. Penn was part of an investment team and he was not solely responsible for generating investment ideas. In addition, that investment team arrived at investment decisions by consensus. Other than Mr. Penn, none of the investment professionals from Apollo Investments is employed by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you may not receive distributions or that our distributions may not grow over time.</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460" w:right="1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experienced senior investment professionals or the departure of Pennant Investment Advisers’ key personnel;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this offering in ways with which you may not agree.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will have significant flexibility in investing the net proceeds of this offering. Accordingly, we may use the net proceeds from this offering in ways with which you may not agree or for purposes other than those contemplated at the time of the offering.</w:t>
      </w:r>
    </w:p>
    <w:p>
      <w:pPr>
        <w:spacing w:after="0" w:line="20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Prior to this offering, there has been no public market for our common stock, and we cannot assure you that the market price of our shares will not decline following the offering.</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cannot assure you that a trading market will develop for our common stock after this offering or, if one develops, that such trading market can be sustained. Shares of companies offered in an initial public offering often trade at a discount to the initial offering price due to underwriting discounts and related offering expenses. Also, shares of closed-end investment companies frequently trade at a discount from net asset value. This characteristic of closed-end investment companies is separate and distinct from the risk that our net asset value per share may decline. We cannot predict whether our common stock will trade at, above or below net asset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suffer immediate dilution upon the closing of this offering.</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net cash proceeds that we receive from this offering will be net of the underwriting discount of $ per share as well as other offering and organizational expenses of $ per share. As a result, our net asset value per share immediately after completion of this offering is estimated be to $ per share, compared to an offering price of $ per share. Accordingly, investors purchasing shares in this offering will pay a price per share of common stock that exceeds the net asset value per shares of common stock after this offering by $ and will bear the costs of the underwriting discount and, indirectly, other offering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substantial amounts of our common stock in the public market may have an adverse effect on the market price of our common stock.</w:t>
      </w:r>
    </w:p>
    <w:p>
      <w:pPr>
        <w:spacing w:after="0" w:line="1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Upon completion of this offering, we will have shares of common stock outstanding (or shares of common stock if the underwriters’ over-allotment option is fully exercised). Following this offering, sales of substantial amounts of our common stock or the availability of such shares for sale, could adversely affect the prevailing market prices for our common stock. If this occurs and continues, it could impair our ability to raise additional capital through the sale of equity securities should we desire to do so.</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Some of the statements in this prospectus constitute forward-looking statements, which relate to future events or our future performance or financial condition.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contained in this prospectus involve risks and uncertainties, including statements as to:</w:t>
      </w:r>
    </w:p>
    <w:p>
      <w:pPr>
        <w:spacing w:after="0" w:line="8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use words such as “anticipates,” “believes,” “expects,” “intends” and similar expressions to identify forward-looking statements. Our actual results could differ materially from those projected in the forward-looking statements for any reason, including the factors set forth in “Risk Factors” and elsewhere in this prospectus.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Securities Exchange Act of 1934, as amended, or the Exchange Act, the “safe harbor” provisions of the Private Securities Litigation Reform Act of 1995 do not apply to statements made in connection with this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EXPECTED OPERATING PLANS</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and “Forward-Looking Statements”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Pennant was incorporated under the Maryland General Corporation Law in January 2007. We are a newly organized, externally managed, closed-end, non-diversified management investment company that intends to file an election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This offering will significantly increase our capital resources.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mezzanine loans and senior secured loans made to private U.S. middle-market companies. We will also invest in equity securities, such as preferred stock, common stock, warrants or options received in connection with our debt investments or through direct investments. We expect that these investments will range between $15 million and $50 million each, although this investment size will vary proportionately with the size of our capital base.</w:t>
      </w:r>
    </w:p>
    <w:p>
      <w:pPr>
        <w:spacing w:after="0" w:line="11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Borrower has entered into the Credit Facility and other related documentation with Bear Stearns for the purpose of acquiring interests in senior secured loans and other debt obligations that will comprise our initial investment portfolio upon consummation of this offering. The Credit Facility provides for available borrowings of up to an aggregate principal amount of $200 million, subject to specified borrowing conditions. Interest on advances under the Credit Facility will be paid quarterly in arrears and will be charged at one-month LIBOR plus a spread of 1.75%. Any defaulted interest will be carried forward and compounded at a default interest rate. The Borrower’s obligations under the Credit Facility are secured by a first-priority security interest in all of the Borrower’s assets, including all of its interests in the senior secured loans and other debt obligations purchased using advances under the Credit Facility or otherwise. Our ability to draw advances under the Credit Facility will expire on the earlier of (1) June 30, 2007 or (2) the date of the closing of this offering, at which time the outstanding principal amount under the Credit Facility together with all accrued and unpaid interest on the Credit Facility will become due and payable in full. In connection</w:t>
      </w:r>
    </w:p>
    <w:p>
      <w:pPr>
        <w:spacing w:after="0" w:line="6"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with the closing of the Credit Facility, Mr. Penn purchased shares of common stock from Pennant at $ per share for a total of $1 million (which represents a discount of of the initial offering price of each share of common stock issued in this offering or an aggregate discount of ). Pennant</w:t>
      </w:r>
    </w:p>
    <w:p>
      <w:pPr>
        <w:spacing w:after="0" w:line="1"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contributed this amount to the Borrower in consideration of the purchase of all of the equity interests in the Borrower. The Credit Facility contains covenants that, among other things, require us to restrict the senior secured loans and other debt obligations purchased using advances under the Credit Facility to specified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amounts, credit quality classifications, security interests and interest payment terms. As of , 2007, the interest rate on advances under the Credit Facility was %. We intend to use a portion of the net proceeds of this offering to repay the outstanding principal of, and accrued and unpaid interest on, the Credit</w:t>
      </w:r>
    </w:p>
    <w:p>
      <w:pPr>
        <w:spacing w:after="0" w:line="295" w:lineRule="auto"/>
        <w:rPr>
          <w:sz w:val="20"/>
          <w:szCs w:val="20"/>
          <w:color w:val="auto"/>
        </w:rPr>
      </w:pPr>
      <w:r>
        <w:rPr>
          <w:rFonts w:ascii="Arial" w:cs="Arial" w:eastAsia="Arial" w:hAnsi="Arial"/>
          <w:sz w:val="16"/>
          <w:szCs w:val="16"/>
          <w:color w:val="auto"/>
        </w:rPr>
        <w:t>Facility as well as to pay the reasonable transaction costs incurred by us and Bear Stearns in establishing the Credit Facility. As a result of our anticipated investments under the Credit Facility and immediately upon consummation of this offering, we expect that our portfolio will initially consist primarily of senior secured loans. Over time, however, we expect that our portfolio will include a combination of senior and mezzanine loans and senior secured loans and, to a lesser extent, equity securities. See “Discussion of Expected Operating Plans-Credit Facility” and “Business - Investments.”</w:t>
      </w:r>
    </w:p>
    <w:p>
      <w:pPr>
        <w:spacing w:after="0" w:line="11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While our primary focus will be to generate current income through investments in debt securities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middle-market companies located outside of the United States. We expect that these public companies generally will have debt securities that are non-investment grade.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plan to generate revenue in the form of interest payable on the debt securities that we hold and capital gains and distributions, if any, on the warrants or other equity interests that we may acquire in portfolio companies. We expect our debt investments, whether in the form of mezzanine loans or senior secured loans, to have a term of five to ten years and typically to bear interest at a fixed or floating rate. Interest on debt securities will be payable generally quarterly or semiannually, with the amortization of principal generally being deferred for several years from the date of the initial investment. In some cases, we will also defer payments of interest for the first few years after our investment. The principal amount of the debt securities and any accrued but unpaid interest will generally become due at the maturity date. In addition, we may generate revenue in the form of commitment, origination, structuring or diligence fees, fees for providing managerial assistance and possibly consulting fees. Loan origination fees, original issue discount, and market discount are capitalized and then we amortize such amounts as interest income. Upon the prepayment of a loan or debt security, any unamortized loan origination fees are recorded as interest income. We record prepayment premiums on loans and debt securities as interest income when we receive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operating expenses will include the payment of (1) investment advisory fees as to our investment adviser, Pennant Investment Advisers; (2) the allocable portion of overhead under the administration agreement; (3) the interest expense under the Credit Facility and (4) other operating costs as detailed below. Our investment advisory fee will compensate our investment adviser for its work in identifying, evaluating, negotiating, consummating and monitoring our investments. See “Management—Investment management agreement.” We will bear all other costs and expenses of our operations and transactions, including (without limitation):</w:t>
      </w:r>
    </w:p>
    <w:p>
      <w:pPr>
        <w:spacing w:after="0" w:line="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and applicable federal and state securities laws;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other expenses incurred by either Pennant Administration or us in connection with organization and offering, administering our business, including payments under the administration agreement that will be based upon our allocable portion of overhead and other expenses incurred by Pennant Administration in performing its obligations under the administration agreement, including rent and our allocable portion of the costs of compensation and related expenses of our chief compliance officer and chief financial officer and their respective staffs.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the extent that any of our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will fund a portion of our investments through the Credit Facility prior to completion of this offering and, in the future, we may obtain borrowings from other banks and issuances of senior securities. We may also borrow funds subsequent to this offering, including before we have fully invested the proceeds of this offering, to the extent we determine that additional capital would allow us to take advantage of additional investment opportunities, if we market for debt financing presents attractively priced debt financing opportunities, or if our board of directors determine that leveraging our portfolio would be in the best interest of Pennant and our stockholders, though we have not decided the extent to which we will finance portfolio investment using debt. See “Material U.S. Federal Income Tax Consideration.” In the future, we may also securitize a portion of our investments in mezzanine loans or senior secured loans or other assets. Our primary use of funds will be investments in portfolio companies and repayment of amounts owing the advances under the Credit Facility,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including the repayment of advances of the Credit Facility, we</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expect to have cash resources of approximately $ million and no indebtedness. This amount does not take into account proceeds, if any, from the exercise of the underwriters’ overallotment option. See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will determine the timing and amount, if any, of our distributions. We intend to pay distributions on a quarterly basis. In order to qualify as a RIC and to avoid corporate-level tax on our income,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certain contracts under which we have material future commitments. Pennant Investment Advisers and Pennant Investment Corporation</w:t>
      </w:r>
    </w:p>
    <w:p>
      <w:pPr>
        <w:spacing w:after="0" w:line="3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have entered into an Interim Investment Management Agreement dated , 2007, or the Interim Investment Management Agreement, whereby Pennant Investment Advisers will provide investment management services to Pennant Investment Corporation prior to the consummation of this offering. Under the Interim Investment Management agreement, Pennant Investment Advisers will be reimbursed for expenses and will not receive a management or incentive fee under this agreement. Prior to the closing of this offering, Pennant Investment Advisers will register with the SEC as an investment adviser and Pennant Investment Corporation and Pennant Investment Advisers will enter into an investment management agreement or the Investment Management Agreement and together with the Interim Investment Management Agreement, the Investment Management Agreements, in accordance with the 1940 Act whereby Pennant Investment Advisers will serve as our investment adviser subsequent to consummation of this offering. Payments under the Investment Management Agreement in future periods will be equal to (1) a percentage of the value of our gross assets and (2) an incentive fee based on our performance. See “Management— Investment management agreement.”</w:t>
      </w:r>
    </w:p>
    <w:p>
      <w:pPr>
        <w:spacing w:after="0" w:line="12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Pennant Administration has entered into a sub-administration agreement with pursuant to which will provide all administrative services discussed below until Pennant and Pennant Administration retain a chief financial officer or hire employees who can perform these tasks. Consistent with the</w:t>
      </w:r>
    </w:p>
    <w:p>
      <w:pPr>
        <w:spacing w:after="0"/>
        <w:tabs>
          <w:tab w:leader="none" w:pos="4820" w:val="left"/>
        </w:tabs>
        <w:rPr>
          <w:sz w:val="20"/>
          <w:szCs w:val="20"/>
          <w:color w:val="auto"/>
        </w:rPr>
      </w:pPr>
      <w:r>
        <w:rPr>
          <w:rFonts w:ascii="Arial" w:cs="Arial" w:eastAsia="Arial" w:hAnsi="Arial"/>
          <w:sz w:val="18"/>
          <w:szCs w:val="18"/>
          <w:color w:val="auto"/>
        </w:rPr>
        <w:t>administration agreement described below, the cost of the</w:t>
      </w:r>
      <w:r>
        <w:rPr>
          <w:sz w:val="20"/>
          <w:szCs w:val="20"/>
          <w:color w:val="auto"/>
        </w:rPr>
        <w:tab/>
      </w:r>
      <w:r>
        <w:rPr>
          <w:rFonts w:ascii="Arial" w:cs="Arial" w:eastAsia="Arial" w:hAnsi="Arial"/>
          <w:sz w:val="15"/>
          <w:szCs w:val="15"/>
          <w:color w:val="auto"/>
        </w:rPr>
        <w:t>sub-administration agreement will be reimbursed by Pennant to Pennant Administration.</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an administration agreement, Pennant Administration will furnish us with the office facilities and administrative services necessary to conduct our day-to-day operations and provide on our behalf managerial assistance to those portfolio companies to which we are required to provide such assistance. Payments under the administration agreement will be equal to an amount based upon our allocable portion of Pennant Administration’s overhead in performing its obligations under the administration agreement, including rent, technology systems, insurance and our allocable portion of the costs of our chief compliance officer and chief financial officer and their respective staffs. See “Management—Administration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may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Borrower has entered into the Credit Facility and other related documentation with Bear Stearns for the purpose of acquiring interests in senior secured loans and other debt obligations that will comprise our initial investment portfolio upon consummation of this offering. The Credit Facility provides for available borrowings of up to an aggregate principal amount of $200 million, subject to specified borrowing conditions. Interest on advances under the Credit Facility will be paid quarterly in arrears and will be charged at one-month LIBOR plus a spread of 1.75%. Any defaulted interest will be carried forward and compounded at a default interest rate. The Borrower’s obligations under the Credit Facility are secured by a first-priority security interest in all of the Borrower’s assets, including all of its interests in the senior secured loans and other debt obligations purchased using advances under the Credit Facility or otherwise. Our ability to draw advances under the Credit Facility will expire on the earlier of (1) June 30, 2007 or (2) the date of the closing of this offering, at which time the outstanding principal amount under the Credit Facility together with all accrued and unpaid interest on the Credit Facility will become due and payable in full. In connection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w w:val="95"/>
              </w:rPr>
              <w:t>with the closing of the Credit Facility, Mr. Penn purchased</w:t>
            </w:r>
          </w:p>
        </w:tc>
        <w:tc>
          <w:tcPr>
            <w:tcW w:w="2340" w:type="dxa"/>
            <w:vAlign w:val="bottom"/>
            <w:gridSpan w:val="2"/>
          </w:tcPr>
          <w:p>
            <w:pPr>
              <w:ind w:left="320"/>
              <w:spacing w:after="0"/>
              <w:rPr>
                <w:sz w:val="20"/>
                <w:szCs w:val="20"/>
                <w:color w:val="auto"/>
              </w:rPr>
            </w:pPr>
            <w:r>
              <w:rPr>
                <w:rFonts w:ascii="Arial" w:cs="Arial" w:eastAsia="Arial" w:hAnsi="Arial"/>
                <w:sz w:val="18"/>
                <w:szCs w:val="18"/>
                <w:color w:val="auto"/>
                <w:w w:val="98"/>
              </w:rPr>
              <w:t>shares from Pennant at $</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w w:val="94"/>
              </w:rPr>
              <w:t>per share for a total of $1 million (which represents a discount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of</w:t>
            </w:r>
          </w:p>
        </w:tc>
        <w:tc>
          <w:tcPr>
            <w:tcW w:w="8280" w:type="dxa"/>
            <w:vAlign w:val="bottom"/>
            <w:gridSpan w:val="4"/>
          </w:tcPr>
          <w:p>
            <w:pPr>
              <w:ind w:left="180"/>
              <w:spacing w:after="0"/>
              <w:rPr>
                <w:sz w:val="20"/>
                <w:szCs w:val="20"/>
                <w:color w:val="auto"/>
              </w:rPr>
            </w:pPr>
            <w:r>
              <w:rPr>
                <w:rFonts w:ascii="Arial" w:cs="Arial" w:eastAsia="Arial" w:hAnsi="Arial"/>
                <w:sz w:val="18"/>
                <w:szCs w:val="18"/>
                <w:color w:val="auto"/>
                <w:w w:val="92"/>
              </w:rPr>
              <w:t>% of the initial offering price of each share of common stock issued in this offering or an aggregate discount of</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w w:val="97"/>
              </w:rPr>
              <w:t>). Pennant contributed this amount</w:t>
            </w:r>
          </w:p>
        </w:tc>
      </w:tr>
      <w:tr>
        <w:trPr>
          <w:trHeight w:val="216"/>
        </w:trPr>
        <w:tc>
          <w:tcPr>
            <w:tcW w:w="11200" w:type="dxa"/>
            <w:vAlign w:val="bottom"/>
            <w:gridSpan w:val="6"/>
          </w:tcPr>
          <w:p>
            <w:pPr>
              <w:spacing w:after="0"/>
              <w:rPr>
                <w:sz w:val="20"/>
                <w:szCs w:val="20"/>
                <w:color w:val="auto"/>
              </w:rPr>
            </w:pPr>
            <w:r>
              <w:rPr>
                <w:rFonts w:ascii="Arial" w:cs="Arial" w:eastAsia="Arial" w:hAnsi="Arial"/>
                <w:sz w:val="18"/>
                <w:szCs w:val="18"/>
                <w:color w:val="auto"/>
                <w:w w:val="89"/>
              </w:rPr>
              <w:t>to the Borrower in consideration of the purchase of all of the equity interests in the Borrower thereof. The Credit Facility contains covenants that, among other</w:t>
            </w:r>
          </w:p>
        </w:tc>
        <w:tc>
          <w:tcPr>
            <w:tcW w:w="220" w:type="dxa"/>
            <w:vAlign w:val="bottom"/>
          </w:tcPr>
          <w:p>
            <w:pPr>
              <w:spacing w:after="0"/>
              <w:rPr>
                <w:sz w:val="18"/>
                <w:szCs w:val="18"/>
                <w:color w:val="auto"/>
              </w:rPr>
            </w:pPr>
          </w:p>
        </w:tc>
      </w:tr>
      <w:tr>
        <w:trPr>
          <w:trHeight w:val="216"/>
        </w:trPr>
        <w:tc>
          <w:tcPr>
            <w:tcW w:w="11200" w:type="dxa"/>
            <w:vAlign w:val="bottom"/>
            <w:gridSpan w:val="6"/>
          </w:tcPr>
          <w:p>
            <w:pPr>
              <w:spacing w:after="0"/>
              <w:rPr>
                <w:sz w:val="20"/>
                <w:szCs w:val="20"/>
                <w:color w:val="auto"/>
              </w:rPr>
            </w:pPr>
            <w:r>
              <w:rPr>
                <w:rFonts w:ascii="Arial" w:cs="Arial" w:eastAsia="Arial" w:hAnsi="Arial"/>
                <w:sz w:val="18"/>
                <w:szCs w:val="18"/>
                <w:color w:val="auto"/>
                <w:w w:val="88"/>
              </w:rPr>
              <w:t>things, require us to restrict the senior secured loans and other debt obligations purchased using advances under the Credit Facility to specified dollar amounts,</w:t>
            </w:r>
          </w:p>
        </w:tc>
        <w:tc>
          <w:tcPr>
            <w:tcW w:w="220" w:type="dxa"/>
            <w:vAlign w:val="bottom"/>
          </w:tcPr>
          <w:p>
            <w:pPr>
              <w:spacing w:after="0"/>
              <w:rPr>
                <w:sz w:val="18"/>
                <w:szCs w:val="18"/>
                <w:color w:val="auto"/>
              </w:rPr>
            </w:pP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w w:val="93"/>
              </w:rPr>
              <w:t>credit quality classifications, security interests and interest payment terms. As of</w:t>
            </w:r>
          </w:p>
        </w:tc>
        <w:tc>
          <w:tcPr>
            <w:tcW w:w="5260" w:type="dxa"/>
            <w:vAlign w:val="bottom"/>
            <w:gridSpan w:val="3"/>
          </w:tcPr>
          <w:p>
            <w:pPr>
              <w:ind w:left="300"/>
              <w:spacing w:after="0"/>
              <w:rPr>
                <w:sz w:val="20"/>
                <w:szCs w:val="20"/>
                <w:color w:val="auto"/>
              </w:rPr>
            </w:pPr>
            <w:r>
              <w:rPr>
                <w:rFonts w:ascii="Arial" w:cs="Arial" w:eastAsia="Arial" w:hAnsi="Arial"/>
                <w:sz w:val="18"/>
                <w:szCs w:val="18"/>
                <w:color w:val="auto"/>
                <w:w w:val="94"/>
              </w:rPr>
              <w:t>, 2007, the interest rate on advances under the Credit Facility was</w:t>
            </w:r>
          </w:p>
        </w:tc>
        <w:tc>
          <w:tcPr>
            <w:tcW w:w="220" w:type="dxa"/>
            <w:vAlign w:val="bottom"/>
          </w:tcPr>
          <w:p>
            <w:pPr>
              <w:jc w:val="right"/>
              <w:spacing w:after="0"/>
              <w:rPr>
                <w:sz w:val="20"/>
                <w:szCs w:val="20"/>
                <w:color w:val="auto"/>
              </w:rPr>
            </w:pPr>
            <w:r>
              <w:rPr>
                <w:rFonts w:ascii="Arial" w:cs="Arial" w:eastAsia="Arial" w:hAnsi="Arial"/>
                <w:sz w:val="18"/>
                <w:szCs w:val="18"/>
                <w:color w:val="auto"/>
                <w:w w:val="94"/>
              </w:rPr>
              <w: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accounting principles generally accepted in the United States of America,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securities of middle market companies. Under procedures established by our board of directors, we intend to value investments for which market quotations are readily available at such market quotations.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 traded or whose market prices are not readily available will be valued at fair value as determined in good faith by our board of directors. Such determination of fair values may involve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will value each investment considering, among other measures, discounted cash flow models, comparisons of financial ratios of peer companies that are public and other factors.</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460" w:right="6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firms to reflect any comments; and</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will then discuss valuations and determine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“Business – Investment selection – Ongoing relationships with portfolio companies – Valuation process.”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not accrue PIK interest if the portfolio company valuation indicates that such PIK interest is not collectible. We will not accrue as a receivable interest on loans and debt securities if we have reason to doubt our ability to collect such interest. Loan origination fees, original issue discount and market discount will be capitalized, and we will then amortize such amounts as interest income. Upon the prepayment of a loan or debt security, any unamortized loan origination will be recorded as interest income. We will record prepayment premiums on loans and debt securities as interest income when we receive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will measure realized gains or losses by the difference between the net proceeds from the repayment or sale and the amortized cost basis of the investment, without regard to unrealized appreciation or 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(or approximately</w:t>
      </w:r>
    </w:p>
    <w:p>
      <w:pPr>
        <w:spacing w:after="0" w:line="38" w:lineRule="exact"/>
        <w:rPr>
          <w:sz w:val="20"/>
          <w:szCs w:val="20"/>
          <w:color w:val="auto"/>
        </w:rPr>
      </w:pPr>
    </w:p>
    <w:p>
      <w:pPr>
        <w:ind w:right="100" w:firstLine="8"/>
        <w:spacing w:after="0" w:line="295" w:lineRule="auto"/>
        <w:tabs>
          <w:tab w:leader="none" w:pos="1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million if the underwriters fully exercise their over-allotment option). This assumes, in each case, an initial public offering price of $ per share, after deducting the underwriting discounts and commissions and estimated organization and offering expenses of approximately $ payable by us. The amount of net proceeds may be more or less than the amount described in this prospectus depending on the public offering price of the common stock and the actual number of shares of common stock we sell in the offering, both of which will be determined at pricing.</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intend to use a portion of the net proceeds of this offering to repay the outstanding principal of, and accrued and unpaid interest on, the Credit Facility as well as to pay the reasonable transaction costs incurred by us and Bear Stearns in establishing the Credit Facility. The Credit Facility provides for available borrowings of up to an aggregate principal amount of $200 million, subject to specified borrowing conditions. Interest on advances under the Credit Facility will be paid quarterly in arrears and will be charged at one-month LIBOR plus a spread of 1.75%. Any defaulted of interest will be carried forward and compounded at a default interest rate. Our ability to draw advances under the Credit Facility will expire on the earlier of (1) June 30, 2007 or (2) the date of the closing of this offering, at which time the outstanding principal amount under the Credit Facility together with all accrued and unpaid interest on the Credit Facility will become due and payable in full. As of ·, 2007, the interest rate on advances under the Credit Facility was ·%. We plan to invest the remainder of the net proceeds of this offering in portfolio companies in accordance with our investment objective and strategies described in this prospectus.</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anticipate that a substantial portion of the net proceeds of this offering will be used for the above purposes within 12-18 months and all of the net proceeds of this offering will be used within two years, depending on the availability of appropriate investment opportunities consistent with our investment objective and market conditions. We cannot assure you we will achieve our targeted investment pace. As a result of our expected purchase of the senior secured loans and our other anticipated investments, we expect that our portfolio will initially consist primarily of senior secured loans.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debt investments that mature in one year or less from the date of investment. The investment advisory fee payable by us will not be reduced while our assets are invested in such securities. See “Regulation—Temporary investments” for additional information about temporary investments we may make while waiting to make longer-term investments in pursuit of our investment objective.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intend to make quarterly distributions to our stockholders. The timing and amount of our quarterly distributions, if any, will be determined by our board of directors. Any distributions to our stockholders will be declared out of assets legally available for distribution.</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To obtain RIC tax benefits, we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2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We intend to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table sets forth (1) our actual capitalization at 2007 and (2) our cash, accrued organizational expenses and capitalization as adjusted to reflect the effects of the sale of our common stock in this offering at an assumed public offering price of $ per share, after deducting the underwriting discounts and commissions and organization and offering expenses payable by us. You should read this table together with “Use of Proceeds” and our balance sheet included elsewhere in this prospectus.</w:t>
      </w:r>
    </w:p>
    <w:p>
      <w:pPr>
        <w:spacing w:after="0" w:line="179" w:lineRule="exact"/>
        <w:rPr>
          <w:sz w:val="20"/>
          <w:szCs w:val="20"/>
          <w:color w:val="auto"/>
        </w:rPr>
      </w:pPr>
    </w:p>
    <w:p>
      <w:pPr>
        <w:ind w:left="9840"/>
        <w:spacing w:after="0"/>
        <w:tabs>
          <w:tab w:leader="none" w:pos="10800" w:val="left"/>
        </w:tabs>
        <w:rPr>
          <w:sz w:val="20"/>
          <w:szCs w:val="20"/>
          <w:color w:val="auto"/>
        </w:rPr>
      </w:pPr>
      <w:r>
        <w:rPr>
          <w:rFonts w:ascii="Arial" w:cs="Arial" w:eastAsia="Arial" w:hAnsi="Arial"/>
          <w:sz w:val="14"/>
          <w:szCs w:val="14"/>
          <w:b w:val="1"/>
          <w:bCs w:val="1"/>
          <w:color w:val="auto"/>
        </w:rPr>
        <w:t>As of January</w:t>
      </w:r>
      <w:r>
        <w:rPr>
          <w:sz w:val="20"/>
          <w:szCs w:val="20"/>
          <w:color w:val="auto"/>
        </w:rPr>
        <w:tab/>
      </w:r>
      <w:r>
        <w:rPr>
          <w:rFonts w:ascii="Arial" w:cs="Arial" w:eastAsia="Arial" w:hAnsi="Arial"/>
          <w:sz w:val="12"/>
          <w:szCs w:val="12"/>
          <w:b w:val="1"/>
          <w:bCs w:val="1"/>
          <w:color w:val="auto"/>
        </w:rPr>
        <w:t>, 2007</w:t>
      </w:r>
    </w:p>
    <w:p>
      <w:pPr>
        <w:spacing w:after="0" w:line="2" w:lineRule="exact"/>
        <w:rPr>
          <w:sz w:val="20"/>
          <w:szCs w:val="20"/>
          <w:color w:val="auto"/>
        </w:rPr>
      </w:pPr>
    </w:p>
    <w:p>
      <w:pPr>
        <w:ind w:left="9620"/>
        <w:spacing w:after="0"/>
        <w:tabs>
          <w:tab w:leader="none" w:pos="10540" w:val="left"/>
        </w:tabs>
        <w:rPr>
          <w:sz w:val="20"/>
          <w:szCs w:val="20"/>
          <w:color w:val="auto"/>
        </w:rPr>
      </w:pPr>
      <w:r>
        <w:rPr>
          <w:rFonts w:ascii="Arial" w:cs="Arial" w:eastAsia="Arial" w:hAnsi="Arial"/>
          <w:sz w:val="12"/>
          <w:szCs w:val="12"/>
          <w:b w:val="1"/>
          <w:bCs w:val="1"/>
          <w:u w:val="single" w:color="auto"/>
          <w:color w:val="auto"/>
        </w:rPr>
        <w:t>Actual</w:t>
      </w:r>
      <w:r>
        <w:rPr>
          <w:sz w:val="20"/>
          <w:szCs w:val="20"/>
          <w:color w:val="auto"/>
        </w:rPr>
        <w:tab/>
      </w:r>
      <w:r>
        <w:rPr>
          <w:rFonts w:ascii="Arial" w:cs="Arial" w:eastAsia="Arial" w:hAnsi="Arial"/>
          <w:sz w:val="12"/>
          <w:szCs w:val="12"/>
          <w:b w:val="1"/>
          <w:bCs w:val="1"/>
          <w:u w:val="single" w:color="auto"/>
          <w:color w:val="auto"/>
        </w:rPr>
        <w:t>As Adjusted(1)</w:t>
      </w:r>
    </w:p>
    <w:p>
      <w:pPr>
        <w:spacing w:after="0" w:line="36" w:lineRule="exact"/>
        <w:rPr>
          <w:sz w:val="20"/>
          <w:szCs w:val="20"/>
          <w:color w:val="auto"/>
        </w:rPr>
      </w:pPr>
    </w:p>
    <w:p>
      <w:pPr>
        <w:ind w:left="9820"/>
        <w:spacing w:after="0"/>
        <w:rPr>
          <w:sz w:val="20"/>
          <w:szCs w:val="20"/>
          <w:color w:val="auto"/>
        </w:rPr>
      </w:pPr>
      <w:r>
        <w:rPr>
          <w:rFonts w:ascii="Arial" w:cs="Arial" w:eastAsia="Arial" w:hAnsi="Arial"/>
          <w:sz w:val="12"/>
          <w:szCs w:val="12"/>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1" w:lineRule="exact"/>
        <w:rPr>
          <w:sz w:val="20"/>
          <w:szCs w:val="20"/>
          <w:color w:val="auto"/>
        </w:rPr>
      </w:pPr>
    </w:p>
    <w:p>
      <w:pPr>
        <w:ind w:right="2600"/>
        <w:spacing w:after="0" w:line="261" w:lineRule="auto"/>
        <w:rPr>
          <w:sz w:val="20"/>
          <w:szCs w:val="20"/>
          <w:color w:val="auto"/>
        </w:rPr>
      </w:pPr>
      <w:r>
        <w:rPr>
          <w:rFonts w:ascii="Arial" w:cs="Arial" w:eastAsia="Arial" w:hAnsi="Arial"/>
          <w:sz w:val="18"/>
          <w:szCs w:val="18"/>
          <w:color w:val="auto"/>
        </w:rPr>
        <w:t>Common stock, par value $0.001 per share; 100,000,000 common shares authorized, 100 common shares outstanding, actual; common shares outstanding,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Capital in excess of par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spacing w:after="0"/>
        <w:tabs>
          <w:tab w:leader="none" w:pos="440" w:val="left"/>
          <w:tab w:leader="none" w:pos="5360" w:val="left"/>
        </w:tabs>
        <w:rPr>
          <w:sz w:val="20"/>
          <w:szCs w:val="20"/>
          <w:color w:val="auto"/>
        </w:rPr>
      </w:pPr>
      <w:r>
        <w:rPr>
          <w:rFonts w:ascii="Arial" w:cs="Arial" w:eastAsia="Arial" w:hAnsi="Arial"/>
          <w:sz w:val="18"/>
          <w:szCs w:val="18"/>
          <w:color w:val="auto"/>
        </w:rPr>
        <w:t>(1)</w:t>
        <w:tab/>
        <w:t>Assumes no exercise of the underwriters’ over-allotment option of</w:t>
      </w:r>
      <w:r>
        <w:rPr>
          <w:sz w:val="20"/>
          <w:szCs w:val="20"/>
          <w:color w:val="auto"/>
        </w:rPr>
        <w:tab/>
      </w:r>
      <w:r>
        <w:rPr>
          <w:rFonts w:ascii="Arial" w:cs="Arial" w:eastAsia="Arial" w:hAnsi="Arial"/>
          <w:sz w:val="14"/>
          <w:szCs w:val="14"/>
          <w:color w:val="auto"/>
        </w:rPr>
        <w:t>shares.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dilution to investors in this offering is represented by the difference between the offering price per share and the pro forma net tangible book value per share after this offering. Net tangible book value per share is determined by dividing our net tangible book value, which is our total tangible assets less total liabilities, by the number of outstanding shares.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the date of this prospectus, our net tangible book value was $ , or approximately $ per share. After giving effect to the sale of the shares to be sold in this offering, and the deduction of discounts and estimated expenses of this offering before stabilization, our pro forma net tangible book value would have</w:t>
      </w:r>
    </w:p>
    <w:tbl>
      <w:tblPr>
        <w:tblLayout w:type="fixed"/>
        <w:tblInd w:w="0" w:type="dxa"/>
        <w:tblCellMar>
          <w:top w:w="0" w:type="dxa"/>
          <w:left w:w="0" w:type="dxa"/>
          <w:bottom w:w="0" w:type="dxa"/>
          <w:right w:w="0" w:type="dxa"/>
        </w:tblCellMar>
      </w:tblPr>
      <w:tr>
        <w:trPr>
          <w:trHeight w:val="210"/>
        </w:trPr>
        <w:tc>
          <w:tcPr>
            <w:tcW w:w="1820" w:type="dxa"/>
            <w:vAlign w:val="bottom"/>
            <w:gridSpan w:val="3"/>
          </w:tcPr>
          <w:p>
            <w:pPr>
              <w:spacing w:after="0"/>
              <w:rPr>
                <w:sz w:val="20"/>
                <w:szCs w:val="20"/>
                <w:color w:val="auto"/>
              </w:rPr>
            </w:pPr>
            <w:r>
              <w:rPr>
                <w:rFonts w:ascii="Arial" w:cs="Arial" w:eastAsia="Arial" w:hAnsi="Arial"/>
                <w:sz w:val="18"/>
                <w:szCs w:val="18"/>
                <w:color w:val="auto"/>
              </w:rPr>
              <w:t>been approximately $</w:t>
            </w:r>
          </w:p>
        </w:tc>
        <w:tc>
          <w:tcPr>
            <w:tcW w:w="780" w:type="dxa"/>
            <w:vAlign w:val="bottom"/>
          </w:tcPr>
          <w:p>
            <w:pPr>
              <w:ind w:left="280"/>
              <w:spacing w:after="0"/>
              <w:rPr>
                <w:sz w:val="20"/>
                <w:szCs w:val="20"/>
                <w:color w:val="auto"/>
              </w:rPr>
            </w:pPr>
            <w:r>
              <w:rPr>
                <w:rFonts w:ascii="Arial" w:cs="Arial" w:eastAsia="Arial" w:hAnsi="Arial"/>
                <w:sz w:val="18"/>
                <w:szCs w:val="18"/>
                <w:color w:val="auto"/>
              </w:rPr>
              <w:t>or $</w:t>
            </w:r>
          </w:p>
        </w:tc>
        <w:tc>
          <w:tcPr>
            <w:tcW w:w="6200" w:type="dxa"/>
            <w:vAlign w:val="bottom"/>
            <w:gridSpan w:val="6"/>
          </w:tcPr>
          <w:p>
            <w:pPr>
              <w:ind w:left="340"/>
              <w:spacing w:after="0"/>
              <w:rPr>
                <w:sz w:val="20"/>
                <w:szCs w:val="20"/>
                <w:color w:val="auto"/>
              </w:rPr>
            </w:pPr>
            <w:r>
              <w:rPr>
                <w:rFonts w:ascii="Arial" w:cs="Arial" w:eastAsia="Arial" w:hAnsi="Arial"/>
                <w:sz w:val="18"/>
                <w:szCs w:val="18"/>
                <w:color w:val="auto"/>
                <w:w w:val="94"/>
              </w:rPr>
              <w:t>per share, representing an immediate increase in net tangible book value of $</w:t>
            </w:r>
          </w:p>
        </w:tc>
        <w:tc>
          <w:tcPr>
            <w:tcW w:w="2620" w:type="dxa"/>
            <w:vAlign w:val="bottom"/>
            <w:gridSpan w:val="4"/>
          </w:tcPr>
          <w:p>
            <w:pPr>
              <w:jc w:val="right"/>
              <w:ind w:right="512"/>
              <w:spacing w:after="0"/>
              <w:rPr>
                <w:sz w:val="20"/>
                <w:szCs w:val="20"/>
                <w:color w:val="auto"/>
              </w:rPr>
            </w:pPr>
            <w:r>
              <w:rPr>
                <w:rFonts w:ascii="Arial" w:cs="Arial" w:eastAsia="Arial" w:hAnsi="Arial"/>
                <w:sz w:val="18"/>
                <w:szCs w:val="18"/>
                <w:color w:val="auto"/>
                <w:w w:val="90"/>
              </w:rPr>
              <w:t>per share and an immediate</w:t>
            </w:r>
          </w:p>
        </w:tc>
        <w:tc>
          <w:tcPr>
            <w:tcW w:w="0" w:type="dxa"/>
            <w:vAlign w:val="bottom"/>
          </w:tcPr>
          <w:p>
            <w:pPr>
              <w:spacing w:after="0"/>
              <w:rPr>
                <w:sz w:val="1"/>
                <w:szCs w:val="1"/>
                <w:color w:val="auto"/>
              </w:rPr>
            </w:pPr>
          </w:p>
        </w:tc>
      </w:t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dilution of $</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per share or</w:t>
            </w:r>
          </w:p>
        </w:tc>
        <w:tc>
          <w:tcPr>
            <w:tcW w:w="3900" w:type="dxa"/>
            <w:vAlign w:val="bottom"/>
            <w:gridSpan w:val="2"/>
          </w:tcPr>
          <w:p>
            <w:pPr>
              <w:ind w:left="80"/>
              <w:spacing w:after="0"/>
              <w:rPr>
                <w:sz w:val="20"/>
                <w:szCs w:val="20"/>
                <w:color w:val="auto"/>
              </w:rPr>
            </w:pPr>
            <w:r>
              <w:rPr>
                <w:rFonts w:ascii="Arial" w:cs="Arial" w:eastAsia="Arial" w:hAnsi="Arial"/>
                <w:sz w:val="18"/>
                <w:szCs w:val="18"/>
                <w:color w:val="auto"/>
              </w:rPr>
              <w:t>% to shares sold in this offering.</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500" w:type="dxa"/>
            <w:vAlign w:val="bottom"/>
            <w:gridSpan w:val="6"/>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5"/>
          </w:tcPr>
          <w:p>
            <w:pPr>
              <w:spacing w:after="0"/>
              <w:rPr>
                <w:sz w:val="20"/>
                <w:szCs w:val="20"/>
                <w:color w:val="auto"/>
              </w:rPr>
            </w:pPr>
            <w:r>
              <w:rPr>
                <w:rFonts w:ascii="Arial" w:cs="Arial" w:eastAsia="Arial" w:hAnsi="Arial"/>
                <w:sz w:val="18"/>
                <w:szCs w:val="18"/>
                <w:color w:val="auto"/>
              </w:rPr>
              <w:t>Net tangible book value before this offering</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Increase attributable to shareholders</w:t>
            </w: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5"/>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to shareholders (without exercise of the over-allotment option)</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7740" w:type="dxa"/>
            <w:vAlign w:val="bottom"/>
            <w:gridSpan w:val="8"/>
          </w:tcPr>
          <w:p>
            <w:pPr>
              <w:spacing w:after="0"/>
              <w:rPr>
                <w:sz w:val="20"/>
                <w:szCs w:val="20"/>
                <w:color w:val="auto"/>
              </w:rPr>
            </w:pPr>
            <w:r>
              <w:rPr>
                <w:rFonts w:ascii="Arial" w:cs="Arial" w:eastAsia="Arial" w:hAnsi="Arial"/>
                <w:sz w:val="18"/>
                <w:szCs w:val="18"/>
                <w:color w:val="auto"/>
                <w:w w:val="95"/>
              </w:rPr>
              <w:t>The following table sets forth information with respect to the shares prior to and following the offering:</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Shares Purchased</w:t>
            </w:r>
          </w:p>
        </w:tc>
        <w:tc>
          <w:tcPr>
            <w:tcW w:w="580" w:type="dxa"/>
            <w:vAlign w:val="bottom"/>
          </w:tcPr>
          <w:p>
            <w:pPr>
              <w:spacing w:after="0"/>
              <w:rPr>
                <w:sz w:val="24"/>
                <w:szCs w:val="24"/>
                <w:color w:val="auto"/>
              </w:rPr>
            </w:pPr>
          </w:p>
        </w:tc>
        <w:tc>
          <w:tcPr>
            <w:tcW w:w="1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580" w:type="dxa"/>
            <w:vAlign w:val="bottom"/>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580" w:type="dxa"/>
            <w:vAlign w:val="bottom"/>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spacing w:after="0"/>
              <w:rPr>
                <w:sz w:val="12"/>
                <w:szCs w:val="12"/>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Shares (without exercise of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60" w:type="dxa"/>
            <w:vAlign w:val="bottom"/>
            <w:gridSpan w:val="2"/>
          </w:tcPr>
          <w:p>
            <w:pPr>
              <w:spacing w:after="0"/>
              <w:rPr>
                <w:sz w:val="20"/>
                <w:szCs w:val="20"/>
                <w:color w:val="auto"/>
              </w:rPr>
            </w:pPr>
            <w:r>
              <w:rPr>
                <w:rFonts w:ascii="Arial" w:cs="Arial" w:eastAsia="Arial" w:hAnsi="Arial"/>
                <w:sz w:val="18"/>
                <w:szCs w:val="18"/>
                <w:color w:val="auto"/>
              </w:rPr>
              <w:t>The pro forma net tangible book value after the offering (without exercise of the over-allotment option) is calculated as follows: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060" w:type="dxa"/>
            <w:vAlign w:val="bottom"/>
            <w:gridSpan w:val="2"/>
          </w:tcPr>
          <w:p>
            <w:pPr>
              <w:spacing w:after="0"/>
              <w:rPr>
                <w:sz w:val="20"/>
                <w:szCs w:val="20"/>
                <w:color w:val="auto"/>
              </w:rPr>
            </w:pPr>
            <w:r>
              <w:rPr>
                <w:rFonts w:ascii="Arial" w:cs="Arial" w:eastAsia="Arial" w:hAnsi="Arial"/>
                <w:sz w:val="18"/>
                <w:szCs w:val="18"/>
                <w:color w:val="auto"/>
              </w:rPr>
              <w:t>Net tangible book value before the offering</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this offering (after deduction of certain estimated expenses of this offering as described in Use of Proceeds and without exercise of the</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40" w:type="dxa"/>
            <w:vAlign w:val="bottom"/>
            <w:shd w:val="clear" w:color="auto" w:fill="CCEEFF"/>
          </w:tcPr>
          <w:p>
            <w:pPr>
              <w:jc w:val="right"/>
              <w:ind w:right="9172"/>
              <w:spacing w:after="0"/>
              <w:rPr>
                <w:sz w:val="20"/>
                <w:szCs w:val="20"/>
                <w:color w:val="auto"/>
              </w:rPr>
            </w:pPr>
            <w:r>
              <w:rPr>
                <w:rFonts w:ascii="Arial" w:cs="Arial" w:eastAsia="Arial" w:hAnsi="Arial"/>
                <w:sz w:val="18"/>
                <w:szCs w:val="18"/>
                <w:color w:val="auto"/>
              </w:rPr>
              <w:t>over-allotment option)</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40" w:type="dxa"/>
            <w:vAlign w:val="bottom"/>
          </w:tcPr>
          <w:p>
            <w:pPr>
              <w:spacing w:after="0"/>
              <w:rPr>
                <w:sz w:val="18"/>
                <w:szCs w:val="18"/>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1060" w:type="dxa"/>
            <w:vAlign w:val="bottom"/>
            <w:gridSpan w:val="2"/>
          </w:tcPr>
          <w:p>
            <w:pPr>
              <w:spacing w:after="0"/>
              <w:rPr>
                <w:sz w:val="20"/>
                <w:szCs w:val="20"/>
                <w:color w:val="auto"/>
              </w:rPr>
            </w:pPr>
            <w:r>
              <w:rPr>
                <w:rFonts w:ascii="Arial" w:cs="Arial" w:eastAsia="Arial" w:hAnsi="Arial"/>
                <w:sz w:val="18"/>
                <w:szCs w:val="18"/>
                <w:color w:val="auto"/>
              </w:rPr>
              <w:t>Shares outstanding prior to the offering</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Shares included in this offering (with no exercise of the over-allotment option)</w:t>
            </w:r>
          </w:p>
        </w:tc>
        <w:tc>
          <w:tcPr>
            <w:tcW w:w="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60" w:type="dxa"/>
            <w:vAlign w:val="bottom"/>
            <w:gridSpan w:val="2"/>
            <w:vMerge w:val="restart"/>
          </w:tcPr>
          <w:p>
            <w:pPr>
              <w:jc w:val="right"/>
              <w:ind w:right="5172"/>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Investment Corporation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Pennant Investment Corporation is a newly organized, externally managed, non-diversified, closed-end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 Pennant’s investment objective is to generate both current income and capital appreciation through debt and equity investments. From time to time, we may also invest in public companies that are thinly traded.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our portfolio will be primarily comprised of investments in subordinated loans, referred to as mezzanine loans, and senior secured loans made to private U.S. middle-market companies. We will also invest in equity securities, such as preferred stock, common stock, warrants or options received in connection with our debt investments or through direct investments. We expect that these investments will range between $15 million and $50 million each, although this investment size will vary proportionately with the size of our capital base. In this prospectus, we use the term “middle-market” to refer to companies with annual revenues between $50 million and $1 billion.</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Borrower has entered into the Credit Facility and other related documentation with Bear Stearns for the purpose of acquiring interests in senior secured loans and other debt obligations that will comprise our initial investment portfolio upon consummation of this offering. The Credit Facility provides for available borrowings of up to an aggregate principal amount of $200 million, subject to specified borrowing conditions. We intend to use a portion of the net proceeds of this offering to repay the outstanding principal of, and accrued and unpaid interest on, the Credit Facility as well as to pay the reasonable transaction costs incurred by us and Bear Stearns in establishing the Credit Facility. As a result of our anticipated investments under the Credit Facility immediately upon consummation of this offering, we expect that our portfolio will initially consist primarily of senior secured loans. Over time, however, we expect that our portfolio will include a combination of senior and mezzanine loans and senior secured loans and, to a lesser extent, equity securities. See “Discussion of Expected Operating Plans-Credit Facility” and “Business - Investments.”</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While our primary focus will be to generate current income through investments in debt securities and equity investments in thinly traded or private U.S. companies, we may invest up to 30% of the portfolio in opportunistic investments.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 Investment Advisers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 Investment Corporation and the founder of our investment adviser, Pennant Investment Advisers, LLC.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also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 Stockholders who invested in Apollo Investment’s initial public offering and reinvested all dividends realized a total return in excess of 76 percent for the period from April 2004 through November 30, 2006. However, there can be no assurance that we will be able to achieve similar investment returns. Mr. Penn has committed to invest directly and indirectly, through a family trust, approximately $ million in shares of Pennant as part of this offering.</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62"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We and our investment adviser expect to hire additional investment professionals to assist with our ongoing management and in investing the proceeds of this offering. Specifically, we intend to hire a Chief Financial Officer and Chief Compliance Officer promptly after completion of this offering. In addition, our investment adviser intends to retain a total of seven to ten investment professionals within the first 12 months after completion of this offering. We and our investment adviser intend to hire investment professionals with skills applicable to the business plan of Pennant, including executives with middle market investing, leveraged and mezzanine finance and capital markets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Pennant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w:t>
      </w:r>
    </w:p>
    <w:p>
      <w:pPr>
        <w:spacing w:after="0" w:line="1" w:lineRule="exact"/>
        <w:rPr>
          <w:sz w:val="20"/>
          <w:szCs w:val="20"/>
          <w:color w:val="auto"/>
        </w:rPr>
      </w:pPr>
    </w:p>
    <w:p>
      <w:pPr>
        <w:ind w:left="460" w:right="2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As evidence of this trend, the average deal size in the high-yield market has grown from approximately $164 million in 1997 to approximately $450 million in the first nine months of 2006. In the first nine months of 2006, approximately 2% of all high-yield issues raised less than $100 million. We believe these trends have made it harder for middle-market companies to raise funds by issuing high-yield debt securities.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205740</wp:posOffset>
            </wp:positionV>
            <wp:extent cx="4553585" cy="3302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53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 expect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 In 2005 and the first nine months of 2006, private equity funds raised $150 billion and $130 billion, respectively. Of this amount, we believe that approximately $39 billion and $23 billion have been raised to finance leveraged buyout funds targeting U.S. middle market companies in 2005 and the first nine months of 2006, respectively.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205740</wp:posOffset>
            </wp:positionV>
            <wp:extent cx="4785360" cy="3009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8536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340" w:hanging="452"/>
        <w:spacing w:after="0" w:line="29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 “public-to-private” transactions as well as the number of companies selecting a “sale” alternative versus raising capital in the public equity markets as a means of increasing liquidity will remain large. The volume of “public to private” transactions in the United States increased from $13.6 billion in the first nine months of 2004 to $53.6 billion in the first nine months of 2006. Additionally, the cost and effort associated with being a public company in the United States have become more onerous, causing many management teams to consider alternative liquidity strategies. We believe these trends will reinforce demand for debt-related financing and mezzanine investment opportunities for middle-market companies.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Penn will have principal management responsibility for Pennant Investment Advisor as its managing partner. Mr. Penn has more than 20 years of experience in mezzanine lending, leveraged finance, private equity and distressed debt investing. Through his tenure at Apollo Investment Management, he also has direct experience in successfully capitalizing, staffing and managing a publicly-traded business development company. Mr. Penn intends to dedicate the vast majority of his time to managing Pennant and Pennant Investment Advisor. In addition, Pennant Investment Advisers intends to hire additional investment professionals who, we expect, will possess a broad range of transactional, financial, managerial and investment skills.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Through his investment experience, we believe Mr. Penn has developed a strong reputation in the capital markets. We believe that this experience, together with his expertise in raising capital, investing in debt and equity securities and managing investments in companies, will afford Pennant a competitive advantage in identifying and investing in middle-market companies. Mr. Penn has committed to invest directly and indirectly, through a family trust, approximately $ million in shares of Pennant as part of this offering.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 When market conditions make it difficult for us to invest according to our criteria, we intend to be highly selective in deploying our capital. We do not intend to pursue short-term origination targets. We believe this approach will enable us to build an attractive investment portfolio that meets our return and value criteria over the long term.</w:t>
      </w:r>
    </w:p>
    <w:p>
      <w:pPr>
        <w:spacing w:after="0" w:line="1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intend to conduct a rigorous due diligence process that draws from our investment adviser’s investment experience, industry expertise and network of contacts. Among other things, our due diligence is designed to ensure that a prospective portfolio company will be able to meet its debt service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 In making investment decisions we will seek to pursue and invest in companies that meet several of the following criteria:</w:t>
      </w:r>
    </w:p>
    <w:p>
      <w:pPr>
        <w:spacing w:after="0" w:line="5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value orientation and positive free cash flow;</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financial sponsors that have a history of creating value with portfolio companies;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strong and competitive industry position;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viable exit strategy and reliable liquidation value of assets.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Assuming a potential investment meets most or all of our investment criteria, we intend to be flexible in adopting transaction structures that address the needs of prospective portfolio companies and their owners. Our investment philosophy is focused on internal rates of return over the life of an investment. Given our investment criteria and due diligence process, we expect to structure our investments so they correlate closely with the success of our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his role as Chief Operating Officer and President of Apollo Investment Corporation, Mr. Penn oversaw investments in 73 companies operating in partnership with 54 different financial sponsors across 29 industries. As a result of this investment record and 20 years experience in the investment business, Mr. Penn has long-term relationships with management consultants and management teams that we believe will enable us effectively to evaluate investment opportunities in numerous industries, as well as substantial information concerning those industries. We believe the expertise of our investment advisers’ management team will enable Pennant Investment Advisers to identify, assess and structure investments successfully across all levels of a company’s capital structure and to manage potential risk and return at all stages of the economic cycle.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to identify potential investments both through active origination and through dialogue with numerous management teams, members of the financial community and corporate partners with whom Mr. Penn has long-term relationships. We believe that Mr. Penn’s broad network of contacts within the investment, commercial banking, private equity and investment management communities and his strong reputation in investment management, will enable us to attract well-positioned prospective portfolio companies. Additionally, we expect to generate information from our investment advisers’ network of accountants, consultants, lawyers and management teams of portfolio companies and other companies. We also expect that we will have access to additional contacts and relationships as a result of the additional investment professionals our investment adviser intends to retain.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Furthermore, we expect that the in-depth coverage and experience of Mr. Penn, as well as that of the additional investment professional we intend to retain, will enable us to invest throughout various stages of the economic cycle and will provide our investment adviser with access to ongoing market insights in addition to a significant investment sourcing engine. See “- Investments.” While we will be subject to compliance with the 1940 Act, we will not be subject to many of the regulatory limitations that govern traditional lending institutions such as banks. As a result, we expect to be flexible in selecting and structuring investments, adjusting investment criteria, transaction structures and, in some cases, the types of securities in which we invest. We believe that this approach should enable Pennant Investment Advisers to identify attractive investment opportunities throughout the economic cycle so that we can make investments consistent with our stated objective even during turbulent periods in the capital markets.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These provisions often force private equity and venture capital funds to seek returns on their investments through mergers, public equity offerings or other liquidity events more quickly than they otherwise might, potentially resulting in both a lower overall return to investors and an adverse impact on their portfolio companies. We believe that our flexibility to make investments with a long-term view and without the capital return requirements of traditional private investment vehicles will provide us with the opportunity to generate returns on invested capital and enable us to be a better long-term partner for our portfolio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INVESTMENT</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Borrower has entered into the Credit Facility for the purpose of acquiring interests in senior secured loans and other debt obligations that will comprise our initial investment portfolio upon consummation of this offering. We intend to use a portion of the net proceeds of this offering to repay the outstanding principal of, and accrued and unpaid interest on, the Credit Facility as well as to pay reasonable transaction costs incurred by us and Bear Stearns in establishing the Credit Facility. We expect that, at the closing of this offering, our portfolio investments will primarily consist of senior secured loans made to private U.S. middle-market companies. In addition, we expect each of these loans to have the following characteristics:</w:t>
      </w:r>
    </w:p>
    <w:p>
      <w:pPr>
        <w:spacing w:after="0" w:line="3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stated principal amounts in a range of between $2 million and $20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maturity dates not exceeding ten years;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rates between of 1.5% and 4% over the applicable London Interbank Offer Rate, or LIBOR, for a corresponding maturity;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customary financial and transferability covenants.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part of the initial loan portfolio, we intend to purchase only senior secured loans that comply with our investment objectives. Over time, however, we anticipate that senior secured loans will decrease as a percentage of our total assets as we add mezzanine loans and equity securities to our investment portfolio subsequent to this offering. See “Discussion of Expected Operating Plans – Credit Facility.”</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intends to use its standard procedures to determine the fair value of investments in senior secured loans or debt obligations held by us. These are described under “Business – Investment selection – Ongoing relationships with portfolio companies – Valuation process.” Under the terms of the Credit Facility, we will be advanced 100% of the lesser of (1) the par value or (2) current market value of any senior secured loan or debt obligation to be acquired. Our board of directors will consider a number of factors when it reviews the purchase of the senior secured loans and other debt obligations. See “Business –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Our investment activities will be managed by Pennant Investment Advisers and supervised by our board of directors, a majority of whom are independent of our investment adviser and Pennant. Pennant Investment Advisers is a newly formed investment adviser that intends to register under the Investment Advisers Act of 1940, or the “Advisers Act.” Under our Investment Management Agreement, we have agreed to pay Pennant Investment Advisers an annual base management fee based on our gross assets as well as an incentive fee based on our investment performance. See “Management—Investment management agreement.”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also entered into an administrative agreement under which we have agreed to reimburse Pennant Administration for the allocable portion of overhead and other expenses incurred by Pennant Administration in performing its obligations under the administration agreement, including rent and our allocable portion of the costs of compensation and related expenses of our chief compliance officer and chief financial officer and their respective staffs. See “Management — Administration agreement.”</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Borrower has entered into the Credit Facility to fund portfolio investments prior to consummation of this offering. We may also borrow funds to make investments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though we have not decided the extent to which we will finance portfolio investments using debt. See “Regulation.” See “Material U.S. Federal Income Tax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Pennant will seek to create a diversified portfolio that will include mezzanine loans, senior secured loans and equity securities by investing approximately $20 to $50 million of capital, on average, in the securities of middle-market companies. We expect that our target portfolio over time will include both mezzanine loans and senior secured loans. Structurally, mezzanine loans usually rank subordinate in priority of payment to senior debt, such as senior bank debt, and is often unsecured. As such, other creditors may rank senior to us in the event of an insolvency. However, mezzanine loans rank senior to common and preferred equity in a borrowers’ capital structure. Due to its higher risk profile and often less restrictive covenants as compared to senior loans, mezzanine loans generally earn a higher return than senior secured loans. We believe that mezzanine loans offer an alternative investment opportunity based upon their historic returns and resilience during economic downturns. In many cases mezzanine investors receive opportunities to invest directly in the equity securities of borrowers and from time to time may also receive warrants to purchase equity securities. We will evaluate these investment opportunities on a case by case basis.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Initially, we expect that our portfolio will consist primarily of senior secured loans and our other anticipated investments. Over time, however, we expect that our portfolio will consist of both mezzanine loans and senior secured loans and, to a lesser extent, equity securities. In addition to mezzanine loans and senior secured loans, we may invest up to 30% of our portfolio in opportunistic investments. These investments may include investments in high-yield bonds, distressed debt, private equity, securities of public companies that are not thinly traded and securities of middle-market companies located outside of the United States. We expect that these public companies generally will issue debt securities that are non-investment grade.</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the securitized pool of loans.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Moreover, we may acquire investments in the secondary market and, in analyzing such investments, we will employ the same analytical process as we use for our primary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principal focus will be to provide mezzanine loans and senior secured loans to middle-market companies in a variety of industries. We will generally seek to target companies that generate positive cash flows. We will generally seek to invest in companies from the broad variety of industries in which our investment adviser has direct expertise. The following is a representative list of the industries in which we may elect to invest.</w:t>
      </w:r>
    </w:p>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Chemicals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Consumer Finance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Marketing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Equipment Rental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Leisure Equipment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Machinery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Publishing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invest in other industries if we are presented with attractive opportunities.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an effort to increase our returns and the number of loans that we can make, we may in the future seek to securitize our loans. To securitize loans, we would create a wholly owned subsidiary and contribute a pool of loans to the subsidiary. We would sell interests in the subsidiary on a non-recourse basis to purchasers who we would expect to be willing to accept a lower interest rate to invest in investment-grade loan pools. We may use the proceeds of such sales to pay down bank debt or to fund additional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will not invest in any portfolio company in which any of our affiliates have an investment now or in the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portfolio company characteristics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you that not all of these criteria will be met by each prospective portfolio company in which we choose to invest. Generally, we will seek to use our experience and access to market information generated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orientation/positive cash flow</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investment philosophy will place a premium on fundamental analysis from an investor’s perspective and will have a distinct value orientation. We will focus on companies in which we can invest at relatively low multiples of operating cash flow and that are profitable at the time of investment on an operating cash flow basis. Typically, we would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will generally require that our portfolio companies have an experienced management team. We will also require the portfolio companies to have in place proper incentives to induce management to succeed and to act in concert with our interests as investors, including having significant equity interests. In addition, we intend to focus our investments in companies backed by strong financial sponsors that have a history of creating value and with whom members of our investment advisor have an established relationship.</w:t>
      </w:r>
    </w:p>
    <w:p>
      <w:pPr>
        <w:sectPr>
          <w:pgSz w:w="11900" w:h="16838" w:orient="portrait"/>
          <w:cols w:equalWidth="0" w:num="1">
            <w:col w:w="11360"/>
          </w:cols>
          <w:pgMar w:left="240" w:top="459" w:right="29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019"/>
          </w:cols>
          <w:pgMar w:left="1440" w:top="131"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 in industry</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will seek to invest in target companies that have developed leading market positions within their respective markets and are well positioned to capitalize on growth opportunities. We will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will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will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Realizable liquidation value of assets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prospective liquidation value of the assets, if any, collateralizing loans in which we invest will be an important factor in our credit analysis. We will emphasize both tangible assets, such as accounts receivable, inventory, equipment and real estate, and intangible assets, such as intellectual property, customer lists, networks and databases.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will conduct a rigorous due diligence process that draws from our investment adviser’s investment experience, industry expertise and network of contacts. Our investment adviser will conduct extensive due diligence investigations in their investment activities. We expect that the senior investment professionals we retain after this offering will maintain a similar approach to conducting due diligence on prospective portfolio companies. In conducting due diligence, we expect that our investment adviser will use publicly available information as well as information from its relationships with former and current management teams, consultants, competitors and investment bankers.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due diligence will typically include:</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senior loan documents;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will present the investment opportunity to our investment adviser’s investment committee, which will determine whether to pursue the potential investment. All new investments will be required to be approved by a consensus of the investment committee of our investment adviser, which currently consists of Mr. Penn. As our investment adviser adds senior investment professionals subsequent to this offering, we would expect those senior investment professionals to serve as members of our investment adviser’s investment committee. The members of our investment committee will receive no compensation from us. Such members will be employees or partners of our investment adviser and will receive compensation or profit distributions from our investment adviser.</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accountants prior to the closing of the investment, as well as other outside advisers, as appropriate.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Once we have determined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expected to perform relative to the other capital in the portfolio company’s capital structure.</w:t>
      </w:r>
    </w:p>
    <w:p>
      <w:pPr>
        <w:spacing w:after="0" w:line="10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anticipate investing in portfolio companies primarily in the form of senior secured loans and mezzanine loans. We expect our senior secured loans to have terms of three to ten years and to provide for deferred interest payments in the first few years of the term of the loan. We will obtain security interests in the assets of our portfolio companies that will serve as collateral in support of the repayment of these loans. This collateral may take the form of first or second priority liens on the assets of a portfolio company. We expect that the interest rate on our senior secured loans generally will range between 1.5% and 10% over LIBOR.</w:t>
      </w:r>
    </w:p>
    <w:p>
      <w:pPr>
        <w:spacing w:after="0" w:line="9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anticipate structuring our mezzanine investments primarily as unsecured, subordinated loans that provide for relatively high, fixed interest rates that will provide us with significant current interest income. These loans typically will have interest-only payments in the early years, with amortization of principal deferred to the later years of the mezzanine loans. In some cases, we may enter into mezzanine loans that, by their terms, convert into equity or additional debt securities or defer payments of interest for the first few years after our investment. Also, in some cases our mezzanine loans may be collateralized by a subordinated lien on some or all of the assets of the borrower. Typically, our mezzanine loans will have maturities of five to ten years. We will generally target a total return of 11% to 20% for our mezzanine loan investments.</w:t>
      </w:r>
    </w:p>
    <w:p>
      <w:pPr>
        <w:spacing w:after="0" w:line="12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the case of our mezzanine loan and senior secured loan investments, we will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and potential equity appreciation) that compensates us for credit risk;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receive with our debt securities generally will require only a nominal cost to exercise, and thus, as a portfolio company appreciates in value, we may achieve additional investment return from this equity interest. We may structure the warrants to provide provisions protecting our rights as a minority-interest holder, as well as puts, or rights to sell such securities back to the company, upon the occurrence of specified events. In many cases, we will also obtain registration rights in connection with these equity securities, which may include demand and “piggyback” registration rights. With respect to preferred or common equity investments, we expect to target an investment return of at least 16%. However, we can offer no assurance that we can achieve such a return with respect to any investment or our portfolio as a whole.</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expect to hold most of our investments to maturity or repayment, but will sell our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 a business development company, we will offer, and must provide upon request, managerial assistance to certain of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receive fees for these services. Pennant Administration will provide such managerial assistance on our behalf to portfolio companies that request this assistance.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Pennant Investment Advisers will monitor our portfolio companies on an ongoing basis. Pennant Investment Advisers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Pennant Investment Advisers will have several methods of evaluating and monitoring the performance and fair value of our investments, which may include the following:</w:t>
      </w:r>
    </w:p>
    <w:p>
      <w:pPr>
        <w:spacing w:after="0" w:line="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Comparisons to other Pennant portfolio companies in the industry, if 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is a description of the steps we will take each quarter to determine the value of our portfolio. Investments for which market quotations are readily available will be recorded in our financial statements at such market quotations. With respect to investments for which market quotations are not readily available, our board of directors will undertake a multi-step valuation process each quarter, as described below:</w:t>
      </w:r>
    </w:p>
    <w:p>
      <w:pPr>
        <w:spacing w:after="0" w:line="26" w:lineRule="exact"/>
        <w:rPr>
          <w:sz w:val="20"/>
          <w:szCs w:val="20"/>
          <w:color w:val="auto"/>
        </w:rPr>
      </w:pPr>
    </w:p>
    <w:p>
      <w:pPr>
        <w:ind w:left="460" w:right="6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When we make investments that involve deferrals of interest payable to us, any increase in the value of the investment due to the accrual or receipt of payment of interest will be allocated to the increase in the cost basis of the investment, rather than to capital appreciation or gain.</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expect that all of our portfolio investments will be recorded at fair value as determined under the valuation process discussed above. As a result, there will be uncertainty with respect to the value of our portfolio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primary competitors to provide financing to middle-market companies will include public and private funds, including other business development companies, commercial and investment banks, commercial financing companies, and, to the extent they provide an alternative form of financing, private equity funds. As a result of these new entrants, competition for investment opportunities at middle-market companies has intensified. Many of our competitors are substantially larger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expect to use the industry information available our investment adviser to assess investment risks and determine appropriate pricing for our investments in portfolio companies. In addition, we expect that the relationships of Mr. Penn, and the other senior investment professionals our investment adviser intends to retain, will enable us to learn about, and compete effectively for, financing opportunities with attractive middle-market companies in the industries in which we seek to invest. For additional information concerning the competitive risks we face, see “Risk Factors—Risks relating to our business and structure—We operate in a highly competitive market for investment opportunities.”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do not currently have any employees. Mr. Penn, our chief executive officer, is the managing partner of our investment adviser. We and our investment adviser expect to hire additional investment professionals to assist with our ongoing management and in investing the proceeds of this offering. Specifically, we expect to hire a chief financial officer and chief compliance officer promptly after the completion of the offering. In addition, our investment adviser intends to retain a total of seven to ten investment professionals within the first 12 months after completion of this offering. We and our investment adviser intend to hire investment professionals with skills applicable to the business plan of Pennant, including executives with middle market investing, leveraged and mezzanine finance and capital markets experience. It is likely that some of these individuals will be employees of Pennant Administration and will perform their respective functions under the terms of the administration agreement. See “Management—Investment management agreement.” In addition, we will reimburse Pennant Administration for our allocable portion of expenses incurred by it in performing its obligations under the administration agreement, including rent and our allocable portion of the cost of our chief financial officer and chief compliance officer and their respective staffs. See “Management—Administration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80"/>
        <w:spacing w:after="0" w:line="228" w:lineRule="auto"/>
        <w:rPr>
          <w:sz w:val="20"/>
          <w:szCs w:val="20"/>
          <w:color w:val="auto"/>
        </w:rPr>
      </w:pPr>
      <w:r>
        <w:rPr>
          <w:rFonts w:ascii="Arial" w:cs="Arial" w:eastAsia="Arial" w:hAnsi="Arial"/>
          <w:sz w:val="18"/>
          <w:szCs w:val="18"/>
          <w:color w:val="auto"/>
        </w:rPr>
        <w:t>Our executive offices are located at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We believe that our office facilities are suitable and adequate for our business as it is contemplated to be conducted.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spacing w:after="0"/>
        <w:tabs>
          <w:tab w:leader="none" w:pos="9320" w:val="left"/>
          <w:tab w:leader="none" w:pos="10440" w:val="left"/>
        </w:tabs>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w:t>
      </w:r>
      <w:r>
        <w:rPr>
          <w:sz w:val="20"/>
          <w:szCs w:val="20"/>
          <w:color w:val="auto"/>
        </w:rPr>
        <w:tab/>
      </w:r>
      <w:r>
        <w:rPr>
          <w:rFonts w:ascii="Arial" w:cs="Arial" w:eastAsia="Arial" w:hAnsi="Arial"/>
          <w:sz w:val="18"/>
          <w:szCs w:val="18"/>
          <w:color w:val="auto"/>
        </w:rPr>
        <w:t>members,</w:t>
      </w:r>
      <w:r>
        <w:rPr>
          <w:sz w:val="20"/>
          <w:szCs w:val="20"/>
          <w:color w:val="auto"/>
        </w:rPr>
        <w:tab/>
      </w:r>
      <w:r>
        <w:rPr>
          <w:rFonts w:ascii="Arial" w:cs="Arial" w:eastAsia="Arial" w:hAnsi="Arial"/>
          <w:sz w:val="15"/>
          <w:szCs w:val="15"/>
          <w:color w:val="auto"/>
        </w:rPr>
        <w:t>of whom are</w:t>
      </w:r>
    </w:p>
    <w:p>
      <w:pPr>
        <w:spacing w:after="0" w:line="1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not “interested persons” of Pennant as defined in Section 2(a)(19) of the 1940 Act. We refer to these individuals as our independent directors. Our board of directors elects our officers, who will serve at the discretion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Under our charter, our directors will be divided into three classes. Each class of directors will hold office for a three 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Director</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43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75"/>
              </w:rPr>
              <w:t>Age</w:t>
            </w:r>
          </w:p>
        </w:tc>
        <w:tc>
          <w:tcPr>
            <w:tcW w:w="4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Since</w:t>
            </w:r>
          </w:p>
        </w:tc>
        <w:tc>
          <w:tcPr>
            <w:tcW w:w="320" w:type="dxa"/>
            <w:vAlign w:val="bottom"/>
          </w:tcPr>
          <w:p>
            <w:pPr>
              <w:spacing w:after="0"/>
              <w:rPr>
                <w:sz w:val="14"/>
                <w:szCs w:val="14"/>
                <w:color w:val="auto"/>
              </w:rPr>
            </w:pPr>
          </w:p>
        </w:tc>
        <w:tc>
          <w:tcPr>
            <w:tcW w:w="64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5"/>
        </w:trPr>
        <w:tc>
          <w:tcPr>
            <w:tcW w:w="4300" w:type="dxa"/>
            <w:vAlign w:val="bottom"/>
          </w:tcPr>
          <w:p>
            <w:pPr>
              <w:spacing w:after="0" w:line="195" w:lineRule="exact"/>
              <w:rPr>
                <w:sz w:val="20"/>
                <w:szCs w:val="20"/>
                <w:color w:val="auto"/>
              </w:rPr>
            </w:pPr>
            <w:r>
              <w:rPr>
                <w:rFonts w:ascii="Arial" w:cs="Arial" w:eastAsia="Arial" w:hAnsi="Arial"/>
                <w:sz w:val="18"/>
                <w:szCs w:val="18"/>
                <w:b w:val="1"/>
                <w:bCs w:val="1"/>
                <w:color w:val="auto"/>
              </w:rPr>
              <w:t>Interested Directors</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Arthur H. Penn</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Chairman of the Board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 be appointed)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 be appointed)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(To be appointed)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2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expect to retain a chief financial officer and a chief compliance officer as soon as practicable after completion of this offering. Mr. Penn will serve as our interim chief compliance officer until our board of directors has approved a permanent chief compliance officer.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each director is 445 Park Avenue, 9th Floor, New York, New York 10022, by telephone at (212) 307-3280.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currently have no executive officers, other than our chairman and chief executive officer, Arthur H. Penn. We expect to hire a chief financial officer and a chief compliance officer promptly upon completion of this offering. Mr. Penn will serve as our interim chief compliance officer until our board of directors has approved a permanent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Arthur H. Penn </w:t>
      </w:r>
      <w:r>
        <w:rPr>
          <w:rFonts w:ascii="Arial" w:cs="Arial" w:eastAsia="Arial" w:hAnsi="Arial"/>
          <w:sz w:val="16"/>
          <w:szCs w:val="16"/>
          <w:color w:val="auto"/>
        </w:rPr>
        <w:t>(43) Founder, Chief Executive Officer and Chairman of the Board of Directors. Mr. Penn became the chief executive officer and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Pennant at its inception in January 2007. He also founded and became Managing Partner of Pennant Investment Advisers in January 2007. Mr. Penn co-founded Apollo Investment Management in February 2004, where he was a Managing Partner through November 2006. He also served as Chief Operating Officer of Apollo Investment Corporation from its inception in February 2004 through February 2006 and served as President and Chief Operating Officer of that company from February 2006 through November 2006. Mr. Penn was formerly a managing partner of Apollo Value Fund L.P. (formerly Apollo Distressed Investment Fund, L.P.) from 2003 through November 2006. From 2002 to 2003, prior to joining Apollo, Mr. Penn was a managing director of CDC-IXIS Capital Markets.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From 1992 to 1994, Mr. Penn served as Head of High Yield Capital Markets at Lehman Brothers. Mr. Penn graduated from the University of Pennsylvania’s Wharton School of Business with a B.S. and M.B.A. in Finance.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appointed.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members of the audit committee are , and , each of whom is independent for purposes of the 1940 Act and The Nasdaq Global Market corporate governance regulations. · serves as chairman of the audit committee. The audit committee is responsible for approving our independent accountants, reviewing with our independent accountants the plans and results of the audit engagement, approving professional services provided by our independent accountants, reviewing the independence of our independent accountants and reviewing the adequacy of our internal accounting controls. The audit committee is also responsible for aiding our board of directors in fair value pricing debt and equity securities that are not publicly traded or for which current market values are not readily available. The board of directors and audit committee will use the services of nationally recognized independent valuation firms to help them determine the fair value of these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members of the nominating and corporate governance committee are , and , each of whom is independent for purposes of the 1940 Act and the corporate governance regulations of The Nasdaq Global Market. serves as chairman of the nominating and corporate governance committee. The</w:t>
      </w:r>
    </w:p>
    <w:p>
      <w:pPr>
        <w:jc w:val="both"/>
        <w:ind w:right="260"/>
        <w:spacing w:after="0" w:line="255" w:lineRule="auto"/>
        <w:rPr>
          <w:sz w:val="20"/>
          <w:szCs w:val="20"/>
          <w:color w:val="auto"/>
        </w:rPr>
      </w:pPr>
      <w:r>
        <w:rPr>
          <w:rFonts w:ascii="Arial" w:cs="Arial" w:eastAsia="Arial" w:hAnsi="Arial"/>
          <w:sz w:val="18"/>
          <w:szCs w:val="18"/>
          <w:color w:val="auto"/>
        </w:rPr>
        <w:t>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will not have a compensation committee because our executive officers will not receive any direct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independent directors each will receive an annual fee of $75,000. They will also receive $2,500 plus reimbursement of reasonable out-of-pocket expenses incurred in connection with attending each board meeting and will receive $1,000 plus reimbursement of reasonable out-of-pocket expenses incurred in connection with attending each committee meeting. In addition, the Chairman of the Audit Committee will receive an annual fee of $7,500 and each chairman of any other committee will receive an annual fee of $2,500 for their additional services in these capacities. In addition, we will purchase directors’ and officers’ liability insurance on behalf of our directors and officers. Independent directors will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None of our officers will receive direct compensation from Pennant. We expect to retain a chief financial officer and a chief compliance officer promptly after completion of this offering. Mr. Penn will serve as our interim Chief Compliance Officer until our Board of Directors has approved a permanent chief compliance officer. The compensation of our permanent chief financial officer and chief compliance officer, once retained, will be paid by Pennant Administration, subject to reimbursement by us of an allocable portion of such compensation for services rendered by him to Pennant. To the extent that our administrator outsources any of its functions we will pay the fees associated with such functions on a direct basis without profit to the administrators. Mr. Penn will receive no compensation for his service as interim Chief Compliance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Pennant Investment Advisers and Pennant Investment Corporation have entered into an Interim Management Agreement whereby Pennant Investment Advisers will provide investment management services to Pennant Investment Corporation prior to consummation of this offering. Under the Interim Management Agreement, Pennant Investment Advisers will be reimbursed for expenses and will not receive a management or incentive fee under this agreement. Prior to the closing of this offering, Pennant Investment Advisers will register with the SEC as an investment adviser and Pennant Investment Corporation and Pennant Investment Advisers will enter into the Investment Management Agreement in accordance with the 1940 Act whereby Pennant Investment Advisers will serve as our investment adviser subsequent to consummation of this offering. Subject to the overall supervision of our board of directors, the investment adviser will manage the day-to-day operations of, and provide investment management services to, Pennant. Under the terms of the Interim Investment Management Agreement and the Investment Management Agreement, Pennant Investment Advisers will:</w:t>
      </w:r>
    </w:p>
    <w:p>
      <w:pPr>
        <w:spacing w:after="0" w:line="3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identify, evaluate and negotiate the structure of the investments we make (including performing due diligence on our prospective portfolio companies);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 and monitor the investments we make.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Pennant Investment Advisers’ services under the Interim Management Agreement and the Investment Management Agreement are not exclusive, and it is free to furnish similar services to other entities so long as its services to us are not impaired.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Pursuant to the Investment Management Agreement in effect subsequent to completion of this offering, we will pay Pennant Investment Advisers a fee for investment management services consisting of two components—a base management fee and an incentive fee.</w:t>
      </w:r>
    </w:p>
    <w:p>
      <w:pPr>
        <w:spacing w:after="0" w:line="132"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The base management fee will be calculated at an annual rate of 2.00% of our gross assets. For services rendered under the investment advisory and management agreement during the period commencing from the closing of this offering through and including the first six months of operations, the base management fee will be payable monthly in arrears. For services rendered under the investment advisory and management agreement after that time, the base management fee will be payable quarterly in arrears. For the first quarter of our operations, the base management fee will be calculated based on the initial value of our gross assets.</w:t>
      </w:r>
    </w:p>
    <w:p>
      <w:pPr>
        <w:spacing w:after="0" w:line="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Subsequently, the base management fee will be calculated based on the average value of our gross assets at the end of the two most recently completed calendar quarters, and appropriately adjusted for any share issuances or repurchases during the current calendar quarter. Base investment advisory fees for any partial month or quarter will be appropriately pro rated.</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gross assets used to calculate the 2.00% base management fee. We will pay Pennant Investment Advisers an incentive fee with respect to our Pre-Incentive Fee Net Investment Income in each calendar quarter as follows:</w:t>
      </w:r>
    </w:p>
    <w:p>
      <w:pPr>
        <w:spacing w:after="0" w:line="43" w:lineRule="exact"/>
        <w:rPr>
          <w:sz w:val="20"/>
          <w:szCs w:val="20"/>
          <w:color w:val="auto"/>
        </w:rPr>
      </w:pPr>
    </w:p>
    <w:p>
      <w:pPr>
        <w:ind w:left="5620" w:right="158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1.75%; 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323"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16" w:lineRule="exact"/>
        <w:rPr>
          <w:rFonts w:ascii="Arial" w:cs="Arial" w:eastAsia="Arial" w:hAnsi="Arial"/>
          <w:sz w:val="15"/>
          <w:szCs w:val="15"/>
          <w:color w:val="auto"/>
        </w:rPr>
      </w:pPr>
    </w:p>
    <w:p>
      <w:pPr>
        <w:jc w:val="both"/>
        <w:ind w:left="46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These calculations will be appropriately pro rated for any period of less than three months and adjusted for any share issuances or repurchases during the current quarter.</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(base management fee + other expenses)) = 0.55%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(base management fee + other expenses)) = 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 w:lineRule="exact"/>
        <w:rPr>
          <w:sz w:val="20"/>
          <w:szCs w:val="20"/>
          <w:color w:val="auto"/>
        </w:rPr>
      </w:pPr>
    </w:p>
    <w:p>
      <w:pPr>
        <w:ind w:left="1900" w:hanging="145"/>
        <w:spacing w:after="0"/>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1900" w:hanging="145"/>
        <w:spacing w:after="0"/>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1900" w:hanging="145"/>
        <w:spacing w:after="0"/>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1900" w:hanging="145"/>
        <w:spacing w:after="0"/>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(base management fee + other expenses)) = 2.30%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2.1875% – 1.75%</w:t>
      </w:r>
    </w:p>
    <w:p>
      <w:pPr>
        <w:spacing w:after="0" w:line="15" w:lineRule="exact"/>
        <w:rPr>
          <w:sz w:val="20"/>
          <w:szCs w:val="20"/>
          <w:color w:val="auto"/>
        </w:rPr>
      </w:pPr>
    </w:p>
    <w:p>
      <w:pPr>
        <w:ind w:left="600" w:hanging="136"/>
        <w:spacing w:after="0"/>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0.4375%</w:t>
      </w:r>
    </w:p>
    <w:p>
      <w:pPr>
        <w:spacing w:after="0" w:line="9" w:lineRule="exact"/>
        <w:rPr>
          <w:rFonts w:ascii="Arial" w:cs="Arial" w:eastAsia="Arial" w:hAnsi="Arial"/>
          <w:sz w:val="18"/>
          <w:szCs w:val="18"/>
          <w:color w:val="auto"/>
        </w:rPr>
      </w:pPr>
    </w:p>
    <w:p>
      <w:pPr>
        <w:ind w:left="460" w:right="7400" w:firstLine="4"/>
        <w:spacing w:after="0" w:line="250" w:lineRule="auto"/>
        <w:tabs>
          <w:tab w:leader="none" w:pos="603"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(100% x 0.4375%) + (20% x (2.3% – 2.1875%)) =0.4375% + (20% x 0.1125%)</w:t>
      </w:r>
    </w:p>
    <w:p>
      <w:pPr>
        <w:ind w:left="600" w:hanging="136"/>
        <w:spacing w:after="0"/>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0.4375% + 0.225%</w:t>
      </w:r>
    </w:p>
    <w:p>
      <w:pPr>
        <w:spacing w:after="0" w:line="9" w:lineRule="exact"/>
        <w:rPr>
          <w:rFonts w:ascii="Arial" w:cs="Arial" w:eastAsia="Arial" w:hAnsi="Arial"/>
          <w:sz w:val="18"/>
          <w:szCs w:val="18"/>
          <w:color w:val="auto"/>
        </w:rPr>
      </w:pPr>
    </w:p>
    <w:p>
      <w:pPr>
        <w:ind w:left="600" w:hanging="136"/>
        <w:spacing w:after="0"/>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2.0%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6000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color w:val="auto"/>
        </w:rPr>
        <w:t>Year 1 incentive fee</w:t>
      </w:r>
      <w:r>
        <w:rPr>
          <w:sz w:val="20"/>
          <w:szCs w:val="20"/>
          <w:color w:val="auto"/>
        </w:rPr>
        <w:tab/>
      </w:r>
      <w:r>
        <w:rPr>
          <w:rFonts w:ascii="Arial" w:cs="Arial" w:eastAsia="Arial" w:hAnsi="Arial"/>
          <w:sz w:val="16"/>
          <w:szCs w:val="16"/>
          <w:color w:val="auto"/>
        </w:rPr>
        <w:t>= 20% x (0)</w:t>
      </w:r>
    </w:p>
    <w:p>
      <w:pPr>
        <w:spacing w:after="0" w:line="15" w:lineRule="exact"/>
        <w:rPr>
          <w:sz w:val="20"/>
          <w:szCs w:val="20"/>
          <w:color w:val="auto"/>
        </w:rPr>
      </w:pPr>
    </w:p>
    <w:p>
      <w:pPr>
        <w:ind w:left="2200" w:hanging="153"/>
        <w:spacing w:after="0"/>
        <w:tabs>
          <w:tab w:leader="none" w:pos="2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rFonts w:ascii="Arial" w:cs="Arial" w:eastAsia="Arial" w:hAnsi="Arial"/>
          <w:sz w:val="18"/>
          <w:szCs w:val="18"/>
          <w:color w:val="auto"/>
        </w:rPr>
      </w:pPr>
    </w:p>
    <w:p>
      <w:pPr>
        <w:ind w:left="2200" w:hanging="153"/>
        <w:spacing w:after="0"/>
        <w:tabs>
          <w:tab w:leader="none" w:pos="2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incentive fee</w:t>
      </w:r>
    </w:p>
    <w:p>
      <w:pPr>
        <w:spacing w:after="0" w:line="219" w:lineRule="exact"/>
        <w:rPr>
          <w:sz w:val="20"/>
          <w:szCs w:val="20"/>
          <w:color w:val="auto"/>
        </w:rPr>
      </w:pPr>
    </w:p>
    <w:p>
      <w:pPr>
        <w:ind w:left="2200" w:hanging="153"/>
        <w:spacing w:after="0"/>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20% x 5%</w:t>
      </w:r>
    </w:p>
    <w:p>
      <w:pPr>
        <w:spacing w:after="0" w:line="15" w:lineRule="exact"/>
        <w:rPr>
          <w:rFonts w:ascii="Arial" w:cs="Arial" w:eastAsia="Arial" w:hAnsi="Arial"/>
          <w:sz w:val="18"/>
          <w:szCs w:val="18"/>
          <w:color w:val="auto"/>
        </w:rPr>
      </w:pPr>
    </w:p>
    <w:p>
      <w:pPr>
        <w:ind w:left="2200" w:hanging="153"/>
        <w:spacing w:after="0"/>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1%</w:t>
      </w: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00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will be provided and paid for by Pennant Administration. We will bear all other costs and expenses of our operations and transactions, including (without limitation):</w:t>
      </w:r>
    </w:p>
    <w:p>
      <w:pPr>
        <w:spacing w:after="0" w:line="2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and applicable federal and state securities laws; and</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other expenses incurred by either Pennant Administration or us in connection with organization and offering, administering our business, including payments under the administration agreement that will be based upon our allocable portion of overhead and other expenses incurred by Pennant Administration in performing its obligations under the administration agreement, including rend and our allocable portion of the costs of compensation and related expenses of our chief compliance officer and chief financial officer and their respective staffs.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Investment Management Agreement was approved by our board of directors, including a majority of our directors who are not interested persons of Pennant,</w:t>
      </w:r>
    </w:p>
    <w:p>
      <w:pPr>
        <w:spacing w:after="0" w:line="5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 2007. Unless terminated earlier as described below, the Investment Management Agreement will continue in effect for a period of two years from its effective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of the Interim Management Agreement and Investment Management Agreement provide that, absent willful misfeasance, bad faith or gross negligence in the performance of its duties or by reason of the reckless disregard of its duties and obligations, Pennant Investment Advisers and its officers, managers, partners, agents, employees, controlling persons, members and any other person or entity affiliated with it are entitled to indemnification from Pennant for any damages, liabilities, costs and expenses (including reasonable attorneys’ fees and amounts reasonably paid in settlement) arising from the rendering of Pennant Investment Advisers’ services under each respective agreement or otherwise as an investment adviser of Pennant.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the Investment Adviser</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Pennant Investment Advisers is a newly formed Delaware limited liability company that intends to register as an investment adviser under the Advisers Act prior to completion of this offering. The principal executive offices of Pennant Investment Advisers are located at 445 Park Avenue, New York, NY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96"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Our board of directors determined at a meeting held on</w:t>
      </w:r>
      <w:r>
        <w:rPr>
          <w:sz w:val="20"/>
          <w:szCs w:val="20"/>
          <w:color w:val="auto"/>
        </w:rPr>
        <w:tab/>
      </w:r>
      <w:r>
        <w:rPr>
          <w:rFonts w:ascii="Arial" w:cs="Arial" w:eastAsia="Arial" w:hAnsi="Arial"/>
          <w:sz w:val="15"/>
          <w:szCs w:val="15"/>
          <w:color w:val="auto"/>
        </w:rPr>
        <w:t>, 2007, to approve the Investment Management Agreement. In its consideration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Agreement, the board of directors focused on information it had received relating to, among other things:</w:t>
      </w:r>
    </w:p>
    <w:p>
      <w:pPr>
        <w:spacing w:after="0" w:line="8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investment adviser;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comparative data with respect to advisory fees or similar expenses paid by other business development companies with similar investment objectives;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business development companies with similar investment objectives;</w:t>
      </w:r>
    </w:p>
    <w:p>
      <w:pPr>
        <w:spacing w:after="0" w:line="9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the investment adviser or Pennant Administration from their relationships with us and the profitability of those relationships;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such services under the investment advisory and management agreement;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investment adviser and its affiliates;</w:t>
      </w:r>
    </w:p>
    <w:p>
      <w:pPr>
        <w:spacing w:after="0" w:line="9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investment adviser’s practices regarding the selection and compensation of brokers that may execute our portfolio transactions and the brokers’ provision of brokerage and research services to the investment adviser;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 party service providers or through an internally managed structure.</w:t>
      </w:r>
    </w:p>
    <w:p>
      <w:pPr>
        <w:spacing w:after="0" w:line="17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Based on the information reviewed and further discussions, the board of directors, including a majority of the non-interested directors, concluded that the investment advisory fee rates were reasonable in relation to the services to be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an administration agreement, Pennant Administration will furnish us with office facilities, equipment and clerical, bookkeeping and record keeping services at such facilities. Under the administration agreement, Pennant Administration also will perform, or oversee the performance of, our required administrative services, which include, among other things, being responsible for the financial records which we are required to maintain and preparing reports to our stockholders and reports filed with the SEC. In addition, Pennant Administration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Pennant Administration’s overhead in performing its obligations under the administration agreement, including rent and our allocable portion of the cost of our chief compliance officer and chief financial officer and their respective staffs. Under the administration agreement, Pennant Administration will also provide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Pennant Administration has also entered into a sub-administration agreement with pursuant to which will provide all administrative services discussed below until Pennant and Pennant Administration retain a chief financial officer or hire employees who can perform these tasks. Consistent with the</w:t>
      </w:r>
    </w:p>
    <w:p>
      <w:pPr>
        <w:spacing w:after="0"/>
        <w:tabs>
          <w:tab w:leader="none" w:pos="4820" w:val="left"/>
        </w:tabs>
        <w:rPr>
          <w:sz w:val="20"/>
          <w:szCs w:val="20"/>
          <w:color w:val="auto"/>
        </w:rPr>
      </w:pPr>
      <w:r>
        <w:rPr>
          <w:rFonts w:ascii="Arial" w:cs="Arial" w:eastAsia="Arial" w:hAnsi="Arial"/>
          <w:sz w:val="18"/>
          <w:szCs w:val="18"/>
          <w:color w:val="auto"/>
        </w:rPr>
        <w:t>administration agreement described above, the cost of the</w:t>
      </w:r>
      <w:r>
        <w:rPr>
          <w:sz w:val="20"/>
          <w:szCs w:val="20"/>
          <w:color w:val="auto"/>
        </w:rPr>
        <w:tab/>
      </w:r>
      <w:r>
        <w:rPr>
          <w:rFonts w:ascii="Arial" w:cs="Arial" w:eastAsia="Arial" w:hAnsi="Arial"/>
          <w:sz w:val="15"/>
          <w:szCs w:val="15"/>
          <w:color w:val="auto"/>
        </w:rPr>
        <w:t>sub-administration agreement will be reimbursed by Pennant to Pennant Administration.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Pennant Administration and its officers, manager, partners, agents, employees, controlling persons, members and any other person or entity affiliated with it are entitled to indemnification from Pennant for any damages, liabilities, costs and expenses (including reasonable attorneys’ fees and amounts reasonably paid in settlement) arising from the rendering of Pennant Administration’s services under the administration agreement or otherwise as administrator for Pennant.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We have entered into a license agreement with Pennant Investment Advisers pursuant to which Pennant Investment Advisers has agreed to grant us a non-exclusive, royalty-free license to use the name “Pennant”. Under this agreement, we will have a right to use the Pennant name, for so long as Pennant Investment Advisers or one of its affiliates remains our investment adviser. Other than with respect to this limited license, we will have no legal right to the “Pennant” name. This license agreement will remain in effect for so long as the investment advisory and management agreement with our investment adviser is in effect.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entered into the Interim Investment Management Agreement and upon the closing of this offering, we will have entered into the Investment Management Agreement with Pennant Investment Advisers, in which the chairman of our board of directors and our chief executive officer has ownership and financial interests. The chief financial officer and chief compliance officer we expect to retain promptly after this offering, and the other investment professionals our investment adviser we will retain after this offering may also serve as principals of other investment managers affiliated with Pennant Investment Advisers that may in the future manage investment funds with investment objectives similar to ours. In addition, our current executive officers and directors, the chief financial officer and chief compliance officer we expect to retain after this offering, and the other senior investment professionals our investment adviser will retain subsequent to this offering, serve or may serve as officers, directors or principals of entities that operate or may operate in the same or related line of business as we do or of investment funds managed by our affiliates. Accordingly, we may not be given the opportunity to participate in certain investments made by investment funds managed by advisers affiliated with Pennant Investment Advisers. However, our investment adviser intends to allocate investment opportunities in a fair and equitable manner consistent with our investment objectives and strategies so that we are not disadvantaged in relation to any other client of our investment adviser. See “Risk Factors—Risks relating to our business and structure—There are significant potential conflicts of interest which could impact our investment returns.”</w:t>
      </w:r>
    </w:p>
    <w:p>
      <w:pPr>
        <w:spacing w:after="0" w:line="12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have entered into a license agreement with Pennant Investment Advisers, pursuant to which Pennant Investment Advisers has agreed to grant us a non-exclusive, royalty-free license to use the name “Pennant”.</w:t>
      </w:r>
    </w:p>
    <w:p>
      <w:pPr>
        <w:spacing w:after="0" w:line="13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 addition, pursuant to the terms of the administration agreement, Pennant Administration provides us with the office facilities and administrative services necessary to conduct our day-to-day operations. Pennant Investment Advisers is the sole member of and controls Pennant Administration.</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Borrower has entered into the Credit Facility with Bear Stearn, one of the underwriters for this offering, to use advances thereunder to acquire interests in certain senior secured loans that will comprise our initial investment portfolio upon the consummation of this offering.</w:t>
      </w:r>
    </w:p>
    <w:p>
      <w:pPr>
        <w:spacing w:after="0" w:line="132" w:lineRule="exact"/>
        <w:rPr>
          <w:sz w:val="20"/>
          <w:szCs w:val="20"/>
          <w:color w:val="auto"/>
        </w:rPr>
      </w:pPr>
    </w:p>
    <w:p>
      <w:pPr>
        <w:spacing w:after="0"/>
        <w:tabs>
          <w:tab w:leader="none" w:pos="1820" w:val="left"/>
          <w:tab w:leader="none" w:pos="5220" w:val="left"/>
        </w:tabs>
        <w:rPr>
          <w:sz w:val="20"/>
          <w:szCs w:val="20"/>
          <w:color w:val="auto"/>
        </w:rPr>
      </w:pPr>
      <w:r>
        <w:rPr>
          <w:rFonts w:ascii="Arial" w:cs="Arial" w:eastAsia="Arial" w:hAnsi="Arial"/>
          <w:sz w:val="18"/>
          <w:szCs w:val="18"/>
          <w:color w:val="auto"/>
        </w:rPr>
        <w:t>Mr. Penn purchased</w:t>
      </w:r>
      <w:r>
        <w:rPr>
          <w:sz w:val="20"/>
          <w:szCs w:val="20"/>
          <w:color w:val="auto"/>
        </w:rPr>
        <w:tab/>
      </w:r>
      <w:r>
        <w:rPr>
          <w:rFonts w:ascii="Arial" w:cs="Arial" w:eastAsia="Arial" w:hAnsi="Arial"/>
          <w:sz w:val="18"/>
          <w:szCs w:val="18"/>
          <w:color w:val="auto"/>
        </w:rPr>
        <w:t>shares of common stock from Pennant at $</w:t>
      </w:r>
      <w:r>
        <w:rPr>
          <w:sz w:val="20"/>
          <w:szCs w:val="20"/>
          <w:color w:val="auto"/>
        </w:rPr>
        <w:tab/>
      </w:r>
      <w:r>
        <w:rPr>
          <w:rFonts w:ascii="Arial" w:cs="Arial" w:eastAsia="Arial" w:hAnsi="Arial"/>
          <w:sz w:val="16"/>
          <w:szCs w:val="16"/>
          <w:color w:val="auto"/>
        </w:rPr>
        <w:t>per share for a total of $1 million for the purpose of capitalizing the borrower.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Immediately prior to the completion of this offering, there will be · shares of common stock outstanding and one stockholder of record. At that time, we will have no other shares of capital stock outstanding. The following table sets forth certain ownership information with respect to our common stock for those persons who directly or indirectly own, control or hold with the power to vote, 5% or more of our outstanding common stock and all officers and directors, as a group.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Percentage of common stock outstanding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gridSpan w:val="3"/>
          </w:tcPr>
          <w:p>
            <w:pPr>
              <w:jc w:val="center"/>
              <w:ind w:right="1040"/>
              <w:spacing w:after="0" w:line="130" w:lineRule="exact"/>
              <w:rPr>
                <w:sz w:val="20"/>
                <w:szCs w:val="20"/>
                <w:color w:val="auto"/>
              </w:rPr>
            </w:pPr>
            <w:r>
              <w:rPr>
                <w:rFonts w:ascii="Arial" w:cs="Arial" w:eastAsia="Arial" w:hAnsi="Arial"/>
                <w:sz w:val="14"/>
                <w:szCs w:val="14"/>
                <w:b w:val="1"/>
                <w:bCs w:val="1"/>
                <w:color w:val="auto"/>
                <w:w w:val="88"/>
              </w:rPr>
              <w:t>Immediately</w:t>
            </w:r>
          </w:p>
        </w:tc>
        <w:tc>
          <w:tcPr>
            <w:tcW w:w="400" w:type="dxa"/>
            <w:vAlign w:val="bottom"/>
          </w:tcPr>
          <w:p>
            <w:pPr>
              <w:spacing w:after="0"/>
              <w:rPr>
                <w:sz w:val="11"/>
                <w:szCs w:val="11"/>
                <w:color w:val="auto"/>
              </w:rPr>
            </w:pPr>
          </w:p>
        </w:tc>
        <w:tc>
          <w:tcPr>
            <w:tcW w:w="1160" w:type="dxa"/>
            <w:vAlign w:val="bottom"/>
            <w:gridSpan w:val="2"/>
          </w:tcPr>
          <w:p>
            <w:pPr>
              <w:jc w:val="center"/>
              <w:ind w:right="332"/>
              <w:spacing w:after="0" w:line="130" w:lineRule="exact"/>
              <w:rPr>
                <w:sz w:val="20"/>
                <w:szCs w:val="20"/>
                <w:color w:val="auto"/>
              </w:rPr>
            </w:pPr>
            <w:r>
              <w:rPr>
                <w:rFonts w:ascii="Arial" w:cs="Arial" w:eastAsia="Arial" w:hAnsi="Arial"/>
                <w:sz w:val="14"/>
                <w:szCs w:val="14"/>
                <w:b w:val="1"/>
                <w:bCs w:val="1"/>
                <w:color w:val="auto"/>
                <w:w w:val="88"/>
              </w:rPr>
              <w:t>Immediately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prior to this</w:t>
            </w:r>
          </w:p>
        </w:tc>
        <w:tc>
          <w:tcPr>
            <w:tcW w:w="400" w:type="dxa"/>
            <w:vAlign w:val="bottom"/>
          </w:tcPr>
          <w:p>
            <w:pPr>
              <w:spacing w:after="0"/>
              <w:rPr>
                <w:sz w:val="12"/>
                <w:szCs w:val="12"/>
                <w:color w:val="auto"/>
              </w:rPr>
            </w:pPr>
          </w:p>
        </w:tc>
        <w:tc>
          <w:tcPr>
            <w:tcW w:w="116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7"/>
              </w:rPr>
              <w:t>after this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offering</w:t>
            </w:r>
          </w:p>
        </w:tc>
        <w:tc>
          <w:tcPr>
            <w:tcW w:w="400" w:type="dxa"/>
            <w:vAlign w:val="bottom"/>
          </w:tcPr>
          <w:p>
            <w:pPr>
              <w:spacing w:after="0"/>
              <w:rPr>
                <w:sz w:val="15"/>
                <w:szCs w:val="15"/>
                <w:color w:val="auto"/>
              </w:rPr>
            </w:pPr>
          </w:p>
        </w:tc>
        <w:tc>
          <w:tcPr>
            <w:tcW w:w="116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7"/>
              </w:rPr>
              <w:t>offering (1)</w:t>
            </w:r>
          </w:p>
        </w:tc>
        <w:tc>
          <w:tcPr>
            <w:tcW w:w="0" w:type="dxa"/>
            <w:vAlign w:val="bottom"/>
          </w:tcPr>
          <w:p>
            <w:pPr>
              <w:spacing w:after="0"/>
              <w:rPr>
                <w:sz w:val="1"/>
                <w:szCs w:val="1"/>
                <w:color w:val="auto"/>
              </w:rPr>
            </w:pPr>
          </w:p>
        </w:tc>
      </w:tr>
      <w:tr>
        <w:trPr>
          <w:trHeight w:val="130"/>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b w:val="1"/>
                <w:bCs w:val="1"/>
                <w:color w:val="auto"/>
                <w:w w:val="81"/>
              </w:rPr>
              <w:t>Shares</w:t>
            </w:r>
          </w:p>
        </w:tc>
        <w:tc>
          <w:tcPr>
            <w:tcW w:w="5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b w:val="1"/>
                <w:bCs w:val="1"/>
                <w:color w:val="auto"/>
                <w:w w:val="81"/>
              </w:rPr>
              <w:t>Shares</w:t>
            </w:r>
          </w:p>
        </w:tc>
        <w:tc>
          <w:tcPr>
            <w:tcW w:w="5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40" w:type="dxa"/>
            <w:vAlign w:val="bottom"/>
            <w:gridSpan w:val="3"/>
            <w:vMerge w:val="continue"/>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5"/>
              </w:rPr>
              <w:t>Type of ownership</w:t>
            </w: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1"/>
              </w:rPr>
              <w:t>owned</w:t>
            </w:r>
          </w:p>
        </w:tc>
        <w:tc>
          <w:tcPr>
            <w:tcW w:w="520" w:type="dxa"/>
            <w:vAlign w:val="bottom"/>
          </w:tcPr>
          <w:p>
            <w:pPr>
              <w:spacing w:after="0"/>
              <w:rPr>
                <w:sz w:val="13"/>
                <w:szCs w:val="13"/>
                <w:color w:val="auto"/>
              </w:rPr>
            </w:pPr>
          </w:p>
        </w:tc>
        <w:tc>
          <w:tcPr>
            <w:tcW w:w="128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2"/>
              </w:rPr>
              <w:t>Percentage</w:t>
            </w: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1"/>
              </w:rPr>
              <w:t>owned</w:t>
            </w:r>
          </w:p>
        </w:tc>
        <w:tc>
          <w:tcPr>
            <w:tcW w:w="520" w:type="dxa"/>
            <w:vAlign w:val="bottom"/>
          </w:tcPr>
          <w:p>
            <w:pPr>
              <w:spacing w:after="0"/>
              <w:rPr>
                <w:sz w:val="13"/>
                <w:szCs w:val="13"/>
                <w:color w:val="auto"/>
              </w:rPr>
            </w:pPr>
          </w:p>
        </w:tc>
        <w:tc>
          <w:tcPr>
            <w:tcW w:w="640" w:type="dxa"/>
            <w:vAlign w:val="bottom"/>
          </w:tcPr>
          <w:p>
            <w:pPr>
              <w:spacing w:after="0" w:line="148"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680" w:type="dxa"/>
            <w:vAlign w:val="bottom"/>
            <w:tcBorders>
              <w:top w:val="single" w:sz="8" w:color="auto"/>
            </w:tcBorders>
          </w:tcPr>
          <w:p>
            <w:pPr>
              <w:spacing w:after="0"/>
              <w:rPr>
                <w:sz w:val="9"/>
                <w:szCs w:val="9"/>
                <w:color w:val="auto"/>
              </w:rPr>
            </w:pPr>
          </w:p>
        </w:tc>
        <w:tc>
          <w:tcPr>
            <w:tcW w:w="29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Direct</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40" w:type="dxa"/>
            <w:vAlign w:val="bottom"/>
            <w:gridSpan w:val="3"/>
          </w:tcPr>
          <w:p>
            <w:pPr>
              <w:spacing w:after="0"/>
              <w:rPr>
                <w:sz w:val="20"/>
                <w:szCs w:val="20"/>
                <w:color w:val="auto"/>
              </w:rPr>
            </w:pPr>
            <w:r>
              <w:rPr>
                <w:rFonts w:ascii="Arial" w:cs="Arial" w:eastAsia="Arial" w:hAnsi="Arial"/>
                <w:sz w:val="18"/>
                <w:szCs w:val="18"/>
                <w:color w:val="auto"/>
                <w:w w:val="89"/>
              </w:rPr>
              <w:t xml:space="preserve">All officers and directors as a group </w:t>
            </w:r>
            <w:r>
              <w:rPr>
                <w:rFonts w:ascii="Arial" w:cs="Arial" w:eastAsia="Arial" w:hAnsi="Arial"/>
                <w:sz w:val="18"/>
                <w:szCs w:val="18"/>
                <w:i w:val="1"/>
                <w:iCs w:val="1"/>
                <w:color w:val="auto"/>
                <w:w w:val="89"/>
              </w:rPr>
              <w:t>(</w:t>
            </w:r>
          </w:p>
        </w:tc>
        <w:tc>
          <w:tcPr>
            <w:tcW w:w="5020" w:type="dxa"/>
            <w:vAlign w:val="bottom"/>
            <w:gridSpan w:val="4"/>
          </w:tcPr>
          <w:p>
            <w:pPr>
              <w:ind w:left="220"/>
              <w:spacing w:after="0"/>
              <w:rPr>
                <w:sz w:val="20"/>
                <w:szCs w:val="20"/>
                <w:color w:val="auto"/>
              </w:rPr>
            </w:pPr>
            <w:r>
              <w:rPr>
                <w:rFonts w:ascii="Arial" w:cs="Arial" w:eastAsia="Arial" w:hAnsi="Arial"/>
                <w:sz w:val="18"/>
                <w:szCs w:val="18"/>
                <w:i w:val="1"/>
                <w:iCs w:val="1"/>
                <w:color w:val="auto"/>
              </w:rPr>
              <w:t>persons)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60" w:type="dxa"/>
            <w:vAlign w:val="bottom"/>
            <w:tcBorders>
              <w:bottom w:val="single" w:sz="8" w:color="auto"/>
            </w:tcBorders>
            <w:gridSpan w:val="2"/>
          </w:tcPr>
          <w:p>
            <w:pPr>
              <w:spacing w:after="0"/>
              <w:rPr>
                <w:sz w:val="9"/>
                <w:szCs w:val="9"/>
                <w:color w:val="auto"/>
              </w:rPr>
            </w:pPr>
          </w:p>
        </w:tc>
        <w:tc>
          <w:tcPr>
            <w:tcW w:w="1680" w:type="dxa"/>
            <w:vAlign w:val="bottom"/>
          </w:tcPr>
          <w:p>
            <w:pPr>
              <w:spacing w:after="0"/>
              <w:rPr>
                <w:sz w:val="9"/>
                <w:szCs w:val="9"/>
                <w:color w:val="auto"/>
              </w:rPr>
            </w:pPr>
          </w:p>
        </w:tc>
        <w:tc>
          <w:tcPr>
            <w:tcW w:w="878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(1)   Assumes issuance of</w:t>
            </w:r>
          </w:p>
        </w:tc>
        <w:tc>
          <w:tcPr>
            <w:tcW w:w="8780" w:type="dxa"/>
            <w:vAlign w:val="bottom"/>
            <w:gridSpan w:val="11"/>
          </w:tcPr>
          <w:p>
            <w:pPr>
              <w:ind w:left="20"/>
              <w:spacing w:after="0"/>
              <w:rPr>
                <w:sz w:val="20"/>
                <w:szCs w:val="20"/>
                <w:color w:val="auto"/>
              </w:rPr>
            </w:pPr>
            <w:r>
              <w:rPr>
                <w:rFonts w:ascii="Arial" w:cs="Arial" w:eastAsia="Arial" w:hAnsi="Arial"/>
                <w:sz w:val="18"/>
                <w:szCs w:val="18"/>
                <w:color w:val="auto"/>
                <w:w w:val="92"/>
              </w:rPr>
              <w:t>shares offered by this prospectus. Does not reflect shares of common stock reserved for issuance upon exercise of the</w:t>
            </w: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8"/>
          <w:szCs w:val="18"/>
          <w:color w:val="auto"/>
        </w:rPr>
        <w:t>underwriters’ over-allotment option.</w:t>
      </w:r>
    </w:p>
    <w:p>
      <w:pPr>
        <w:spacing w:after="0" w:line="16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We are not part of a “family of investment companies,” as that term is defined in the 1940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c>
          <w:tcPr>
            <w:tcW w:w="0" w:type="dxa"/>
            <w:vAlign w:val="bottom"/>
          </w:tcPr>
          <w:p>
            <w:pPr>
              <w:spacing w:after="0"/>
              <w:rPr>
                <w:sz w:val="1"/>
                <w:szCs w:val="1"/>
                <w:color w:val="auto"/>
              </w:rPr>
            </w:pPr>
          </w:p>
        </w:tc>
      </w:tr>
      <w:tr>
        <w:trPr>
          <w:trHeight w:val="149"/>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Name of Director</w:t>
            </w:r>
          </w:p>
        </w:tc>
        <w:tc>
          <w:tcPr>
            <w:tcW w:w="16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in</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auto"/>
            </w:tcBorders>
            <w:vMerge w:val="continue"/>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Pennant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Independent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 be appointed)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ind w:left="5620" w:right="3680" w:hanging="5612"/>
        <w:spacing w:after="0" w:line="440" w:lineRule="auto"/>
        <w:tabs>
          <w:tab w:leader="none" w:pos="4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net asset value per share of our outstanding shares of common stock will be determined quarterly by dividing the value of total assets minus liabilities by the total number of shares outstanding.</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calculating the value of our total assets, we will value investments for which market quotations are readily available at such market quotations. Debt and equity securities that are not publicly traded or whose market price is not readily available will be valued at fair value as determined in good faith by our board of directors. As a general rule, loans or debt securities will not be valued above cost, but loans and debt securities will be subject to fair value write-downs when the asset is considered impaired. With respect to private equity securities, each investment will be valued using comparisons of financial ratios of the portfolio companies that issued such private equity securities to peer companies that are public. The value will then be discounted to reflect the illiquid nature of the investment, as well as our minority, non-control position. When an external event such as a purchase transaction, public offering or subsequent equity sale occurs, we will use the pricing indicated by the external event to corroborate our private equity valuation. Because we expect that there will not be a readily available market value for most of the investments in our portfolio, we expect to value substantially all of our portfolio investments at fair value as determined in good faith by our board under a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w:t>
      </w:r>
    </w:p>
    <w:p>
      <w:pPr>
        <w:spacing w:after="0" w:line="12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Our board of directors will discuss valuations and will determine the fair value of each investment in our portfolio in good faith based on the input of our investment adviser, nationally recognized independent valuation firms and audit committee.</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440" w:right="66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440" w:right="20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440" w:right="180" w:hanging="324"/>
        <w:spacing w:after="0" w:line="332"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440" w:right="52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will be required to make the determination that we are not selling shares of our common stock at a price below the then current net asset value of our common stock at the time at which the sale is made. Our board of directors will consider the following factors, among others, in making such determination:</w:t>
      </w:r>
    </w:p>
    <w:p>
      <w:pPr>
        <w:spacing w:after="0" w:line="59" w:lineRule="exact"/>
        <w:rPr>
          <w:sz w:val="20"/>
          <w:szCs w:val="20"/>
          <w:color w:val="auto"/>
        </w:rPr>
      </w:pPr>
    </w:p>
    <w:p>
      <w:pPr>
        <w:ind w:left="5620" w:right="2640" w:hanging="5045"/>
        <w:spacing w:after="0" w:line="440" w:lineRule="auto"/>
        <w:tabs>
          <w:tab w:leader="none" w:pos="8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 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magnitude of the difference between (i) the net asset value of our common stock disclosed in the most recent periodic report that we filed with the SEC and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Importantly, this determination will not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the extent that there is even a remote possibility that we may (i) issue shares of our common stock at a price below the then current net asset value of our common stock at the time at which the sale is made or (ii) trigger the undertaking (which we provide in certain registration statements we file with the SEC) to suspend the offering of shares of our common stock pursuant to this prospectus if the net asset value of our common stock fluctuates by certain amounts in certain circumstances until the prospectus is amended, our board of directors will elect, in the case of clause (i) above, either to postpone the offering until such time that there is no longer the possibility of the occurrence of such event or to undertake to determine the net asset value of our common stock within two days prior to any such sale to ensure that such sale will not be below our then current net asset value, and, in the case of clause (ii) above, to comply with such undertaking or to undertake to determine the net asset value of our common stock to ensure that such undertaking has not been triggered.</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adopt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No action is required on the part of a registered stockholder to have their cash dividend or other distribution reinvested in shares of our common stock. A</w:t>
      </w:r>
    </w:p>
    <w:p>
      <w:pPr>
        <w:spacing w:after="0" w:line="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registered stockholder may elect to receive an entire distribution in cash by notifying ,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-714375</wp:posOffset>
            </wp:positionV>
            <wp:extent cx="8921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Market on the valuation date for such distribution. Market price per share on that date will be the closing price for such shares on The Nasdaq Global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There will be no brokerage charges or other charges to stockholders who participate in the plan. The plan administrator’s fees under the plan will be paid by us. If a participant elects by written notice to the plan administrator to have the plan administrator sell part or all of the shares held by the plan administrator in the</w:t>
      </w:r>
    </w:p>
    <w:p>
      <w:pPr>
        <w:ind w:right="240"/>
        <w:spacing w:after="0" w:line="261" w:lineRule="auto"/>
        <w:rPr>
          <w:sz w:val="20"/>
          <w:szCs w:val="20"/>
          <w:color w:val="auto"/>
        </w:rPr>
      </w:pPr>
      <w:r>
        <w:rPr>
          <w:rFonts w:ascii="Arial" w:cs="Arial" w:eastAsia="Arial" w:hAnsi="Arial"/>
          <w:sz w:val="18"/>
          <w:szCs w:val="18"/>
          <w:color w:val="auto"/>
        </w:rPr>
        <w:t>participant’s account and remit the proceeds to the participant, the plan administrator is authorized to deduct a $ transaction fee plus a per share brokerage commissions from the proceeds.</w:t>
      </w:r>
    </w:p>
    <w:p>
      <w:pPr>
        <w:spacing w:after="0" w:line="1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Participants may terminate their accounts under the plan by notifying the plan administrator via its website at www.amstock.com, by filling out the transaction</w:t>
      </w:r>
    </w:p>
    <w:p>
      <w:pPr>
        <w:spacing w:after="0" w:line="38"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request form located at bottom of their statement and sending it to the plan administrator at</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w:t>
      </w:r>
    </w:p>
    <w:p>
      <w:pPr>
        <w:spacing w:after="0" w:line="38" w:lineRule="exact"/>
        <w:rPr>
          <w:sz w:val="20"/>
          <w:szCs w:val="20"/>
          <w:color w:val="auto"/>
        </w:rPr>
      </w:pPr>
    </w:p>
    <w:p>
      <w:pPr>
        <w:spacing w:after="0"/>
        <w:tabs>
          <w:tab w:leader="none" w:pos="8780" w:val="left"/>
        </w:tabs>
        <w:rPr>
          <w:sz w:val="20"/>
          <w:szCs w:val="20"/>
          <w:color w:val="auto"/>
        </w:rPr>
      </w:pPr>
      <w:r>
        <w:rPr>
          <w:rFonts w:ascii="Arial" w:cs="Arial" w:eastAsia="Arial" w:hAnsi="Arial"/>
          <w:sz w:val="18"/>
          <w:szCs w:val="18"/>
          <w:color w:val="auto"/>
        </w:rPr>
        <w:t>us. All correspondence concerning the plan should be directed to the plan administrator by mail at [</w:t>
      </w:r>
      <w:r>
        <w:rPr>
          <w:sz w:val="20"/>
          <w:szCs w:val="20"/>
          <w:color w:val="auto"/>
        </w:rPr>
        <w:tab/>
      </w:r>
      <w:r>
        <w:rPr>
          <w:rFonts w:ascii="Arial" w:cs="Arial" w:eastAsia="Arial" w:hAnsi="Arial"/>
          <w:sz w:val="15"/>
          <w:szCs w:val="15"/>
          <w:color w:val="auto"/>
        </w:rPr>
        <w:t>], or by telephone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-17780</wp:posOffset>
            </wp:positionV>
            <wp:extent cx="1143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92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a business development company, we intend to elect to be treated as a RIC under Subchapter M of the Code. As a RIC, we generally will not have to pay corporate-level federal income taxes on any ordinary income or capital gains that we distribute to our stockholders as distributions. To qualify as a RIC, we must, among other things, meet certain source-of-income and asset diversification requirements (as described below). In addition, in order to obtain RIC tax benefits we must distribute to our stockholders, for each taxable year, at least 90% of our “investment company taxable income,” which is generally our ordinary income plus the excess of realized net short-term capital gains over realized net long-term capital losses (the “Annual Distribution Requirement”).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440" w:right="220" w:hanging="324"/>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publicly traded partnerships (the “Diversification Tests”).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 Election to be taxed as a RIC”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w:t>
      </w:r>
    </w:p>
    <w:p>
      <w:pPr>
        <w:ind w:right="120" w:firstLine="8"/>
        <w:spacing w:after="0" w:line="254"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generally will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we were unable to qualify for treatment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Our authorized capital stock consists of 100,000 shares of stock, par value $0.001 per share, all of which is initially designated as common stock. There is currently no market for our common stock, and we can offer no assurances that a market for our shares will develop in the future. We have applied to have our</w:t>
      </w:r>
    </w:p>
    <w:p>
      <w:pPr>
        <w:ind w:right="20"/>
        <w:spacing w:after="0" w:line="255" w:lineRule="auto"/>
        <w:rPr>
          <w:sz w:val="20"/>
          <w:szCs w:val="20"/>
          <w:color w:val="auto"/>
        </w:rPr>
      </w:pPr>
      <w:r>
        <w:rPr>
          <w:rFonts w:ascii="Arial" w:cs="Arial" w:eastAsia="Arial" w:hAnsi="Arial"/>
          <w:sz w:val="18"/>
          <w:szCs w:val="18"/>
          <w:color w:val="auto"/>
        </w:rPr>
        <w:t>common stock quoted on The Nasdaq Global Market under the ticker symbol “ ”.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 and are freely transferable, except where their transfer is restricted by federal and state securities laws or by contract. In the event of a liquidation, dissolution or winding up of Pennant,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w:t>
      </w:r>
    </w:p>
    <w:p>
      <w:pPr>
        <w:spacing w:after="0" w:line="1" w:lineRule="exact"/>
        <w:rPr>
          <w:sz w:val="20"/>
          <w:szCs w:val="20"/>
          <w:color w:val="auto"/>
        </w:rPr>
      </w:pPr>
    </w:p>
    <w:p>
      <w:pPr>
        <w:ind w:firstLine="8"/>
        <w:spacing w:after="0" w:line="288"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immediately after issuance and before any distribution is made with respect to our common stock and before any purchase of common stock is made, such preferred stock together with all other senior securities must not exceed an amount equal to 50% of our total assets after deducting the amount of such distribution or purchase price, as the case may be,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Our charter provides that, at such time as we have three independent directors and our common stock is registered under the Exchange Act,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35"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440" w:right="360" w:hanging="324"/>
        <w:spacing w:after="0" w:line="268"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440" w:right="260" w:hanging="324"/>
        <w:spacing w:after="0" w:line="332" w:lineRule="auto"/>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9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are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900" w:right="4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hanging="446"/>
        <w:spacing w:after="0" w:line="335"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We and Pennant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You may also obtain copies of the code of ethics, after paying a duplicating fee, by electronic request at the following Email address: publicinfo@sec.gov, or by writing the SEC’s Public Reference Section, 100 F Street, N.E., Washington, D.C. 20549.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Policies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vote proxies relating to our portfolio securities in what we perceive to be the best interest of our clients’ shareholders.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8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Arthur H. Penn, Chief Executive Officer, 445 Park Avenue, 9th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and Pennant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publicly-held companies and their insiders. Many of these requirements affect us. For example:</w:t>
      </w:r>
    </w:p>
    <w:p>
      <w:pPr>
        <w:spacing w:after="0" w:line="51" w:lineRule="exact"/>
        <w:rPr>
          <w:sz w:val="20"/>
          <w:szCs w:val="20"/>
          <w:color w:val="auto"/>
        </w:rPr>
      </w:pPr>
    </w:p>
    <w:p>
      <w:pPr>
        <w:ind w:left="460" w:right="4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Upon completion of this offering, shares of our common stock will be outstanding, based on the number of shares outstanding on , 2007, assuming no exercise of the underwriters’ over-allotment option. Of these shares, shares of our common stock sold in this offering will be freely</w:t>
      </w:r>
    </w:p>
    <w:p>
      <w:pPr>
        <w:spacing w:after="0" w:line="323" w:lineRule="auto"/>
        <w:rPr>
          <w:sz w:val="20"/>
          <w:szCs w:val="20"/>
          <w:color w:val="auto"/>
        </w:rPr>
      </w:pPr>
      <w:r>
        <w:rPr>
          <w:rFonts w:ascii="Arial" w:cs="Arial" w:eastAsia="Arial" w:hAnsi="Arial"/>
          <w:sz w:val="16"/>
          <w:szCs w:val="16"/>
          <w:color w:val="auto"/>
        </w:rPr>
        <w:t>tradeable without restriction or limitation under the Securities Act, less that number of shares purchased by our affiliates. Any shares purchased in this offering by our affiliates will be subject to the public information, manner of sale and volume limitations of Rule 144 under the Securities Act of 1933.</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under Rule 144 as currently in effect, if one year has elapsed since the date of acquisition of restricted securities from us or any of our affiliates, the holder of such restricted securities can sell such securities; provided that the number of securities sold by such person with any three month period cannot exceed the greater of:</w:t>
      </w:r>
    </w:p>
    <w:p>
      <w:pPr>
        <w:spacing w:after="0" w:line="5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total number of securities then outstanding, or</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weekly trading volume of our securities during the four calendar weeks preceding the date on which notice of the sale is filed with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under Rule 144 also are subject to certain manners of sale provisions, notice requirements and the availability of current public information about us. If two years have elapsed since the date of acquisition of restricted securities from us or any of our affiliates and the holder is not one of our affiliates at any time during the three months preceding the proposed sale, such person can sell such securities in the public market under Rule 144(k) without regard to the volume limitations, manner of sale provisions, public information requirements or notice requirements. No assurance can be given as to (1) the likelihood that an active market for our common stock will develop, (2) the liquidity of any such market, (3) the ability of our stockholders to sell our securities or (4) the prices that stockholders may obtain for any of our securities. No prediction can be made as to the effect, if any, that future sales of securities, or the availability of securities for future sales, will have on the market price prevailing from time to time. Sales of substantial amounts of our securities, or the perception that such sales could occur, may affect adversely prevailing market prices of our common stock. See “Risk Factors—Risks relating to this offering.”</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CUSTODIAN, TRANSFER AND DISTRIBUTION PAYING AGENT AND REGISTRAR</w:t>
      </w:r>
    </w:p>
    <w:p>
      <w:pPr>
        <w:sectPr>
          <w:pgSz w:w="11900" w:h="16838" w:orient="portrait"/>
          <w:cols w:equalWidth="0" w:num="1">
            <w:col w:w="11360"/>
          </w:cols>
          <w:pgMar w:left="240" w:top="459" w:right="29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Our securities are held under a custody agreement 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The address of the custodian is: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will act as our transfer agent, distribution</w:t>
      </w:r>
    </w:p>
    <w:p>
      <w:pPr>
        <w:spacing w:after="0" w:line="38" w:lineRule="exact"/>
        <w:rPr>
          <w:sz w:val="20"/>
          <w:szCs w:val="20"/>
          <w:color w:val="auto"/>
        </w:rPr>
      </w:pPr>
    </w:p>
    <w:p>
      <w:pPr>
        <w:sectPr>
          <w:pgSz w:w="11900" w:h="16838" w:orient="portrait"/>
          <w:cols w:equalWidth="0" w:num="4">
            <w:col w:w="3760" w:space="720"/>
            <w:col w:w="2340" w:space="720"/>
            <w:col w:w="120" w:space="720"/>
            <w:col w:w="298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paying agent and registrar. The principal business address of</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5"/>
          <w:szCs w:val="15"/>
          <w:color w:val="auto"/>
        </w:rPr>
        <w:t>, 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4280" w:space="720"/>
            <w:col w:w="1420" w:space="720"/>
            <w:col w:w="4220"/>
          </w:cols>
          <w:pgMar w:left="240" w:top="459" w:right="299" w:bottom="1440" w:gutter="0" w:footer="0" w:header="0"/>
          <w:type w:val="continuous"/>
        </w:sectPr>
      </w:pP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will be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 taking into account such factors as price (including the applicable brokerage commission or dealer spread), size of order, difficulty of execution, and operational facilities of the firm and the firm’s risk and skill in positioning blocks of securities. While the investment adviser generally will seek reasonably competitive trade execution costs, Pennant will not necessarily pay the lowest spread or commission available. Subject to applicable legal requirements, the investment adviser may select a broker based partly upon brokerage or research services provided to the investment adviser and Pennant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3"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Subject to the terms and conditions described in an underwriting agreement dated</w:t>
      </w:r>
      <w:r>
        <w:rPr>
          <w:sz w:val="20"/>
          <w:szCs w:val="20"/>
          <w:color w:val="auto"/>
        </w:rPr>
        <w:tab/>
      </w:r>
      <w:r>
        <w:rPr>
          <w:rFonts w:ascii="Arial" w:cs="Arial" w:eastAsia="Arial" w:hAnsi="Arial"/>
          <w:sz w:val="15"/>
          <w:szCs w:val="15"/>
          <w:color w:val="auto"/>
        </w:rPr>
        <w:t>, 2006, between us and Bear, Stearns &amp; Co. Inc., Banc of America</w:t>
      </w:r>
    </w:p>
    <w:p>
      <w:pPr>
        <w:spacing w:after="0" w:line="1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Securities LLC, UBS Securities LLC, SunTrust Capital Markets, Inc., Keefe, Bruyette &amp; Woods, Inc. and Friedman, Billings, Ramsey &amp; Co., Inc., as representatives, we have agreed to sell to the underwriters, and the underwriters severally have agreed to purchase from us, the number of shares of common stock listed opposite their names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5"/>
        </w:trPr>
        <w:tc>
          <w:tcPr>
            <w:tcW w:w="101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Bear, Stearns &amp; Co.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SunTrust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Friedman, Billings, Ramsey &amp; Co.,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underwriters have agreed to purchase all of the shares sold under the underwriting agreement if any of the shares are purchased, other than shares covered by the over-allotment option described below. 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6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We have granted the underwriters an option exercisable for 30 days from the date of this prospectus to purchase up to an aggregate of</w:t>
      </w:r>
      <w:r>
        <w:rPr>
          <w:sz w:val="20"/>
          <w:szCs w:val="20"/>
          <w:color w:val="auto"/>
        </w:rPr>
        <w:tab/>
      </w:r>
      <w:r>
        <w:rPr>
          <w:rFonts w:ascii="Arial" w:cs="Arial" w:eastAsia="Arial" w:hAnsi="Arial"/>
          <w:sz w:val="16"/>
          <w:szCs w:val="16"/>
          <w:color w:val="auto"/>
        </w:rPr>
        <w:t>additional</w:t>
      </w: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shares at the public offering price less the underwriting discount. The underwriters may exercise this option solely to cover over-allotments, if any, made in connection with this offering. To the extent the underwriters exercise this option in whole or in part, each will be obligated, subject to conditions contained in the underwriting agreement, to purchase a number of additional shares approximately proportionate to that underwriter’s initial commitment amount reflected in the above table.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69"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At our request, the underwriters have reserved up</w:t>
      </w:r>
      <w:r>
        <w:rPr>
          <w:sz w:val="20"/>
          <w:szCs w:val="20"/>
          <w:color w:val="auto"/>
        </w:rPr>
        <w:tab/>
      </w:r>
      <w:r>
        <w:rPr>
          <w:rFonts w:ascii="Arial" w:cs="Arial" w:eastAsia="Arial" w:hAnsi="Arial"/>
          <w:sz w:val="16"/>
          <w:szCs w:val="16"/>
          <w:color w:val="auto"/>
        </w:rPr>
        <w:t>shares of common stock for sale in this offering at the initial public offering price, directly or</w:t>
      </w:r>
    </w:p>
    <w:p>
      <w:pPr>
        <w:spacing w:after="0" w:line="15"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indirectly, to our directors and officers. The number of shares of common stock available for sale to the general public will be reduced to the extent that these individuals purchase all or a portion of the reserved shares. Any reserved shares that are not purchased may be reallocated to other directors, officers, employees and friends or offered to the general public on the same basis as the other shares of common stock offered by this prospectus. We have agreed to indemnify the underwriters against some liabilities and expenses, including liabilities under the Securities Act, in connection with the sale of the reserved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The underwriters have advised us that they propose initially to offer the shares to the public at the public offering price on the cover page of this prospectus and to</w:t>
      </w:r>
    </w:p>
    <w:p>
      <w:pPr>
        <w:spacing w:after="0" w:line="50" w:lineRule="exact"/>
        <w:rPr>
          <w:sz w:val="20"/>
          <w:szCs w:val="20"/>
          <w:color w:val="auto"/>
        </w:rPr>
      </w:pPr>
    </w:p>
    <w:p>
      <w:pPr>
        <w:ind w:left="400" w:right="260" w:hanging="394"/>
        <w:spacing w:after="0" w:line="250" w:lineRule="auto"/>
        <w:rPr>
          <w:sz w:val="20"/>
          <w:szCs w:val="20"/>
          <w:color w:val="auto"/>
        </w:rPr>
      </w:pPr>
      <w:r>
        <w:rPr>
          <w:rFonts w:ascii="Arial" w:cs="Arial" w:eastAsia="Arial" w:hAnsi="Arial"/>
          <w:sz w:val="18"/>
          <w:szCs w:val="18"/>
          <w:color w:val="auto"/>
        </w:rPr>
        <w:t>dealers at that price less a concession not in excess of $</w:t>
      </w:r>
      <w:r>
        <w:rPr>
          <w:sz w:val="20"/>
          <w:szCs w:val="20"/>
          <w:color w:val="auto"/>
        </w:rPr>
        <w:t xml:space="preserve"> </w:t>
      </w:r>
      <w:r>
        <w:rPr>
          <w:rFonts w:ascii="Arial" w:cs="Arial" w:eastAsia="Arial" w:hAnsi="Arial"/>
          <w:sz w:val="18"/>
          <w:szCs w:val="18"/>
          <w:color w:val="auto"/>
        </w:rPr>
        <w:t>per share. The underwriters may allow, and the dealers may reallow, a discount not in excess of $ per share to other dealers. After the public offering, the public offering price, concession and discount may be changed. No such change, however, shall</w:t>
      </w:r>
    </w:p>
    <w:p>
      <w:pPr>
        <w:spacing w:after="0" w:line="1"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modify the amount of proceeds to be received by us as set forth on the cover page of this prospectus. In connection with this offering, the underwriters may allocate shares to accounts over which they exercise discretionary authority. The underwriters do not intend to confirm sales to any account over which they exercise discretionary authority.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13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With</w:t>
            </w:r>
          </w:p>
        </w:tc>
        <w:tc>
          <w:tcPr>
            <w:tcW w:w="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Over-</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40" w:type="dxa"/>
            <w:vAlign w:val="bottom"/>
            <w:vMerge w:val="restart"/>
          </w:tcPr>
          <w:p>
            <w:pPr>
              <w:jc w:val="right"/>
              <w:ind w:right="2512"/>
              <w:spacing w:after="0"/>
              <w:rPr>
                <w:sz w:val="20"/>
                <w:szCs w:val="20"/>
                <w:color w:val="auto"/>
              </w:rPr>
            </w:pPr>
            <w:r>
              <w:rPr>
                <w:rFonts w:ascii="Arial" w:cs="Arial" w:eastAsia="Arial" w:hAnsi="Arial"/>
                <w:sz w:val="18"/>
                <w:szCs w:val="18"/>
                <w:color w:val="auto"/>
              </w:rPr>
              <w:t>71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8700" w:val="left"/>
        </w:tabs>
        <w:rPr>
          <w:sz w:val="20"/>
          <w:szCs w:val="20"/>
          <w:color w:val="auto"/>
        </w:rPr>
      </w:pPr>
      <w:r>
        <w:rPr>
          <w:rFonts w:ascii="Arial" w:cs="Arial" w:eastAsia="Arial" w:hAnsi="Arial"/>
          <w:sz w:val="16"/>
          <w:szCs w:val="16"/>
          <w:color w:val="auto"/>
        </w:rPr>
        <w:t>The expenses of the offering payable by us, excluding the underwriting discounts and related fees, are estimated at $</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 of Similar Securities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each of our officers and directors and each of our existing stockholders have agreed, with certain limited exceptions, not to sell or transfer any of our securities for 180 days after the date of this prospectus without first obtaining the written consent of Bear, Stearns &amp; Co. Inc. Specifically, pursuant to these lock-up agreements, we and these other individuals have agreed not to directly or indirectly:</w:t>
      </w:r>
    </w:p>
    <w:p>
      <w:pPr>
        <w:spacing w:after="0" w:line="59" w:lineRule="exact"/>
        <w:rPr>
          <w:sz w:val="20"/>
          <w:szCs w:val="20"/>
          <w:color w:val="auto"/>
        </w:rPr>
      </w:pPr>
    </w:p>
    <w:p>
      <w:pPr>
        <w:ind w:left="9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 sell or agree to offer or sell any common stock, any other equity security of ours or any of our subsidiaries, and any security convertible into, or exercisable or exchangeable for, any common stock or other such equity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solicit offers to purchase any such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grant any call option with respect to any such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put option with respect to any such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pledge, borrow or otherwise dispose of any such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with respect to any such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liquidate or decrease any “call equivalent position” with respect to any such securities; or</w:t>
      </w:r>
    </w:p>
    <w:p>
      <w:pPr>
        <w:spacing w:after="0" w:line="90"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any swap, derivative or other transaction or arrangement that transfers to another, in whole or in part, any economic consequences of ownership of any of such securities, whether or not such transaction is to be settled by delivery of such securities, other securities, cash or other consideration.</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Notwithstanding the foregoing, if (1) during the last 17 days of the applicable lock-up restriction period we issue an earnings release or disclose material news or a material event relating to us occurs, or (2) prior to the expiration of the applicable lock-up restriction period, we announce that we will release earnings results or become aware that we will disclose material news or that material event relating to us will occur during the 16-day period beginning on the last day of the applicable lock-up period, the above restrictions shall continue to apply until the expiration of the 18-day period beginning on the issuance of the earnings release or the disclosure of the material news or the occurrence of the material event unless such extension is waived in writing by Bear, Stearns &amp; Co.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lock-up provisions do not prevent:</w:t>
      </w:r>
    </w:p>
    <w:p>
      <w:pPr>
        <w:spacing w:after="0" w:line="9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by bona fide gift;</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to any trust for the benefit of such security holder or any parent, grandparent, step parent, step grandparent, mother-in-law, father-in-law, spouse, sibling, sister-in-law, brother-in-law, son-in-law, daughter-in-law, child, step child, grandchild, step grandchild, niece or nephew, including adoptive relationships, of such security holder;</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security holder that is partnership, transfers by such security holder of such securities to any general partner, limited partner or affiliate of such security holder;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security holder that is a limited liability company, transfers by such security holder of such securities to any member or affiliate of such security holder;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security holder that is a corporation, transfers by such security holder of such securities to any wholly-owned subsidiary or affiliate of such security holder;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sale by us of shares to the underwriters;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conversion or exchange of outstanding convertible or exchangeable securities;</w:t>
      </w:r>
    </w:p>
    <w:p>
      <w:pPr>
        <w:spacing w:after="0" w:line="113" w:lineRule="exact"/>
        <w:rPr>
          <w:rFonts w:ascii="Arial" w:cs="Arial" w:eastAsia="Arial" w:hAnsi="Arial"/>
          <w:sz w:val="16"/>
          <w:szCs w:val="16"/>
          <w:color w:val="auto"/>
        </w:rPr>
      </w:pPr>
    </w:p>
    <w:p>
      <w:pPr>
        <w:ind w:left="900" w:right="52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outstanding options or warrants or in connection with other equity instruments pursuant to employee benefit plans described in this prospectus or assumed by us in a merger or acquisition transaction;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issuance by us of common stock, or securities exercisable for or convertible into, common stock in connection with mergers or acquisitions of securities, businesses, property or other assets, joint ventures or other strategic corporate transaction or any other transaction, the primary purpose of which is not to raise capital;</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filing by us, or the participation by a security holder in the filing by us, of any registration statement on Form S-8 or registration statements filed in connection with a corporate transaction described in the preceding bullet;</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provided that, in the case of each of the transactions described in the first, second, third, fourth, fifth and ninth bullets above, each donee, transferee or recipient delivers to Bear, Stearns &amp; Co. Inc. an agreement certifying that such donee, transferee or recipient agrees to be subject to the restrictions described in the immediately preceding two paragraphs, subject to the applicable exceptions described above in this paragraph, and that such donee, transferee or recipient has been in compliance with the terms of such restrictions from the date the donor or transferor first entered into an agreement with Bear, Stearns &amp; Co. Inc. regarding the foregoing; provided further that, in the case of each of the transactions described in the first, second, third, fourth and fifth bullets above, such transaction did not involve a disposition for value and shall not be required to be, and will not be, disclosed or reported publicly under applicable laws, including Section 16 of the Exchange Act and the rules and regulations promulgated thereunder; and provided further that, in the case of each of the transactions described in the first, second, third, fourth and fifth bullets above, such transaction shall not have been effected on the Nasdaq Stock Market, the over-the-counter market or any other exchange or system providing share price quotations.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restrictions described in the preceding paragraphs will not restrict the sale or other disposition of such securities that are acquired by a security holder subject to such lock-up agreements in the open market after completion of this offering, provided that such sale or other disposition fully complies with, and is not required to be, and will not be, disclosed or reported under, applicable law, including, but not limited to, Section 16 of the Exchange Act and the rules and regulations promulgated thereunder.</w:t>
      </w:r>
    </w:p>
    <w:p>
      <w:pPr>
        <w:spacing w:after="0" w:line="14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restrictions described above shall not apply to the establishment of a trading plan pursuant to Rule 10b5-1 under the Exchange Act by any of our officers or directors relating to the sale of such securities, provided that such securities subject to such a Rule 10b5-1 trading plan may not be sold until after the completion of the 180-day restricted period, as the same may be extended as provided above, and neither we nor any security holder signing the above described agreement may make any public announcement, disclosure or filing relating to, or disclosing, such plan or its existence prior to the end of the lock-up period, including any extension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 may, in its sole discretion, waive this lock-up without public notice.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Market</w:t>
      </w:r>
    </w:p>
    <w:p>
      <w:pPr>
        <w:spacing w:after="0" w:line="96" w:lineRule="exact"/>
        <w:rPr>
          <w:sz w:val="20"/>
          <w:szCs w:val="20"/>
          <w:color w:val="auto"/>
        </w:rPr>
      </w:pPr>
    </w:p>
    <w:p>
      <w:pPr>
        <w:spacing w:after="0"/>
        <w:tabs>
          <w:tab w:leader="none" w:pos="7140" w:val="left"/>
        </w:tabs>
        <w:rPr>
          <w:sz w:val="20"/>
          <w:szCs w:val="20"/>
          <w:color w:val="auto"/>
        </w:rPr>
      </w:pPr>
      <w:r>
        <w:rPr>
          <w:rFonts w:ascii="Arial" w:cs="Arial" w:eastAsia="Arial" w:hAnsi="Arial"/>
          <w:sz w:val="16"/>
          <w:szCs w:val="16"/>
          <w:color w:val="auto"/>
        </w:rPr>
        <w:t>We intend to apply to list our common stock on the Nasdaq Global Market under the symbol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prevailing market conditions, our financial operating information in recent periods, and market prices of securities and financial and operating information of companies engaged in activities similar to ours and other factors deemed relevant. The estimated initial public offering price range set forth on the cover page of this prospectus is subject to change as a result of market conditions and other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of this offering, or by their affiliates. Other than any prospectus made available in electronic format in this manner, the information on any web site containing the prospectus is not part of this prospectus or the registration statement of which this prospectus forms a part, has not been approved or endorsed by us or any underwriter in such capacity, and should not be relied on by prospective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offering, some participants in the offering may purchase and sell shares of common stock in the open market. These transactions may include short sales, syndicate covering transactions and stabilizing transactions. Short sales involve sales by the underwriters of common stock in excess of the number of shares required to be purchased by the underwriters in the offering, which creates a syndicate short position. “Covered” short sales are sales of shares made in an amount up to the number of shares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represented by the underwriters’ over-allotment option. Transactions to close out the covered syndicate short involve either purchases of the common stock in the open market after the distribution has been completed or the exercise of the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The underwriters may also make “naked” short sales, or sales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fixing or maintaining the price of the shares of common stock.</w:t>
      </w:r>
    </w:p>
    <w:p>
      <w:pPr>
        <w:spacing w:after="0" w:line="11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shares originally sold by that underwriter or syndicate member in order to cover syndicate short positions or make stabilizing purchases.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of these activities may have the effect of raising or maintaining the market price of the common stock or preventing or retarding a decline in the market price of the common stock. As a result, the price of the common stock may be higher than the price that might otherwise exist in the open market. The underwriters may conduct these transactions on the Nasdaq Global Market or otherwise. Neither we nor any of the underwriters makes any representation or prediction as to the direction or magnitude of any effect that the transactions described above may have on the price of our common stock. In addition, neither we nor any of the underwriters makes any representation that the underwriters will engage in these transactions. If the underwriters commence any of these transactions, they may discontinue them at any time.</w:t>
      </w:r>
    </w:p>
    <w:p>
      <w:pPr>
        <w:spacing w:after="0" w:line="144"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connection with this offering, the underwriters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Underwriters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commercial banking, financial advisory and investment banking services for us for which they have received or will receive customary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underwriter has represented and agreed that (a) it has not made and will not make an offer of shares to the public in the United Kingdom prior to the publication of a prospectus in relation to shares and the offer that has been approved by the Financial Services Authority, or FSA, or where appropriate, approved in another Member State and notified to the FSA, all in accordance with the Prospectus Directive, except that it may make an offer of the shares to persons who fall within the definition of “qualified investor” as that term is defined in section 86(1) of the Financial Services and Markets Act 2000, or FSMA, or otherwise in circumstances which do not result in an offer of transferable securities to the public in the United Kingdom within the meaning of the FSMA; (b) it has only communicated or caused to be communicated and will only communicate or cause to be communicated an invitation or inducement to engage in investment activity (within the meaning of section 21 of FSMA) received by it in connection with the issue or sale of the shares in circumstances in which section 21(1) of FSMA does not apply; and (c) it has complied and will comply with all applicable provisions of the FSMA with respect to anything done by it in relation to the shares in, from or otherwise involving the 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or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except that it may, with effect from and including the Relevant Implementation Date, make an offer of shares to the public in that Relevant Member State at any time:</w:t>
      </w:r>
    </w:p>
    <w:p>
      <w:pPr>
        <w:spacing w:after="0" w:line="51" w:lineRule="exact"/>
        <w:rPr>
          <w:sz w:val="20"/>
          <w:szCs w:val="20"/>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 by Dechert LLP, Washington, D.C., and Venable LLP, Baltimore, Maryland. Dechert LLP also represents Pennant Investment Advisers. Certain legal matters in connection with the offering will be passed upon for the underwriters by Sutherland Asbill &amp; Brennan, LLP, Washington, D.C.</w:t>
      </w:r>
    </w:p>
    <w:p>
      <w:pPr>
        <w:spacing w:after="0" w:line="296" w:lineRule="exact"/>
        <w:rPr>
          <w:sz w:val="20"/>
          <w:szCs w:val="20"/>
          <w:color w:val="auto"/>
        </w:rPr>
      </w:pPr>
    </w:p>
    <w:p>
      <w:pPr>
        <w:ind w:left="1100" w:right="3580" w:firstLine="2484"/>
        <w:spacing w:after="0" w:line="369" w:lineRule="auto"/>
        <w:rPr>
          <w:sz w:val="20"/>
          <w:szCs w:val="20"/>
          <w:color w:val="auto"/>
        </w:rPr>
      </w:pPr>
      <w:r>
        <w:rPr>
          <w:rFonts w:ascii="Arial" w:cs="Arial" w:eastAsia="Arial" w:hAnsi="Arial"/>
          <w:sz w:val="18"/>
          <w:szCs w:val="18"/>
          <w:b w:val="1"/>
          <w:bCs w:val="1"/>
          <w:color w:val="auto"/>
        </w:rPr>
        <w:t xml:space="preserve">INDEPENDENT REGISTERED ACCOUNTING FIRM </w:t>
      </w:r>
      <w:r>
        <w:rPr>
          <w:rFonts w:ascii="Arial" w:cs="Arial" w:eastAsia="Arial" w:hAnsi="Arial"/>
          <w:sz w:val="18"/>
          <w:szCs w:val="18"/>
          <w:color w:val="auto"/>
        </w:rPr>
        <w:t>is the independent registered accounting firm for Pennant.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of 1933,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450 Fifth Street, NW, Washington, D.C. 20549. You may obtain information on the operation of the Public Reference Room by calling the SEC at 1-800-SEC-0330. The SEC maintains an Internet site that contains reports, proxy and information statements and other information filed electronically by us with the SEC which are available on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at the following e-mail address: publicinfo@sec.gov, or by writing the SEC’s Public Reference Section, Washington, D.C. 20549-0102.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INDEX TO FINANCIAL STATEMENTS</w:t>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 2007 (25 days after the date of this prospectus), federal securities laws may require all dealers that effect transactions in our common stock, whether or not participating in this offering,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Bear, Stearns &amp; Co. Inc.</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Banc of America Securities LLC</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UBS Investment Bank</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SunTrust Robinson Humphrey</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Keefe, Bruyette &amp; Woods</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Friedman Billings Ramsey</w:t>
      </w:r>
    </w:p>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 INVESTMENT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statements of Pennant Investment Corporation (the “Company” or the “Registrant”) are included in Part A of this Registration Statement:</w:t>
      </w:r>
    </w:p>
    <w:p>
      <w:pPr>
        <w:spacing w:after="0" w:line="140" w:lineRule="exact"/>
        <w:rPr>
          <w:sz w:val="20"/>
          <w:szCs w:val="20"/>
          <w:color w:val="auto"/>
        </w:rPr>
      </w:pPr>
    </w:p>
    <w:p>
      <w:pPr>
        <w:ind w:left="320"/>
        <w:spacing w:after="0"/>
        <w:tabs>
          <w:tab w:leader="none" w:pos="4400" w:val="left"/>
          <w:tab w:leader="none" w:pos="7560" w:val="left"/>
        </w:tabs>
        <w:rPr>
          <w:sz w:val="20"/>
          <w:szCs w:val="20"/>
          <w:color w:val="auto"/>
        </w:rPr>
      </w:pPr>
      <w:r>
        <w:rPr>
          <w:rFonts w:ascii="Arial" w:cs="Arial" w:eastAsia="Arial" w:hAnsi="Arial"/>
          <w:sz w:val="18"/>
          <w:szCs w:val="18"/>
          <w:color w:val="auto"/>
        </w:rPr>
        <w:t>Statement of assets and liabilities, dated as of</w:t>
      </w:r>
      <w:r>
        <w:rPr>
          <w:sz w:val="20"/>
          <w:szCs w:val="20"/>
          <w:color w:val="auto"/>
        </w:rPr>
        <w:tab/>
      </w:r>
      <w:r>
        <w:rPr>
          <w:rFonts w:ascii="Arial" w:cs="Arial" w:eastAsia="Arial" w:hAnsi="Arial"/>
          <w:sz w:val="18"/>
          <w:szCs w:val="18"/>
          <w:color w:val="auto"/>
        </w:rPr>
        <w:t>, 2007</w:t>
      </w:r>
      <w:r>
        <w:rPr>
          <w:sz w:val="20"/>
          <w:szCs w:val="20"/>
          <w:color w:val="auto"/>
        </w:rPr>
        <w:tab/>
      </w:r>
      <w:r>
        <w:rPr>
          <w:rFonts w:ascii="Arial" w:cs="Arial" w:eastAsia="Arial" w:hAnsi="Arial"/>
          <w:sz w:val="15"/>
          <w:szCs w:val="15"/>
          <w:color w:val="auto"/>
        </w:rPr>
        <w:t>Page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46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33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Articles of Incorporation(1)</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Bylaws(1)</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Form of Stock Certificate(1)</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Dividend Reinvestment Plan(1)</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(g)(1)</w:t>
      </w:r>
      <w:r>
        <w:rPr>
          <w:sz w:val="20"/>
          <w:szCs w:val="20"/>
          <w:color w:val="auto"/>
        </w:rPr>
        <w:tab/>
      </w:r>
      <w:r>
        <w:rPr>
          <w:rFonts w:ascii="Arial" w:cs="Arial" w:eastAsia="Arial" w:hAnsi="Arial"/>
          <w:sz w:val="18"/>
          <w:szCs w:val="18"/>
          <w:color w:val="auto"/>
        </w:rPr>
        <w:t>Interim Investment Management Agreement between Registrant and Pennant Investment Advisers, LLC(1)</w:t>
      </w:r>
    </w:p>
    <w:p>
      <w:pPr>
        <w:spacing w:after="0" w:line="131"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Investment Management Agreement between Registrant and Pennant Investment Advisers, LLC (1)</w:t>
      </w:r>
    </w:p>
    <w:p>
      <w:pPr>
        <w:spacing w:after="0" w:line="131" w:lineRule="exact"/>
        <w:rPr>
          <w:sz w:val="20"/>
          <w:szCs w:val="20"/>
          <w:color w:val="auto"/>
        </w:rPr>
      </w:pPr>
    </w:p>
    <w:p>
      <w:pPr>
        <w:ind w:left="1260" w:hanging="793"/>
        <w:spacing w:after="0" w:line="268"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Underwriting Agreement among the Registrant, Pennant Investment Advisers, LLC, Pennant Administration, LLC and Bear, Stearns &amp; Co. Inc.* and the other underwriters named therein(1)</w:t>
      </w:r>
    </w:p>
    <w:p>
      <w:pPr>
        <w:spacing w:after="0" w:line="77" w:lineRule="exact"/>
        <w:rPr>
          <w:rFonts w:ascii="Arial" w:cs="Arial" w:eastAsia="Arial" w:hAnsi="Arial"/>
          <w:sz w:val="18"/>
          <w:szCs w:val="18"/>
          <w:color w:val="auto"/>
        </w:rPr>
      </w:pPr>
    </w:p>
    <w:p>
      <w:pPr>
        <w:ind w:left="1260" w:hanging="79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Custodian Agreement between Registrant and (1)</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(k)(1)</w:t>
            </w:r>
          </w:p>
        </w:tc>
        <w:tc>
          <w:tcPr>
            <w:tcW w:w="3840" w:type="dxa"/>
            <w:vAlign w:val="bottom"/>
          </w:tcPr>
          <w:p>
            <w:pPr>
              <w:ind w:left="180"/>
              <w:spacing w:after="0"/>
              <w:rPr>
                <w:sz w:val="20"/>
                <w:szCs w:val="20"/>
                <w:color w:val="auto"/>
              </w:rPr>
            </w:pPr>
            <w:r>
              <w:rPr>
                <w:rFonts w:ascii="Arial" w:cs="Arial" w:eastAsia="Arial" w:hAnsi="Arial"/>
                <w:sz w:val="18"/>
                <w:szCs w:val="18"/>
                <w:color w:val="auto"/>
              </w:rPr>
              <w:t>Sub-Administration Agreement with</w:t>
            </w:r>
          </w:p>
        </w:tc>
        <w:tc>
          <w:tcPr>
            <w:tcW w:w="3520" w:type="dxa"/>
            <w:vAlign w:val="bottom"/>
          </w:tcPr>
          <w:p>
            <w:pPr>
              <w:ind w:left="60"/>
              <w:spacing w:after="0"/>
              <w:rPr>
                <w:sz w:val="20"/>
                <w:szCs w:val="20"/>
                <w:color w:val="auto"/>
              </w:rPr>
            </w:pPr>
            <w:r>
              <w:rPr>
                <w:rFonts w:ascii="Arial" w:cs="Arial" w:eastAsia="Arial" w:hAnsi="Arial"/>
                <w:sz w:val="18"/>
                <w:szCs w:val="18"/>
                <w:color w:val="auto"/>
                <w:w w:val="89"/>
              </w:rPr>
              <w:t>and Pennant Investment Administration,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(k)(2)</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5"/>
              </w:rPr>
              <w:t>Administration Agreement between Registrant and Pennant Investment Administration,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(k)(2)</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Form of Transfer Agency and Service Agreement between Registrant and (1)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(k)(3)</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License Agreement between the Registrant and Pennant Investment Advisers,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(k)(4)</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Credit Facility between the Registrant and Bear, Stearns &amp; Co. Inc. (1)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(l)(1)</w:t>
            </w:r>
          </w:p>
        </w:tc>
        <w:tc>
          <w:tcPr>
            <w:tcW w:w="3840" w:type="dxa"/>
            <w:vAlign w:val="bottom"/>
          </w:tcPr>
          <w:p>
            <w:pPr>
              <w:ind w:left="180"/>
              <w:spacing w:after="0"/>
              <w:rPr>
                <w:sz w:val="20"/>
                <w:szCs w:val="20"/>
                <w:color w:val="auto"/>
              </w:rPr>
            </w:pPr>
            <w:r>
              <w:rPr>
                <w:rFonts w:ascii="Arial" w:cs="Arial" w:eastAsia="Arial" w:hAnsi="Arial"/>
                <w:sz w:val="18"/>
                <w:szCs w:val="18"/>
                <w:color w:val="auto"/>
                <w:w w:val="91"/>
              </w:rPr>
              <w:t>Opinion of Dechert, LLP, counsel for Registrant(1)</w:t>
            </w:r>
          </w:p>
        </w:tc>
        <w:tc>
          <w:tcPr>
            <w:tcW w:w="352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(l)(2)</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Opinion and Consent of Venable LLP, special Maryland counsel for Registrant(1)</w:t>
            </w:r>
          </w:p>
        </w:tc>
      </w:tr>
    </w:tbl>
    <w:p>
      <w:pPr>
        <w:spacing w:after="0" w:line="102" w:lineRule="exact"/>
        <w:rPr>
          <w:sz w:val="20"/>
          <w:szCs w:val="20"/>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Consent of independent accountants for Registrant (1)</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793"/>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Code of Ethics(1)</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 “Underwriting” on this Registration Statement is incorporated herein by reference.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480" w:type="dxa"/>
            <w:vAlign w:val="bottom"/>
          </w:tcPr>
          <w:p>
            <w:pPr>
              <w:spacing w:after="0"/>
              <w:rPr>
                <w:sz w:val="19"/>
                <w:szCs w:val="19"/>
                <w:color w:val="auto"/>
              </w:rPr>
            </w:pPr>
          </w:p>
        </w:tc>
      </w:tr>
      <w:tr>
        <w:trPr>
          <w:trHeight w:val="291"/>
        </w:trPr>
        <w:tc>
          <w:tcPr>
            <w:tcW w:w="8360" w:type="dxa"/>
            <w:vAlign w:val="bottom"/>
            <w:gridSpan w:val="2"/>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Nasdaq Global Market Listing Fee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NASD filing fee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96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2480" w:type="dxa"/>
            <w:vAlign w:val="bottom"/>
          </w:tcPr>
          <w:p>
            <w:pPr>
              <w:spacing w:after="0"/>
              <w:rPr>
                <w:sz w:val="9"/>
                <w:szCs w:val="9"/>
                <w:color w:val="auto"/>
              </w:rPr>
            </w:pPr>
          </w:p>
        </w:tc>
      </w:tr>
      <w:tr>
        <w:trPr>
          <w:trHeight w:val="316"/>
        </w:trPr>
        <w:tc>
          <w:tcPr>
            <w:tcW w:w="8360" w:type="dxa"/>
            <w:vAlign w:val="bottom"/>
            <w:gridSpan w:val="2"/>
          </w:tcPr>
          <w:p>
            <w:pPr>
              <w:spacing w:after="0"/>
              <w:rPr>
                <w:sz w:val="20"/>
                <w:szCs w:val="20"/>
                <w:color w:val="auto"/>
              </w:rPr>
            </w:pPr>
            <w:r>
              <w:rPr>
                <w:rFonts w:ascii="Arial" w:cs="Arial" w:eastAsia="Arial" w:hAnsi="Arial"/>
                <w:sz w:val="18"/>
                <w:szCs w:val="18"/>
                <w:color w:val="auto"/>
              </w:rPr>
              <w:t>(1)   These amounts are estimates.</w:t>
            </w:r>
          </w:p>
        </w:tc>
        <w:tc>
          <w:tcPr>
            <w:tcW w:w="2480" w:type="dxa"/>
            <w:vAlign w:val="bottom"/>
          </w:tcPr>
          <w:p>
            <w:pPr>
              <w:spacing w:after="0"/>
              <w:rPr>
                <w:sz w:val="24"/>
                <w:szCs w:val="24"/>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All of the expenses set forth above shall be borne by the Company.</w:t>
            </w:r>
          </w:p>
        </w:tc>
        <w:tc>
          <w:tcPr>
            <w:tcW w:w="2480" w:type="dxa"/>
            <w:vAlign w:val="bottom"/>
          </w:tcPr>
          <w:p>
            <w:pPr>
              <w:spacing w:after="0"/>
              <w:rPr>
                <w:sz w:val="24"/>
                <w:szCs w:val="24"/>
                <w:color w:val="auto"/>
              </w:rPr>
            </w:pPr>
          </w:p>
        </w:tc>
      </w:tr>
      <w:tr>
        <w:trPr>
          <w:trHeight w:val="459"/>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28. PERSONS CONTROLLED BY OR UNDER COMMON CONTROL</w:t>
            </w:r>
          </w:p>
        </w:tc>
        <w:tc>
          <w:tcPr>
            <w:tcW w:w="2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-1910715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-1635760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-1361440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416" w:lineRule="exact"/>
        <w:rPr>
          <w:sz w:val="20"/>
          <w:szCs w:val="20"/>
          <w:color w:val="auto"/>
        </w:rPr>
      </w:pPr>
    </w:p>
    <w:p>
      <w:pPr>
        <w:sectPr>
          <w:pgSz w:w="11900" w:h="16838" w:orient="portrait"/>
          <w:cols w:equalWidth="0" w:num="2">
            <w:col w:w="10840" w:space="440"/>
            <w:col w:w="140"/>
          </w:cols>
          <w:pgMar w:left="240" w:top="459" w:right="239" w:bottom="1440" w:gutter="0" w:footer="0" w:header="0"/>
        </w:sectPr>
      </w:pPr>
    </w:p>
    <w:p>
      <w:pPr>
        <w:ind w:right="60"/>
        <w:spacing w:after="0" w:line="259" w:lineRule="auto"/>
        <w:rPr>
          <w:sz w:val="20"/>
          <w:szCs w:val="20"/>
          <w:color w:val="auto"/>
        </w:rPr>
      </w:pPr>
      <w:r>
        <w:rPr>
          <w:rFonts w:ascii="Arial" w:cs="Arial" w:eastAsia="Arial" w:hAnsi="Arial"/>
          <w:sz w:val="18"/>
          <w:szCs w:val="18"/>
          <w:color w:val="auto"/>
        </w:rPr>
        <w:t>Immediately prior to this offering, Pennant Investment Advisers, LLC, a Delaware limited liability company, will own shares of the Registrant, representing 100% of the common stock outstanding. Following the completion of this offering, Pennant Investment Advisers, LLC’s share ownership is expected to represent less than 1% of the common stock outstanding.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ITEM 29. NUMBER OF HOLDERS OF SECURITIES</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80" w:type="dxa"/>
            <w:vAlign w:val="bottom"/>
            <w:gridSpan w:val="2"/>
          </w:tcPr>
          <w:p>
            <w:pPr>
              <w:spacing w:after="0"/>
              <w:rPr>
                <w:sz w:val="20"/>
                <w:szCs w:val="20"/>
                <w:color w:val="auto"/>
              </w:rPr>
            </w:pPr>
            <w:r>
              <w:rPr>
                <w:rFonts w:ascii="Arial" w:cs="Arial" w:eastAsia="Arial" w:hAnsi="Arial"/>
                <w:sz w:val="18"/>
                <w:szCs w:val="18"/>
                <w:color w:val="auto"/>
                <w:w w:val="94"/>
              </w:rPr>
              <w:t>The following table sets forth the approximate number of record holders of the Company’s common stock at</w:t>
            </w:r>
          </w:p>
        </w:tc>
        <w:tc>
          <w:tcPr>
            <w:tcW w:w="2060" w:type="dxa"/>
            <w:vAlign w:val="bottom"/>
            <w:gridSpan w:val="2"/>
          </w:tcPr>
          <w:p>
            <w:pPr>
              <w:jc w:val="right"/>
              <w:ind w:right="1120"/>
              <w:spacing w:after="0"/>
              <w:rPr>
                <w:sz w:val="20"/>
                <w:szCs w:val="20"/>
                <w:color w:val="auto"/>
              </w:rPr>
            </w:pPr>
            <w:r>
              <w:rPr>
                <w:rFonts w:ascii="Arial" w:cs="Arial" w:eastAsia="Arial" w:hAnsi="Arial"/>
                <w:sz w:val="18"/>
                <w:szCs w:val="18"/>
                <w:color w:val="auto"/>
              </w:rPr>
              <w:t>, 2006.</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5"/>
        </w:trPr>
        <w:tc>
          <w:tcPr>
            <w:tcW w:w="80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0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94"/>
              </w:rPr>
              <w:t>RECORD 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540" w:type="dxa"/>
            <w:vAlign w:val="bottom"/>
            <w:tcBorders>
              <w:top w:val="single" w:sz="8" w:color="auto"/>
            </w:tcBorders>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a party to the proceeding by reason of his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office.</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Investment Management Agreements provide that, absent willful misfeasance, bad faith or gross negligence in the performance of its duties or by reason of the reckless disregard of its duties and obligations, Pennant Investment Advisers, LLC (the “Adviser”) and its officers, managers,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the Adviser’s services under the Investment Management Agreements or otherwise as an investment adviser of the Company.</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 Investment Administration, LLC and its officers, manager,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Pennant Investment Administration, LLC’s services under the Administration Agreement or otherwise as administrator for the Company.</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Underwriters’ Agreement provides that each Underwriter severally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1940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managing Underwriter to the Company expressly for use in this Registration Statement (or in the Registration Statement as amended by any post-effective amendment hereof by the Company) or in the Prospectus contained in this Registration Statement, or arises out of or is based upon any omission or alleged omission to state a material fact in connection with such information required to be stated in this Registration Statement or such Prospectus or necessary to make such information not misleading.</w:t>
      </w:r>
    </w:p>
    <w:p>
      <w:pPr>
        <w:spacing w:after="0" w:line="12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ADVISER</w:t>
      </w:r>
    </w:p>
    <w:p>
      <w:pPr>
        <w:spacing w:after="0" w:line="9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Part A of this Registration Statement in the sections entitled “Management.” Additional information regarding the Adviser and its officers and directors is set forth in its Form ADV, as filed with the Securities and Exchange Commission (SEC File No. 801-62840),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 Pennant Investment Corporation,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(2)</w:t>
            </w:r>
          </w:p>
        </w:tc>
        <w:tc>
          <w:tcPr>
            <w:tcW w:w="1680" w:type="dxa"/>
            <w:vAlign w:val="bottom"/>
          </w:tcPr>
          <w:p>
            <w:pPr>
              <w:ind w:left="120"/>
              <w:spacing w:after="0"/>
              <w:rPr>
                <w:sz w:val="20"/>
                <w:szCs w:val="20"/>
                <w:color w:val="auto"/>
              </w:rPr>
            </w:pPr>
            <w:r>
              <w:rPr>
                <w:rFonts w:ascii="Arial" w:cs="Arial" w:eastAsia="Arial" w:hAnsi="Arial"/>
                <w:sz w:val="18"/>
                <w:szCs w:val="18"/>
                <w:color w:val="auto"/>
                <w:w w:val="93"/>
              </w:rPr>
              <w:t>the Transfer Agent,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(3)</w:t>
            </w:r>
          </w:p>
        </w:tc>
        <w:tc>
          <w:tcPr>
            <w:tcW w:w="1680" w:type="dxa"/>
            <w:vAlign w:val="bottom"/>
          </w:tcPr>
          <w:p>
            <w:pPr>
              <w:ind w:left="120"/>
              <w:spacing w:after="0"/>
              <w:rPr>
                <w:sz w:val="20"/>
                <w:szCs w:val="20"/>
                <w:color w:val="auto"/>
              </w:rPr>
            </w:pPr>
            <w:r>
              <w:rPr>
                <w:rFonts w:ascii="Arial" w:cs="Arial" w:eastAsia="Arial" w:hAnsi="Arial"/>
                <w:sz w:val="18"/>
                <w:szCs w:val="18"/>
                <w:color w:val="auto"/>
              </w:rPr>
              <w:t>the Custodian, [</w:t>
            </w:r>
          </w:p>
        </w:tc>
        <w:tc>
          <w:tcPr>
            <w:tcW w:w="540" w:type="dxa"/>
            <w:vAlign w:val="bottom"/>
          </w:tcPr>
          <w:p>
            <w:pPr>
              <w:jc w:val="right"/>
              <w:spacing w:after="0"/>
              <w:rPr>
                <w:sz w:val="20"/>
                <w:szCs w:val="20"/>
                <w:color w:val="auto"/>
              </w:rPr>
            </w:pPr>
            <w:r>
              <w:rPr>
                <w:rFonts w:ascii="Arial" w:cs="Arial" w:eastAsia="Arial" w:hAnsi="Arial"/>
                <w:sz w:val="18"/>
                <w:szCs w:val="18"/>
                <w:color w:val="auto"/>
              </w:rPr>
              <w:t>]; and</w:t>
            </w:r>
          </w:p>
        </w:tc>
      </w:tr>
    </w:tbl>
    <w:p>
      <w:pPr>
        <w:spacing w:after="0" w:line="75"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Adviser, Pennant Investment Advisers, LLC,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96" w:lineRule="exact"/>
        <w:rPr>
          <w:sz w:val="20"/>
          <w:szCs w:val="20"/>
          <w:color w:val="auto"/>
        </w:rPr>
      </w:pPr>
    </w:p>
    <w:p>
      <w:pPr>
        <w:jc w:val="both"/>
        <w:ind w:right="120" w:firstLine="8"/>
        <w:spacing w:after="0" w:line="259"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jc w:val="both"/>
        <w:ind w:right="140" w:firstLine="464"/>
        <w:spacing w:after="0" w:line="259" w:lineRule="auto"/>
        <w:tabs>
          <w:tab w:leader="none" w:pos="695"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in the State of New York, on the 19th day of January 2007.</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 w:lineRule="exact"/>
        <w:rPr>
          <w:sz w:val="20"/>
          <w:szCs w:val="20"/>
          <w:color w:val="auto"/>
        </w:rPr>
      </w:pPr>
    </w:p>
    <w:p>
      <w:pPr>
        <w:jc w:val="center"/>
        <w:ind w:left="7220"/>
        <w:spacing w:after="0"/>
        <w:rPr>
          <w:sz w:val="20"/>
          <w:szCs w:val="20"/>
          <w:color w:val="auto"/>
        </w:rPr>
      </w:pPr>
      <w:r>
        <w:rPr>
          <w:rFonts w:ascii="Arial" w:cs="Arial" w:eastAsia="Arial" w:hAnsi="Arial"/>
          <w:sz w:val="14"/>
          <w:szCs w:val="14"/>
          <w:color w:val="auto"/>
        </w:rPr>
        <w:t>Arthur H. Penn</w:t>
      </w:r>
    </w:p>
    <w:p>
      <w:pPr>
        <w:jc w:val="center"/>
        <w:ind w:left="7240"/>
        <w:spacing w:after="0" w:line="221" w:lineRule="auto"/>
        <w:rPr>
          <w:sz w:val="20"/>
          <w:szCs w:val="20"/>
          <w:color w:val="auto"/>
        </w:rPr>
      </w:pPr>
      <w:r>
        <w:rPr>
          <w:rFonts w:ascii="Arial" w:cs="Arial" w:eastAsia="Arial" w:hAnsi="Arial"/>
          <w:sz w:val="14"/>
          <w:szCs w:val="14"/>
          <w:color w:val="auto"/>
        </w:rPr>
        <w:t>Chief Executive Officer, Chairman of the Board and Director</w:t>
      </w:r>
    </w:p>
    <w:p>
      <w:pPr>
        <w:jc w:val="center"/>
        <w:ind w:left="7220"/>
        <w:spacing w:after="0"/>
        <w:rPr>
          <w:sz w:val="20"/>
          <w:szCs w:val="20"/>
          <w:color w:val="auto"/>
        </w:rPr>
      </w:pPr>
      <w:r>
        <w:rPr>
          <w:rFonts w:ascii="Arial" w:cs="Arial" w:eastAsia="Arial" w:hAnsi="Arial"/>
          <w:sz w:val="14"/>
          <w:szCs w:val="14"/>
          <w:color w:val="auto"/>
        </w:rPr>
        <w:t>(Principal Executive Officer and Principal Financial Officer)</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ldblquote"/>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ldblquote"/>
      <w:numFmt w:val="bullet"/>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4"/>
    </w:lvl>
    <w:lvl w:ilvl="1">
      <w:lvlJc w:val="left"/>
      <w:lvlText w:val="•"/>
      <w:numFmt w:val="bullet"/>
      <w:start w:val="1"/>
    </w:lvl>
  </w:abstractNum>
  <w:abstractNum w:abstractNumId="12">
    <w:nsid w:val="70A64E2A"/>
    <w:multiLevelType w:val="hybridMultilevel"/>
    <w:lvl w:ilvl="0">
      <w:lvlJc w:val="left"/>
      <w:lvlText w:val="(%1)"/>
      <w:numFmt w:val="decimal"/>
      <w:start w:val="6"/>
    </w:lvl>
  </w:abstractNum>
  <w:abstractNum w:abstractNumId="13">
    <w:nsid w:val="6A2342EC"/>
    <w:multiLevelType w:val="hybridMultilevel"/>
    <w:lvl w:ilvl="0">
      <w:lvlJc w:val="left"/>
      <w:lvlText w:val="(%1)"/>
      <w:numFmt w:val="decimal"/>
      <w:start w:val="7"/>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lvl>
    <w:lvl w:ilvl="1">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lvl w:ilvl="1">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lvl w:ilvl="1">
      <w:lvlJc w:val="left"/>
      <w:lvlText w:val="•"/>
      <w:numFmt w:val="bullet"/>
      <w:start w:val="1"/>
    </w:lvl>
  </w:abstractNum>
  <w:abstractNum w:abstractNumId="51">
    <w:nsid w:val="3F6AB60F"/>
    <w:multiLevelType w:val="hybridMultilevel"/>
    <w:lvl w:ilvl="0">
      <w:lvlJc w:val="left"/>
      <w:lvlText w:val="(%1)"/>
      <w:numFmt w:val="decimal"/>
      <w:start w:val="2"/>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lvl w:ilvl="1">
      <w:lvlJc w:val="left"/>
      <w:lvlText w:val="(%2)"/>
      <w:numFmt w:val="lowerLetter"/>
      <w:start w:val="1"/>
    </w:lvl>
  </w:abstractNum>
  <w:abstractNum w:abstractNumId="57">
    <w:nsid w:val="5FF87E05"/>
    <w:multiLevelType w:val="hybridMultilevel"/>
    <w:lvl w:ilvl="0">
      <w:lvlJc w:val="left"/>
      <w:lvlText w:val="(%1)"/>
      <w:numFmt w:val="decimal"/>
      <w:start w:val="6"/>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1)"/>
      <w:numFmt w:val="decimal"/>
      <w:start w:val="2"/>
    </w:lvl>
    <w:lvl w:ilvl="1">
      <w:lvlJc w:val="left"/>
      <w:lvlText w:val="(%2)"/>
      <w:numFmt w:val="lowerLetter"/>
      <w:start w:val="1"/>
    </w:lvl>
  </w:abstractNum>
  <w:abstractNum w:abstractNumId="65">
    <w:nsid w:val="100F8FCA"/>
    <w:multiLevelType w:val="hybridMultilevel"/>
    <w:lvl w:ilvl="0">
      <w:lvlJc w:val="left"/>
      <w:lvlText w:val="(%1)"/>
      <w:numFmt w:val="lowerLetter"/>
      <w:start w:val="8"/>
    </w:lvl>
  </w:abstractNum>
  <w:abstractNum w:abstractNumId="66">
    <w:nsid w:val="6590700B"/>
    <w:multiLevelType w:val="hybridMultilevel"/>
    <w:lvl w:ilvl="0">
      <w:lvlJc w:val="left"/>
      <w:lvlText w:val="%1"/>
      <w:numFmt w:val="decimal"/>
      <w:start w:val="1"/>
    </w:lvl>
    <w:lvl w:ilvl="1">
      <w:lvlJc w:val="left"/>
      <w:lvlText w:val="(%2)"/>
      <w:numFmt w:val="lowerLetter"/>
      <w:start w:val="13"/>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4"/>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2019-12-15T15:17:30Z</dcterms:created>
  <dcterms:modified xsi:type="dcterms:W3CDTF">2019-12-15T15:17:30Z</dcterms:modified>
</cp:coreProperties>
</file>