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333-230014</w:t>
      </w:r>
    </w:p>
    <w:p>
      <w:pPr>
        <w:spacing w:after="0" w:line="45" w:lineRule="exact"/>
        <w:rPr>
          <w:sz w:val="24"/>
          <w:szCs w:val="24"/>
          <w:color w:val="auto"/>
        </w:rPr>
      </w:pPr>
    </w:p>
    <w:p>
      <w:pPr>
        <w:ind w:left="120"/>
        <w:spacing w:after="0" w:line="325" w:lineRule="auto"/>
        <w:rPr>
          <w:sz w:val="20"/>
          <w:szCs w:val="20"/>
          <w:color w:val="auto"/>
        </w:rPr>
      </w:pPr>
      <w:r>
        <w:rPr>
          <w:rFonts w:ascii="Arial" w:cs="Arial" w:eastAsia="Arial" w:hAnsi="Arial"/>
          <w:sz w:val="15"/>
          <w:szCs w:val="15"/>
          <w:b w:val="1"/>
          <w:bCs w:val="1"/>
          <w:color w:val="FF4338"/>
        </w:rPr>
        <w:t>The information in this preliminary prospectus supplement is not complete and may be changed. A registration statement relating to these securities has been filed with and declared effective by the Securities and Exchange Commission. This preliminary prospectus supplement is not an offer to sell these securities and is not soliciting an offer to buy these securities in any jurisdiction where the offer or sale is not permitted.</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FF4338"/>
        </w:rPr>
        <w:t>Subject to Completion, dated April 14, 2021</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the Prospectus dated January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48895</wp:posOffset>
            </wp:positionV>
            <wp:extent cx="176593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593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ind w:left="4900"/>
        <w:spacing w:after="0"/>
        <w:rPr>
          <w:sz w:val="20"/>
          <w:szCs w:val="20"/>
          <w:color w:val="auto"/>
        </w:rPr>
      </w:pPr>
      <w:r>
        <w:rPr>
          <w:rFonts w:ascii="Arial" w:cs="Arial" w:eastAsia="Arial" w:hAnsi="Arial"/>
          <w:sz w:val="32"/>
          <w:szCs w:val="32"/>
          <w:b w:val="1"/>
          <w:bCs w:val="1"/>
          <w:color w:val="auto"/>
        </w:rPr>
        <w:t>$</w:t>
      </w:r>
    </w:p>
    <w:p>
      <w:pPr>
        <w:spacing w:after="0" w:line="69"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 Notes due 2026</w:t>
      </w:r>
    </w:p>
    <w:p>
      <w:pPr>
        <w:spacing w:after="0" w:line="67" w:lineRule="exact"/>
        <w:rPr>
          <w:sz w:val="24"/>
          <w:szCs w:val="24"/>
          <w:color w:val="auto"/>
        </w:rPr>
      </w:pPr>
    </w:p>
    <w:p>
      <w:pPr>
        <w:ind w:left="120"/>
        <w:spacing w:after="0"/>
        <w:tabs>
          <w:tab w:leader="none" w:pos="4040" w:val="left"/>
          <w:tab w:leader="none" w:pos="6500" w:val="left"/>
        </w:tabs>
        <w:rPr>
          <w:sz w:val="20"/>
          <w:szCs w:val="20"/>
          <w:color w:val="auto"/>
        </w:rPr>
      </w:pPr>
      <w:r>
        <w:rPr>
          <w:rFonts w:ascii="Arial" w:cs="Arial" w:eastAsia="Arial" w:hAnsi="Arial"/>
          <w:sz w:val="14"/>
          <w:szCs w:val="14"/>
          <w:color w:val="auto"/>
        </w:rPr>
        <w:t>PennantPark Investment Corporation is offering for sale $</w:t>
      </w:r>
      <w:r>
        <w:rPr>
          <w:sz w:val="20"/>
          <w:szCs w:val="20"/>
          <w:color w:val="auto"/>
        </w:rPr>
        <w:tab/>
      </w:r>
      <w:r>
        <w:rPr>
          <w:rFonts w:ascii="Arial" w:cs="Arial" w:eastAsia="Arial" w:hAnsi="Arial"/>
          <w:sz w:val="14"/>
          <w:szCs w:val="14"/>
          <w:color w:val="auto"/>
        </w:rPr>
        <w:t>in aggregate principal amount of</w:t>
      </w:r>
      <w:r>
        <w:rPr>
          <w:sz w:val="20"/>
          <w:szCs w:val="20"/>
          <w:color w:val="auto"/>
        </w:rPr>
        <w:tab/>
      </w:r>
      <w:r>
        <w:rPr>
          <w:rFonts w:ascii="Arial" w:cs="Arial" w:eastAsia="Arial" w:hAnsi="Arial"/>
          <w:sz w:val="13"/>
          <w:szCs w:val="13"/>
          <w:color w:val="auto"/>
        </w:rPr>
        <w:t>% notes due 2026, which we refer to as the Notes. The Notes will mature</w:t>
      </w:r>
    </w:p>
    <w:p>
      <w:pPr>
        <w:ind w:left="120"/>
        <w:spacing w:after="0"/>
        <w:tabs>
          <w:tab w:leader="none" w:pos="860" w:val="left"/>
          <w:tab w:leader="none" w:pos="5420" w:val="left"/>
          <w:tab w:leader="none" w:pos="6240" w:val="left"/>
          <w:tab w:leader="none" w:pos="8340" w:val="left"/>
        </w:tabs>
        <w:rPr>
          <w:sz w:val="20"/>
          <w:szCs w:val="20"/>
          <w:color w:val="auto"/>
        </w:rPr>
      </w:pPr>
      <w:r>
        <w:rPr>
          <w:rFonts w:ascii="Arial" w:cs="Arial" w:eastAsia="Arial" w:hAnsi="Arial"/>
          <w:sz w:val="14"/>
          <w:szCs w:val="14"/>
          <w:color w:val="auto"/>
        </w:rPr>
        <w:t>on</w:t>
      </w:r>
      <w:r>
        <w:rPr>
          <w:sz w:val="20"/>
          <w:szCs w:val="20"/>
          <w:color w:val="auto"/>
        </w:rPr>
        <w:tab/>
      </w:r>
      <w:r>
        <w:rPr>
          <w:rFonts w:ascii="Arial" w:cs="Arial" w:eastAsia="Arial" w:hAnsi="Arial"/>
          <w:sz w:val="14"/>
          <w:szCs w:val="14"/>
          <w:color w:val="auto"/>
        </w:rPr>
        <w:t>, 2026. We will pay interest on the Notes semi-annually in arrears on</w:t>
      </w:r>
      <w:r>
        <w:rPr>
          <w:sz w:val="20"/>
          <w:szCs w:val="20"/>
          <w:color w:val="auto"/>
        </w:rPr>
        <w:tab/>
      </w:r>
      <w:r>
        <w:rPr>
          <w:rFonts w:ascii="Arial" w:cs="Arial" w:eastAsia="Arial" w:hAnsi="Arial"/>
          <w:sz w:val="14"/>
          <w:szCs w:val="14"/>
          <w:color w:val="auto"/>
        </w:rPr>
        <w:t>and</w:t>
      </w:r>
      <w:r>
        <w:rPr>
          <w:sz w:val="20"/>
          <w:szCs w:val="20"/>
          <w:color w:val="auto"/>
        </w:rPr>
        <w:tab/>
      </w:r>
      <w:r>
        <w:rPr>
          <w:rFonts w:ascii="Arial" w:cs="Arial" w:eastAsia="Arial" w:hAnsi="Arial"/>
          <w:sz w:val="14"/>
          <w:szCs w:val="14"/>
          <w:color w:val="auto"/>
        </w:rPr>
        <w:t>of each year, beginning on</w:t>
      </w:r>
      <w:r>
        <w:rPr>
          <w:sz w:val="20"/>
          <w:szCs w:val="20"/>
          <w:color w:val="auto"/>
        </w:rPr>
        <w:tab/>
      </w:r>
      <w:r>
        <w:rPr>
          <w:rFonts w:ascii="Arial" w:cs="Arial" w:eastAsia="Arial" w:hAnsi="Arial"/>
          <w:sz w:val="12"/>
          <w:szCs w:val="12"/>
          <w:color w:val="auto"/>
        </w:rPr>
        <w:t>, 2021. We may redeem the Notes in whole or</w:t>
      </w:r>
    </w:p>
    <w:p>
      <w:pPr>
        <w:ind w:left="120" w:right="160"/>
        <w:spacing w:after="0" w:line="229" w:lineRule="auto"/>
        <w:rPr>
          <w:sz w:val="20"/>
          <w:szCs w:val="20"/>
          <w:color w:val="auto"/>
        </w:rPr>
      </w:pPr>
      <w:r>
        <w:rPr>
          <w:rFonts w:ascii="Arial" w:cs="Arial" w:eastAsia="Arial" w:hAnsi="Arial"/>
          <w:sz w:val="14"/>
          <w:szCs w:val="14"/>
          <w:color w:val="auto"/>
        </w:rPr>
        <w:t>in part at any time or from time to time at the redemption price discussed under the caption “</w:t>
      </w:r>
      <w:r>
        <w:rPr>
          <w:rFonts w:ascii="Arial" w:cs="Arial" w:eastAsia="Arial" w:hAnsi="Arial"/>
          <w:sz w:val="14"/>
          <w:szCs w:val="14"/>
          <w:i w:val="1"/>
          <w:iCs w:val="1"/>
          <w:color w:val="auto"/>
        </w:rPr>
        <w:t>Description of the Notes—Optional redemption</w:t>
      </w:r>
      <w:r>
        <w:rPr>
          <w:rFonts w:ascii="Arial" w:cs="Arial" w:eastAsia="Arial" w:hAnsi="Arial"/>
          <w:sz w:val="14"/>
          <w:szCs w:val="14"/>
          <w:color w:val="auto"/>
        </w:rPr>
        <w:t>” in this prospectus supplement. In addition, holders of the Notes can require us to repurchase some or all of the Notes at a purchase price equal to 100% of their principal amount, plus accrued and unpaid interest to, but not including, the repurchase date upon the occurrence of a Change of Control Repurchase Event (as defined herein). The Notes will be issued in minimum denominations of $2,000 and integral multiples of $1,000 in excess thereof.</w:t>
      </w:r>
    </w:p>
    <w:p>
      <w:pPr>
        <w:spacing w:after="0" w:line="22" w:lineRule="exact"/>
        <w:rPr>
          <w:sz w:val="24"/>
          <w:szCs w:val="24"/>
          <w:color w:val="auto"/>
        </w:rPr>
      </w:pPr>
    </w:p>
    <w:p>
      <w:pPr>
        <w:ind w:left="120" w:right="40"/>
        <w:spacing w:after="0" w:line="226" w:lineRule="auto"/>
        <w:rPr>
          <w:sz w:val="20"/>
          <w:szCs w:val="20"/>
          <w:color w:val="auto"/>
        </w:rPr>
      </w:pPr>
      <w:r>
        <w:rPr>
          <w:rFonts w:ascii="Arial" w:cs="Arial" w:eastAsia="Arial" w:hAnsi="Arial"/>
          <w:sz w:val="14"/>
          <w:szCs w:val="14"/>
          <w:color w:val="auto"/>
        </w:rPr>
        <w:t xml:space="preserve">The Notes will be our direct unsecured obligations and rank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with any current and future unsecured unsubordinated indebtedness issued by PennantPark Investment Corporation. Because the Notes will not be secured by any of our assets, they will be effectively subordinated to all of our existing and future secured indebtedness (or any indebtedness that is initially unsecured as to which we subsequently grant a security interest) to the extent of the value of the assets securing such indebtedness. The Notes will be structurally subordinated to all existing and future indebtedness and other obligations of any of our subsidiaries because the Notes will be obligations exclusively of PennantPark Investment Corporation and not of any of our subsidiaries. The Notes will be senior in right of payment to any future outstanding series of our preferred stock. None of our subsidiaries is a guarantor of the Notes, and the Notes will not be required to be guaranteed by any subsidiary we may acquire or create in the future. As of December 31, 2020, we had approximately $560.3 million of debt outstanding, of which approximately $86.3 million was unsecured and unsubordinated indebtedness, approximately $355.5 million was indebtedness secured by substantially all of our assets (excluding assets held by our consolidated subsidiary, PennantPark SBIC II LP, or SBIC II) and $118.5 million was indebtedness secured by all the investment portfolio assets of SBIC II. None of our current indebtedness will be subordinated to the Notes. Currently, there is no public market for the Notes. We do not intend to list the Notes on any securities exchange or automated dealer quotation system.</w:t>
      </w:r>
    </w:p>
    <w:p>
      <w:pPr>
        <w:spacing w:after="0" w:line="23" w:lineRule="exact"/>
        <w:rPr>
          <w:sz w:val="24"/>
          <w:szCs w:val="24"/>
          <w:color w:val="auto"/>
        </w:rPr>
      </w:pPr>
    </w:p>
    <w:p>
      <w:pPr>
        <w:ind w:left="120" w:right="40"/>
        <w:spacing w:after="0" w:line="227" w:lineRule="auto"/>
        <w:rPr>
          <w:sz w:val="20"/>
          <w:szCs w:val="20"/>
          <w:color w:val="auto"/>
        </w:rPr>
      </w:pPr>
      <w:r>
        <w:rPr>
          <w:rFonts w:ascii="Arial" w:cs="Arial" w:eastAsia="Arial" w:hAnsi="Arial"/>
          <w:sz w:val="14"/>
          <w:szCs w:val="14"/>
          <w:color w:val="auto"/>
        </w:rPr>
        <w:t>PennantPark Investment Corporation, a Maryland corporation, is a closed-end, externally managed, non-diversified investment company that has elected to be treated as a business development company, or BDC, under the Investment Company Act of 1940, as amended, or the 1940 Act. Our investment objectives are to generate both current income and capital appreciation while seeking to preserve capital through debt and equity investments. We invest primarily in U.S. middle-market companies in the form of first lien secured debt, second lien secured debt, subordinated debt and, to a lesser extent, equity investments.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We are externally managed by PennantPark Investment Advisers, LLC. PennantPark Investment Administration, LLC provides the administrative services necessary for us to operate.</w:t>
      </w:r>
    </w:p>
    <w:p>
      <w:pPr>
        <w:spacing w:after="0" w:line="24" w:lineRule="exact"/>
        <w:rPr>
          <w:sz w:val="24"/>
          <w:szCs w:val="24"/>
          <w:color w:val="auto"/>
        </w:rPr>
      </w:pPr>
    </w:p>
    <w:p>
      <w:pPr>
        <w:ind w:left="120" w:right="40"/>
        <w:spacing w:after="0" w:line="247" w:lineRule="auto"/>
        <w:rPr>
          <w:sz w:val="20"/>
          <w:szCs w:val="20"/>
          <w:color w:val="auto"/>
        </w:rPr>
      </w:pPr>
      <w:r>
        <w:rPr>
          <w:rFonts w:ascii="Arial" w:cs="Arial" w:eastAsia="Arial" w:hAnsi="Arial"/>
          <w:sz w:val="13"/>
          <w:szCs w:val="13"/>
          <w:color w:val="auto"/>
        </w:rPr>
        <w:t xml:space="preserve">This prospectus supplement, the accompanying prospectus, any free writing prospectus, and the documents incorporated by reference in this prospectus supplement and the accompanying prospectus contain important information you should know before investing in our securities. Please read this prospectus supplement, the accompanying prospectus, any free writing prospectus, and the documents incorporated by reference in this prospectus supplement and the accompanying prospectus before you invest in our securities and keep them for future reference. We file annual, quarterly and current reports, proxy statements and other information about us with the Securities and Exchange Commission, or the SEC. You may also obtain such information free of charge or make stockholder inquiries by contacting us in writing at 590 Madison Avenue, 15th Floor, New York, NY 10022, by calling us collect at (212) 905-1000 or by visiting our website at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xml:space="preserve">. Except for the documents incorporated by reference into this prospectus supplement and the accompanying prospectus, the information on our website is not part of this prospectus supplement or the accompanying prospectus. The SEC also maintains a website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xml:space="preserve"> that contains such information free of charge.</w:t>
      </w:r>
    </w:p>
    <w:p>
      <w:pPr>
        <w:spacing w:after="0" w:line="13" w:lineRule="exact"/>
        <w:rPr>
          <w:sz w:val="24"/>
          <w:szCs w:val="24"/>
          <w:color w:val="auto"/>
        </w:rPr>
      </w:pPr>
    </w:p>
    <w:p>
      <w:pPr>
        <w:jc w:val="both"/>
        <w:ind w:left="120" w:right="10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Investing in the Notes involves a high degree of risk, including the risk of leverage. Before buying any of the Notes, you should read the discussion of the material risks of investing in us in “</w:t>
      </w:r>
      <w:r>
        <w:rPr>
          <w:rFonts w:ascii="Arial" w:cs="Arial" w:eastAsia="Arial" w:hAnsi="Arial"/>
          <w:sz w:val="14"/>
          <w:szCs w:val="14"/>
          <w:b w:val="1"/>
          <w:bCs w:val="1"/>
          <w:i w:val="1"/>
          <w:iCs w:val="1"/>
          <w:color w:val="auto"/>
        </w:rPr>
        <w:t>Risk Factors</w:t>
      </w:r>
      <w:r>
        <w:rPr>
          <w:rFonts w:ascii="Arial" w:cs="Arial" w:eastAsia="Arial" w:hAnsi="Arial"/>
          <w:sz w:val="14"/>
          <w:szCs w:val="14"/>
          <w:b w:val="1"/>
          <w:bCs w:val="1"/>
          <w:color w:val="auto"/>
        </w:rPr>
        <w:t>” beginning on page S-</w:t>
      </w:r>
      <w:hyperlink w:anchor="page14">
        <w:r>
          <w:rPr>
            <w:rFonts w:ascii="Arial" w:cs="Arial" w:eastAsia="Arial" w:hAnsi="Arial"/>
            <w:sz w:val="14"/>
            <w:szCs w:val="14"/>
            <w:b w:val="1"/>
            <w:bCs w:val="1"/>
            <w:u w:val="single" w:color="auto"/>
            <w:color w:val="0000EE"/>
          </w:rPr>
          <w:t>12</w:t>
        </w:r>
        <w:r>
          <w:rPr>
            <w:rFonts w:ascii="Arial" w:cs="Arial" w:eastAsia="Arial" w:hAnsi="Arial"/>
            <w:sz w:val="14"/>
            <w:szCs w:val="14"/>
            <w:b w:val="1"/>
            <w:bCs w:val="1"/>
            <w:u w:val="single" w:color="auto"/>
            <w:color w:val="auto"/>
          </w:rPr>
          <w:t xml:space="preserve"> </w:t>
        </w:r>
      </w:hyperlink>
      <w:r>
        <w:rPr>
          <w:rFonts w:ascii="Arial" w:cs="Arial" w:eastAsia="Arial" w:hAnsi="Arial"/>
          <w:sz w:val="14"/>
          <w:szCs w:val="14"/>
          <w:b w:val="1"/>
          <w:bCs w:val="1"/>
          <w:color w:val="auto"/>
        </w:rPr>
        <w:t xml:space="preserve">of this prospectus supplement and page </w:t>
      </w:r>
      <w:hyperlink w:anchor="page62">
        <w:r>
          <w:rPr>
            <w:rFonts w:ascii="Arial" w:cs="Arial" w:eastAsia="Arial" w:hAnsi="Arial"/>
            <w:sz w:val="14"/>
            <w:szCs w:val="14"/>
            <w:b w:val="1"/>
            <w:bCs w:val="1"/>
            <w:u w:val="single" w:color="auto"/>
            <w:color w:val="0000EE"/>
          </w:rPr>
          <w:t>7</w:t>
        </w:r>
        <w:r>
          <w:rPr>
            <w:rFonts w:ascii="Arial" w:cs="Arial" w:eastAsia="Arial" w:hAnsi="Arial"/>
            <w:sz w:val="14"/>
            <w:szCs w:val="14"/>
            <w:b w:val="1"/>
            <w:bCs w:val="1"/>
            <w:u w:val="single" w:color="auto"/>
            <w:color w:val="auto"/>
          </w:rPr>
          <w:t xml:space="preserve"> </w:t>
        </w:r>
      </w:hyperlink>
      <w:r>
        <w:rPr>
          <w:rFonts w:ascii="Arial" w:cs="Arial" w:eastAsia="Arial" w:hAnsi="Arial"/>
          <w:sz w:val="14"/>
          <w:szCs w:val="14"/>
          <w:b w:val="1"/>
          <w:bCs w:val="1"/>
          <w:color w:val="auto"/>
        </w:rPr>
        <w:t>of the accompanying prospectus, in our most recent Annual Report on Form 10-K, in our most recent Quarterly Report on Form 10-Q and in any of our other filings incorporated by reference herein.</w:t>
      </w:r>
    </w:p>
    <w:p>
      <w:pPr>
        <w:spacing w:after="0" w:line="17" w:lineRule="exact"/>
        <w:rPr>
          <w:sz w:val="20"/>
          <w:szCs w:val="20"/>
          <w:color w:val="auto"/>
        </w:rPr>
      </w:pPr>
    </w:p>
    <w:p>
      <w:pPr>
        <w:ind w:left="120" w:right="180"/>
        <w:spacing w:after="0" w:line="258" w:lineRule="auto"/>
        <w:rPr>
          <w:sz w:val="20"/>
          <w:szCs w:val="20"/>
          <w:color w:val="auto"/>
        </w:rPr>
      </w:pPr>
      <w:r>
        <w:rPr>
          <w:rFonts w:ascii="Arial" w:cs="Arial" w:eastAsia="Arial" w:hAnsi="Arial"/>
          <w:sz w:val="14"/>
          <w:szCs w:val="14"/>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5" w:lineRule="exact"/>
        <w:rPr>
          <w:sz w:val="20"/>
          <w:szCs w:val="20"/>
          <w:color w:val="auto"/>
        </w:rPr>
      </w:pPr>
    </w:p>
    <w:p>
      <w:pPr>
        <w:ind w:left="120" w:right="140"/>
        <w:spacing w:after="0" w:line="258" w:lineRule="auto"/>
        <w:rPr>
          <w:sz w:val="20"/>
          <w:szCs w:val="20"/>
          <w:color w:val="auto"/>
        </w:rPr>
      </w:pPr>
      <w:r>
        <w:rPr>
          <w:rFonts w:ascii="Arial" w:cs="Arial" w:eastAsia="Arial" w:hAnsi="Arial"/>
          <w:sz w:val="14"/>
          <w:szCs w:val="14"/>
          <w:b w:val="1"/>
          <w:bCs w:val="1"/>
          <w:color w:val="auto"/>
        </w:rPr>
        <w:t>THE NOTES ARE NOT DEPOSITS OR OTHER OBLIGATIONS OF A BANK AND ARE NOT INSURED BY THE FEDERAL DEPOSIT INSURANCE CORPORATION OR ANY OTHER GOVERNMENT AGENCY.</w:t>
      </w:r>
    </w:p>
    <w:p>
      <w:pPr>
        <w:spacing w:after="0" w:line="1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Per Note</w:t>
            </w:r>
          </w:p>
        </w:tc>
        <w:tc>
          <w:tcPr>
            <w:tcW w:w="1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142"/>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0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Public offering price</w:t>
            </w:r>
            <w:r>
              <w:rPr>
                <w:rFonts w:ascii="Arial" w:cs="Arial" w:eastAsia="Arial" w:hAnsi="Arial"/>
                <w:sz w:val="12"/>
                <w:szCs w:val="12"/>
                <w:color w:val="auto"/>
              </w:rPr>
              <w:t>(1)</w:t>
            </w:r>
          </w:p>
        </w:tc>
        <w:tc>
          <w:tcPr>
            <w:tcW w:w="26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right w:val="single" w:sz="8" w:color="CCEEFF"/>
            </w:tcBorders>
            <w:shd w:val="clear" w:color="auto" w:fill="CCEEFF"/>
          </w:tcPr>
          <w:p>
            <w:pPr>
              <w:jc w:val="right"/>
              <w:ind w:right="449"/>
              <w:spacing w:after="0"/>
              <w:rPr>
                <w:sz w:val="20"/>
                <w:szCs w:val="20"/>
                <w:color w:val="auto"/>
              </w:rPr>
            </w:pPr>
            <w:r>
              <w:rPr>
                <w:rFonts w:ascii="Arial" w:cs="Arial" w:eastAsia="Arial" w:hAnsi="Arial"/>
                <w:sz w:val="10"/>
                <w:szCs w:val="10"/>
                <w:color w:val="auto"/>
                <w:w w:val="71"/>
              </w:rPr>
              <w:t>$</w:t>
            </w:r>
          </w:p>
        </w:tc>
        <w:tc>
          <w:tcPr>
            <w:tcW w:w="1340" w:type="dxa"/>
            <w:vAlign w:val="bottom"/>
          </w:tcPr>
          <w:p>
            <w:pPr>
              <w:spacing w:after="0"/>
              <w:rPr>
                <w:sz w:val="12"/>
                <w:szCs w:val="12"/>
                <w:color w:val="auto"/>
              </w:rPr>
            </w:pPr>
          </w:p>
        </w:tc>
      </w:tr>
      <w:tr>
        <w:trPr>
          <w:trHeight w:val="148"/>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00" w:type="dxa"/>
            <w:vAlign w:val="bottom"/>
            <w:gridSpan w:val="2"/>
          </w:tcPr>
          <w:p>
            <w:pPr>
              <w:spacing w:after="0" w:line="149" w:lineRule="exact"/>
              <w:rPr>
                <w:sz w:val="20"/>
                <w:szCs w:val="20"/>
                <w:color w:val="auto"/>
              </w:rPr>
            </w:pPr>
            <w:r>
              <w:rPr>
                <w:rFonts w:ascii="Arial" w:cs="Arial" w:eastAsia="Arial" w:hAnsi="Arial"/>
                <w:sz w:val="14"/>
                <w:szCs w:val="14"/>
                <w:color w:val="auto"/>
              </w:rPr>
              <w:t>Underwriting discount (sales load)</w:t>
            </w: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580" w:type="dxa"/>
            <w:vAlign w:val="bottom"/>
          </w:tcPr>
          <w:p>
            <w:pPr>
              <w:jc w:val="right"/>
              <w:ind w:right="449"/>
              <w:spacing w:after="0"/>
              <w:rPr>
                <w:sz w:val="20"/>
                <w:szCs w:val="20"/>
                <w:color w:val="auto"/>
              </w:rPr>
            </w:pPr>
            <w:r>
              <w:rPr>
                <w:rFonts w:ascii="Arial" w:cs="Arial" w:eastAsia="Arial" w:hAnsi="Arial"/>
                <w:sz w:val="10"/>
                <w:szCs w:val="10"/>
                <w:color w:val="auto"/>
                <w:w w:val="71"/>
              </w:rPr>
              <w:t>$</w:t>
            </w:r>
          </w:p>
        </w:tc>
        <w:tc>
          <w:tcPr>
            <w:tcW w:w="1340" w:type="dxa"/>
            <w:vAlign w:val="bottom"/>
          </w:tcPr>
          <w:p>
            <w:pPr>
              <w:spacing w:after="0"/>
              <w:rPr>
                <w:sz w:val="12"/>
                <w:szCs w:val="12"/>
                <w:color w:val="auto"/>
              </w:rPr>
            </w:pPr>
          </w:p>
        </w:tc>
      </w:tr>
      <w:tr>
        <w:trPr>
          <w:trHeight w:val="149"/>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Proceeds, before expenses, to us</w:t>
            </w:r>
            <w:r>
              <w:rPr>
                <w:rFonts w:ascii="Arial" w:cs="Arial" w:eastAsia="Arial" w:hAnsi="Arial"/>
                <w:sz w:val="12"/>
                <w:szCs w:val="12"/>
                <w:color w:val="auto"/>
              </w:rPr>
              <w:t>(2)</w:t>
            </w:r>
          </w:p>
        </w:tc>
        <w:tc>
          <w:tcPr>
            <w:tcW w:w="26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ind w:right="449"/>
              <w:spacing w:after="0"/>
              <w:rPr>
                <w:sz w:val="20"/>
                <w:szCs w:val="20"/>
                <w:color w:val="auto"/>
              </w:rPr>
            </w:pPr>
            <w:r>
              <w:rPr>
                <w:rFonts w:ascii="Arial" w:cs="Arial" w:eastAsia="Arial" w:hAnsi="Arial"/>
                <w:sz w:val="10"/>
                <w:szCs w:val="10"/>
                <w:color w:val="auto"/>
                <w:w w:val="71"/>
              </w:rPr>
              <w:t>$</w:t>
            </w:r>
          </w:p>
        </w:tc>
        <w:tc>
          <w:tcPr>
            <w:tcW w:w="1340" w:type="dxa"/>
            <w:vAlign w:val="bottom"/>
          </w:tcPr>
          <w:p>
            <w:pPr>
              <w:spacing w:after="0"/>
              <w:rPr>
                <w:sz w:val="12"/>
                <w:szCs w:val="12"/>
                <w:color w:val="auto"/>
              </w:rPr>
            </w:pPr>
          </w:p>
        </w:tc>
      </w:tr>
      <w:tr>
        <w:trPr>
          <w:trHeight w:val="203"/>
        </w:trPr>
        <w:tc>
          <w:tcPr>
            <w:tcW w:w="1220" w:type="dxa"/>
            <w:vAlign w:val="bottom"/>
            <w:tcBorders>
              <w:bottom w:val="single" w:sz="8" w:color="auto"/>
            </w:tcBorders>
          </w:tcPr>
          <w:p>
            <w:pPr>
              <w:spacing w:after="0"/>
              <w:rPr>
                <w:sz w:val="17"/>
                <w:szCs w:val="17"/>
                <w:color w:val="auto"/>
              </w:rPr>
            </w:pPr>
          </w:p>
        </w:tc>
        <w:tc>
          <w:tcPr>
            <w:tcW w:w="6600" w:type="dxa"/>
            <w:vAlign w:val="bottom"/>
            <w:gridSpan w:val="5"/>
          </w:tcPr>
          <w:p>
            <w:pPr>
              <w:spacing w:after="0"/>
              <w:rPr>
                <w:sz w:val="17"/>
                <w:szCs w:val="17"/>
                <w:color w:val="auto"/>
              </w:rPr>
            </w:pPr>
          </w:p>
        </w:tc>
        <w:tc>
          <w:tcPr>
            <w:tcW w:w="3200" w:type="dxa"/>
            <w:vAlign w:val="bottom"/>
            <w:gridSpan w:val="5"/>
          </w:tcPr>
          <w:p>
            <w:pPr>
              <w:spacing w:after="0"/>
              <w:rPr>
                <w:sz w:val="17"/>
                <w:szCs w:val="17"/>
                <w:color w:val="auto"/>
              </w:rPr>
            </w:pPr>
          </w:p>
        </w:tc>
      </w:tr>
      <w:tr>
        <w:trPr>
          <w:trHeight w:val="164"/>
        </w:trPr>
        <w:tc>
          <w:tcPr>
            <w:tcW w:w="7820" w:type="dxa"/>
            <w:vAlign w:val="bottom"/>
            <w:gridSpan w:val="6"/>
          </w:tcPr>
          <w:p>
            <w:pPr>
              <w:spacing w:after="0"/>
              <w:rPr>
                <w:sz w:val="20"/>
                <w:szCs w:val="20"/>
                <w:color w:val="auto"/>
              </w:rPr>
            </w:pPr>
            <w:r>
              <w:rPr>
                <w:rFonts w:ascii="Arial" w:cs="Arial" w:eastAsia="Arial" w:hAnsi="Arial"/>
                <w:sz w:val="14"/>
                <w:szCs w:val="14"/>
                <w:color w:val="auto"/>
                <w:w w:val="93"/>
              </w:rPr>
              <w:t>(1)The public offering price set forth above does not include accrued interest, if any. Interest on the Notes will accrue from</w:t>
            </w:r>
          </w:p>
        </w:tc>
        <w:tc>
          <w:tcPr>
            <w:tcW w:w="3200" w:type="dxa"/>
            <w:vAlign w:val="bottom"/>
            <w:gridSpan w:val="5"/>
          </w:tcPr>
          <w:p>
            <w:pPr>
              <w:ind w:left="80"/>
              <w:spacing w:after="0"/>
              <w:rPr>
                <w:sz w:val="20"/>
                <w:szCs w:val="20"/>
                <w:color w:val="auto"/>
              </w:rPr>
            </w:pPr>
            <w:r>
              <w:rPr>
                <w:rFonts w:ascii="Arial" w:cs="Arial" w:eastAsia="Arial" w:hAnsi="Arial"/>
                <w:sz w:val="14"/>
                <w:szCs w:val="14"/>
                <w:color w:val="auto"/>
                <w:w w:val="93"/>
              </w:rPr>
              <w:t>, 2021 and must be paid by the purchaser if the Notes</w:t>
            </w:r>
          </w:p>
        </w:tc>
      </w:tr>
      <w:tr>
        <w:trPr>
          <w:trHeight w:val="149"/>
        </w:trPr>
        <w:tc>
          <w:tcPr>
            <w:tcW w:w="20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are delivered after</w:t>
            </w:r>
          </w:p>
        </w:tc>
        <w:tc>
          <w:tcPr>
            <w:tcW w:w="2220" w:type="dxa"/>
            <w:vAlign w:val="bottom"/>
          </w:tcPr>
          <w:p>
            <w:pPr>
              <w:jc w:val="right"/>
              <w:ind w:right="1655"/>
              <w:spacing w:after="0" w:line="149" w:lineRule="exact"/>
              <w:rPr>
                <w:sz w:val="20"/>
                <w:szCs w:val="20"/>
                <w:color w:val="auto"/>
              </w:rPr>
            </w:pPr>
            <w:r>
              <w:rPr>
                <w:rFonts w:ascii="Arial" w:cs="Arial" w:eastAsia="Arial" w:hAnsi="Arial"/>
                <w:sz w:val="14"/>
                <w:szCs w:val="14"/>
                <w:color w:val="auto"/>
              </w:rPr>
              <w:t>, 2021.</w:t>
            </w: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82"/>
        </w:trPr>
        <w:tc>
          <w:tcPr>
            <w:tcW w:w="6820" w:type="dxa"/>
            <w:vAlign w:val="bottom"/>
            <w:gridSpan w:val="5"/>
          </w:tcPr>
          <w:p>
            <w:pPr>
              <w:spacing w:after="0"/>
              <w:rPr>
                <w:sz w:val="20"/>
                <w:szCs w:val="20"/>
                <w:color w:val="auto"/>
              </w:rPr>
            </w:pPr>
            <w:r>
              <w:rPr>
                <w:rFonts w:ascii="Arial" w:cs="Arial" w:eastAsia="Arial" w:hAnsi="Arial"/>
                <w:sz w:val="14"/>
                <w:szCs w:val="14"/>
                <w:color w:val="auto"/>
                <w:w w:val="93"/>
              </w:rPr>
              <w:t>(2)Total expenses of the offering payable by us, excluding the underwriting discount, are estimated to be $</w:t>
            </w:r>
          </w:p>
        </w:tc>
        <w:tc>
          <w:tcPr>
            <w:tcW w:w="4200" w:type="dxa"/>
            <w:vAlign w:val="bottom"/>
            <w:gridSpan w:val="6"/>
          </w:tcPr>
          <w:p>
            <w:pPr>
              <w:ind w:left="180"/>
              <w:spacing w:after="0"/>
              <w:rPr>
                <w:sz w:val="20"/>
                <w:szCs w:val="20"/>
                <w:color w:val="auto"/>
              </w:rPr>
            </w:pPr>
            <w:r>
              <w:rPr>
                <w:rFonts w:ascii="Arial" w:cs="Arial" w:eastAsia="Arial" w:hAnsi="Arial"/>
                <w:sz w:val="14"/>
                <w:szCs w:val="14"/>
                <w:color w:val="auto"/>
              </w:rPr>
              <w:t>. See “</w:t>
            </w:r>
            <w:r>
              <w:rPr>
                <w:rFonts w:ascii="Arial" w:cs="Arial" w:eastAsia="Arial" w:hAnsi="Arial"/>
                <w:sz w:val="14"/>
                <w:szCs w:val="14"/>
                <w:i w:val="1"/>
                <w:iCs w:val="1"/>
                <w:color w:val="auto"/>
              </w:rPr>
              <w:t>Underwriting</w:t>
            </w:r>
            <w:r>
              <w:rPr>
                <w:rFonts w:ascii="Arial" w:cs="Arial" w:eastAsia="Arial" w:hAnsi="Arial"/>
                <w:sz w:val="14"/>
                <w:szCs w:val="14"/>
                <w:color w:val="auto"/>
              </w:rPr>
              <w:t>” in this prospectus supplement.</w:t>
            </w:r>
          </w:p>
        </w:tc>
      </w:tr>
      <w:tr>
        <w:trPr>
          <w:trHeight w:val="202"/>
        </w:trPr>
        <w:tc>
          <w:tcPr>
            <w:tcW w:w="6820" w:type="dxa"/>
            <w:vAlign w:val="bottom"/>
            <w:gridSpan w:val="5"/>
          </w:tcPr>
          <w:p>
            <w:pPr>
              <w:spacing w:after="0"/>
              <w:rPr>
                <w:sz w:val="20"/>
                <w:szCs w:val="20"/>
                <w:color w:val="auto"/>
              </w:rPr>
            </w:pPr>
            <w:r>
              <w:rPr>
                <w:rFonts w:ascii="Arial" w:cs="Arial" w:eastAsia="Arial" w:hAnsi="Arial"/>
                <w:sz w:val="14"/>
                <w:szCs w:val="14"/>
                <w:color w:val="auto"/>
                <w:w w:val="95"/>
              </w:rPr>
              <w:t>Delivery of the Notes in book-entry form through The Depository Trust Company, or DTC, will be made on or about</w:t>
            </w:r>
          </w:p>
        </w:tc>
        <w:tc>
          <w:tcPr>
            <w:tcW w:w="1000" w:type="dxa"/>
            <w:vAlign w:val="bottom"/>
          </w:tcPr>
          <w:p>
            <w:pPr>
              <w:jc w:val="right"/>
              <w:spacing w:after="0"/>
              <w:rPr>
                <w:sz w:val="20"/>
                <w:szCs w:val="20"/>
                <w:color w:val="auto"/>
              </w:rPr>
            </w:pPr>
            <w:r>
              <w:rPr>
                <w:rFonts w:ascii="Arial" w:cs="Arial" w:eastAsia="Arial" w:hAnsi="Arial"/>
                <w:sz w:val="14"/>
                <w:szCs w:val="14"/>
                <w:color w:val="auto"/>
              </w:rPr>
              <w:t>, 2021.</w:t>
            </w: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600" w:type="dxa"/>
            <w:vAlign w:val="bottom"/>
          </w:tcPr>
          <w:p>
            <w:pPr>
              <w:jc w:val="center"/>
              <w:spacing w:after="0"/>
              <w:rPr>
                <w:sz w:val="20"/>
                <w:szCs w:val="20"/>
                <w:color w:val="auto"/>
              </w:rPr>
            </w:pPr>
            <w:r>
              <w:rPr>
                <w:rFonts w:ascii="Arial" w:cs="Arial" w:eastAsia="Arial" w:hAnsi="Arial"/>
                <w:sz w:val="14"/>
                <w:szCs w:val="14"/>
                <w:i w:val="1"/>
                <w:iCs w:val="1"/>
                <w:color w:val="auto"/>
                <w:w w:val="94"/>
              </w:rPr>
              <w:t>Joint Book-Running Managers</w:t>
            </w: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81"/>
        </w:trPr>
        <w:tc>
          <w:tcPr>
            <w:tcW w:w="2000" w:type="dxa"/>
            <w:vAlign w:val="bottom"/>
            <w:gridSpan w:val="3"/>
          </w:tcPr>
          <w:p>
            <w:pPr>
              <w:ind w:left="400"/>
              <w:spacing w:after="0"/>
              <w:rPr>
                <w:sz w:val="20"/>
                <w:szCs w:val="20"/>
                <w:color w:val="auto"/>
              </w:rPr>
            </w:pPr>
            <w:r>
              <w:rPr>
                <w:rFonts w:ascii="Arial" w:cs="Arial" w:eastAsia="Arial" w:hAnsi="Arial"/>
                <w:sz w:val="22"/>
                <w:szCs w:val="22"/>
                <w:b w:val="1"/>
                <w:bCs w:val="1"/>
                <w:color w:val="auto"/>
                <w:w w:val="90"/>
              </w:rPr>
              <w:t>Raymond James</w:t>
            </w:r>
          </w:p>
        </w:tc>
        <w:tc>
          <w:tcPr>
            <w:tcW w:w="4820" w:type="dxa"/>
            <w:vAlign w:val="bottom"/>
            <w:gridSpan w:val="2"/>
          </w:tcPr>
          <w:p>
            <w:pPr>
              <w:ind w:left="1180"/>
              <w:spacing w:after="0"/>
              <w:rPr>
                <w:sz w:val="20"/>
                <w:szCs w:val="20"/>
                <w:color w:val="auto"/>
              </w:rPr>
            </w:pPr>
            <w:r>
              <w:rPr>
                <w:rFonts w:ascii="Arial" w:cs="Arial" w:eastAsia="Arial" w:hAnsi="Arial"/>
                <w:sz w:val="22"/>
                <w:szCs w:val="22"/>
                <w:b w:val="1"/>
                <w:bCs w:val="1"/>
                <w:color w:val="auto"/>
              </w:rPr>
              <w:t>Keefe, Bruyette &amp; Woods</w:t>
            </w:r>
          </w:p>
        </w:tc>
        <w:tc>
          <w:tcPr>
            <w:tcW w:w="2280" w:type="dxa"/>
            <w:vAlign w:val="bottom"/>
            <w:gridSpan w:val="4"/>
          </w:tcPr>
          <w:p>
            <w:pPr>
              <w:ind w:left="240"/>
              <w:spacing w:after="0"/>
              <w:rPr>
                <w:sz w:val="20"/>
                <w:szCs w:val="20"/>
                <w:color w:val="auto"/>
              </w:rPr>
            </w:pPr>
            <w:r>
              <w:rPr>
                <w:rFonts w:ascii="Arial" w:cs="Arial" w:eastAsia="Arial" w:hAnsi="Arial"/>
                <w:sz w:val="22"/>
                <w:szCs w:val="22"/>
                <w:b w:val="1"/>
                <w:bCs w:val="1"/>
                <w:color w:val="auto"/>
              </w:rPr>
              <w:t>Truist Securities</w:t>
            </w:r>
          </w:p>
        </w:tc>
        <w:tc>
          <w:tcPr>
            <w:tcW w:w="1920" w:type="dxa"/>
            <w:vAlign w:val="bottom"/>
            <w:gridSpan w:val="2"/>
          </w:tcPr>
          <w:p>
            <w:pPr>
              <w:ind w:left="520"/>
              <w:spacing w:after="0"/>
              <w:rPr>
                <w:sz w:val="20"/>
                <w:szCs w:val="20"/>
                <w:color w:val="auto"/>
              </w:rPr>
            </w:pPr>
            <w:r>
              <w:rPr>
                <w:rFonts w:ascii="Arial" w:cs="Arial" w:eastAsia="Arial" w:hAnsi="Arial"/>
                <w:sz w:val="22"/>
                <w:szCs w:val="22"/>
                <w:b w:val="1"/>
                <w:bCs w:val="1"/>
                <w:color w:val="auto"/>
              </w:rPr>
              <w:t>J.P. Morgan</w:t>
            </w:r>
          </w:p>
        </w:tc>
      </w:tr>
      <w:tr>
        <w:trPr>
          <w:trHeight w:val="230"/>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Arial" w:cs="Arial" w:eastAsia="Arial" w:hAnsi="Arial"/>
                <w:sz w:val="18"/>
                <w:szCs w:val="18"/>
                <w:i w:val="1"/>
                <w:iCs w:val="1"/>
                <w:color w:val="auto"/>
              </w:rPr>
              <w:t>A Stifel Company</w:t>
            </w: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600" w:type="dxa"/>
            <w:vAlign w:val="bottom"/>
          </w:tcPr>
          <w:p>
            <w:pPr>
              <w:jc w:val="center"/>
              <w:spacing w:after="0"/>
              <w:rPr>
                <w:sz w:val="20"/>
                <w:szCs w:val="20"/>
                <w:color w:val="auto"/>
              </w:rPr>
            </w:pPr>
            <w:r>
              <w:rPr>
                <w:rFonts w:ascii="Arial" w:cs="Arial" w:eastAsia="Arial" w:hAnsi="Arial"/>
                <w:sz w:val="14"/>
                <w:szCs w:val="14"/>
                <w:i w:val="1"/>
                <w:iCs w:val="1"/>
                <w:color w:val="auto"/>
                <w:w w:val="94"/>
              </w:rPr>
              <w:t>Co-Managers</w:t>
            </w: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34"/>
        </w:trPr>
        <w:tc>
          <w:tcPr>
            <w:tcW w:w="2000" w:type="dxa"/>
            <w:vAlign w:val="bottom"/>
            <w:gridSpan w:val="3"/>
          </w:tcPr>
          <w:p>
            <w:pPr>
              <w:spacing w:after="0"/>
              <w:rPr>
                <w:sz w:val="20"/>
                <w:szCs w:val="20"/>
                <w:color w:val="auto"/>
              </w:rPr>
            </w:pPr>
            <w:r>
              <w:rPr>
                <w:rFonts w:ascii="Arial" w:cs="Arial" w:eastAsia="Arial" w:hAnsi="Arial"/>
                <w:sz w:val="18"/>
                <w:szCs w:val="18"/>
                <w:b w:val="1"/>
                <w:bCs w:val="1"/>
                <w:color w:val="auto"/>
              </w:rPr>
              <w:t>Compass Point</w:t>
            </w: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rPr>
              <w:t>JMP Securities</w:t>
            </w:r>
          </w:p>
        </w:tc>
        <w:tc>
          <w:tcPr>
            <w:tcW w:w="3600" w:type="dxa"/>
            <w:vAlign w:val="bottom"/>
            <w:gridSpan w:val="2"/>
          </w:tcPr>
          <w:p>
            <w:pPr>
              <w:jc w:val="right"/>
              <w:ind w:right="119"/>
              <w:spacing w:after="0"/>
              <w:rPr>
                <w:sz w:val="20"/>
                <w:szCs w:val="20"/>
                <w:color w:val="auto"/>
              </w:rPr>
            </w:pPr>
            <w:r>
              <w:rPr>
                <w:rFonts w:ascii="Arial" w:cs="Arial" w:eastAsia="Arial" w:hAnsi="Arial"/>
                <w:sz w:val="18"/>
                <w:szCs w:val="18"/>
                <w:b w:val="1"/>
                <w:bCs w:val="1"/>
                <w:color w:val="auto"/>
              </w:rPr>
              <w:t>Ladenburg Thalmann</w:t>
            </w: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gridSpan w:val="2"/>
          </w:tcPr>
          <w:p>
            <w:pPr>
              <w:ind w:left="180"/>
              <w:spacing w:after="0"/>
              <w:rPr>
                <w:sz w:val="20"/>
                <w:szCs w:val="20"/>
                <w:color w:val="auto"/>
              </w:rPr>
            </w:pPr>
            <w:r>
              <w:rPr>
                <w:rFonts w:ascii="Arial" w:cs="Arial" w:eastAsia="Arial" w:hAnsi="Arial"/>
                <w:sz w:val="18"/>
                <w:szCs w:val="18"/>
                <w:b w:val="1"/>
                <w:bCs w:val="1"/>
                <w:color w:val="auto"/>
                <w:w w:val="89"/>
              </w:rPr>
              <w:t>Capital One Securities</w:t>
            </w:r>
          </w:p>
        </w:tc>
      </w:tr>
      <w:tr>
        <w:trPr>
          <w:trHeight w:val="218"/>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20" w:type="dxa"/>
            <w:vAlign w:val="bottom"/>
            <w:gridSpan w:val="2"/>
          </w:tcPr>
          <w:p>
            <w:pPr>
              <w:ind w:left="1720"/>
              <w:spacing w:after="0"/>
              <w:rPr>
                <w:sz w:val="20"/>
                <w:szCs w:val="20"/>
                <w:color w:val="auto"/>
              </w:rPr>
            </w:pPr>
            <w:r>
              <w:rPr>
                <w:rFonts w:ascii="Arial" w:cs="Arial" w:eastAsia="Arial" w:hAnsi="Arial"/>
                <w:sz w:val="14"/>
                <w:szCs w:val="14"/>
                <w:b w:val="1"/>
                <w:bCs w:val="1"/>
                <w:color w:val="auto"/>
              </w:rPr>
              <w:t>The date of this prospectus supplement is</w:t>
            </w:r>
          </w:p>
        </w:tc>
        <w:tc>
          <w:tcPr>
            <w:tcW w:w="1000" w:type="dxa"/>
            <w:vAlign w:val="bottom"/>
          </w:tcPr>
          <w:p>
            <w:pPr>
              <w:jc w:val="right"/>
              <w:ind w:right="439"/>
              <w:spacing w:after="0"/>
              <w:rPr>
                <w:sz w:val="20"/>
                <w:szCs w:val="20"/>
                <w:color w:val="auto"/>
              </w:rPr>
            </w:pPr>
            <w:r>
              <w:rPr>
                <w:rFonts w:ascii="Arial" w:cs="Arial" w:eastAsia="Arial" w:hAnsi="Arial"/>
                <w:sz w:val="14"/>
                <w:szCs w:val="14"/>
                <w:b w:val="1"/>
                <w:bCs w:val="1"/>
                <w:color w:val="auto"/>
              </w:rPr>
              <w:t>, 2021.</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r>
    </w:tbl>
    <w:p>
      <w:pPr>
        <w:sectPr>
          <w:pgSz w:w="11900" w:h="16838" w:orient="portrait"/>
          <w:cols w:equalWidth="0" w:num="1">
            <w:col w:w="11140"/>
          </w:cols>
          <w:pgMar w:left="320" w:top="230" w:right="4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060" w:type="dxa"/>
            <w:vAlign w:val="bottom"/>
            <w:gridSpan w:val="3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0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6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8"/>
              </w:rPr>
              <w:t>TABLE OF CONTENTS</w:t>
            </w:r>
          </w:p>
        </w:tc>
        <w:tc>
          <w:tcPr>
            <w:tcW w:w="402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gridSpan w:val="7"/>
          </w:tcPr>
          <w:p>
            <w:pPr>
              <w:jc w:val="center"/>
              <w:ind w:left="110"/>
              <w:spacing w:after="0"/>
              <w:rPr>
                <w:sz w:val="20"/>
                <w:szCs w:val="20"/>
                <w:color w:val="auto"/>
              </w:rPr>
            </w:pPr>
            <w:r>
              <w:rPr>
                <w:rFonts w:ascii="Arial" w:cs="Arial" w:eastAsia="Arial" w:hAnsi="Arial"/>
                <w:sz w:val="18"/>
                <w:szCs w:val="18"/>
                <w:b w:val="1"/>
                <w:bCs w:val="1"/>
                <w:color w:val="auto"/>
                <w:w w:val="97"/>
              </w:rPr>
              <w:t>PROSPECTUS SUPPLEMENT</w:t>
            </w:r>
          </w:p>
        </w:tc>
        <w:tc>
          <w:tcPr>
            <w:tcW w:w="40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3440" w:type="dxa"/>
            <w:vAlign w:val="bottom"/>
            <w:tcBorders>
              <w:bottom w:val="single" w:sz="8" w:color="0000EE"/>
            </w:tcBorders>
            <w:gridSpan w:val="22"/>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ABOUT THIS PROSPECTUS SUPPLEMENT</w:t>
              </w:r>
            </w:hyperlink>
          </w:p>
        </w:tc>
        <w:tc>
          <w:tcPr>
            <w:tcW w:w="3500" w:type="dxa"/>
            <w:vAlign w:val="bottom"/>
            <w:gridSpan w:val="9"/>
          </w:tcPr>
          <w:p>
            <w:pPr>
              <w:spacing w:after="0"/>
              <w:rPr>
                <w:sz w:val="24"/>
                <w:szCs w:val="24"/>
                <w:color w:val="auto"/>
              </w:rPr>
            </w:pPr>
          </w:p>
        </w:tc>
        <w:tc>
          <w:tcPr>
            <w:tcW w:w="402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THE OFFERING</w:t>
              </w:r>
            </w:hyperlink>
          </w:p>
        </w:tc>
        <w:tc>
          <w:tcPr>
            <w:tcW w:w="5660" w:type="dxa"/>
            <w:vAlign w:val="bottom"/>
            <w:gridSpan w:val="29"/>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S-2</w:t>
            </w: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PROSPECTUS SUPPLEMENT SUMMARY</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196"/>
        </w:trPr>
        <w:tc>
          <w:tcPr>
            <w:tcW w:w="120" w:type="dxa"/>
            <w:vAlign w:val="bottom"/>
          </w:tcPr>
          <w:p>
            <w:pPr>
              <w:spacing w:after="0"/>
              <w:rPr>
                <w:sz w:val="17"/>
                <w:szCs w:val="17"/>
                <w:color w:val="auto"/>
              </w:rPr>
            </w:pPr>
          </w:p>
        </w:tc>
        <w:tc>
          <w:tcPr>
            <w:tcW w:w="32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FORWARD-LOOKING STATEMENTS</w:t>
              </w:r>
            </w:hyperlink>
          </w:p>
        </w:tc>
        <w:tc>
          <w:tcPr>
            <w:tcW w:w="3660" w:type="dxa"/>
            <w:vAlign w:val="bottom"/>
            <w:gridSpan w:val="11"/>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120" w:type="dxa"/>
            <w:vAlign w:val="bottom"/>
          </w:tcPr>
          <w:p>
            <w:pPr>
              <w:spacing w:after="0"/>
              <w:rPr>
                <w:sz w:val="17"/>
                <w:szCs w:val="17"/>
                <w:color w:val="auto"/>
              </w:rPr>
            </w:pPr>
          </w:p>
        </w:tc>
        <w:tc>
          <w:tcPr>
            <w:tcW w:w="29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4020" w:type="dxa"/>
            <w:vAlign w:val="bottom"/>
            <w:gridSpan w:val="13"/>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r>
      <w:tr>
        <w:trPr>
          <w:trHeight w:val="20"/>
        </w:trPr>
        <w:tc>
          <w:tcPr>
            <w:tcW w:w="1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USE OF PROCEEDS</w:t>
              </w:r>
            </w:hyperlink>
          </w:p>
        </w:tc>
        <w:tc>
          <w:tcPr>
            <w:tcW w:w="5360" w:type="dxa"/>
            <w:vAlign w:val="bottom"/>
            <w:gridSpan w:val="25"/>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S-17</w:t>
            </w:r>
          </w:p>
        </w:tc>
      </w:tr>
      <w:tr>
        <w:trPr>
          <w:trHeight w:val="196"/>
        </w:trPr>
        <w:tc>
          <w:tcPr>
            <w:tcW w:w="120" w:type="dxa"/>
            <w:vAlign w:val="bottom"/>
          </w:tcPr>
          <w:p>
            <w:pPr>
              <w:spacing w:after="0"/>
              <w:rPr>
                <w:sz w:val="17"/>
                <w:szCs w:val="17"/>
                <w:color w:val="auto"/>
              </w:rPr>
            </w:pPr>
          </w:p>
        </w:tc>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20">
              <w:r>
                <w:rPr>
                  <w:rFonts w:ascii="Arial" w:cs="Arial" w:eastAsia="Arial" w:hAnsi="Arial"/>
                  <w:sz w:val="18"/>
                  <w:szCs w:val="18"/>
                  <w:color w:val="0000EE"/>
                  <w:w w:val="93"/>
                </w:rPr>
                <w:t>SENIOR SECURITIES</w:t>
              </w:r>
            </w:hyperlink>
          </w:p>
        </w:tc>
        <w:tc>
          <w:tcPr>
            <w:tcW w:w="5220" w:type="dxa"/>
            <w:vAlign w:val="bottom"/>
            <w:gridSpan w:val="24"/>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S-18</w:t>
            </w:r>
          </w:p>
        </w:tc>
      </w:tr>
      <w:tr>
        <w:trPr>
          <w:trHeight w:val="196"/>
        </w:trPr>
        <w:tc>
          <w:tcPr>
            <w:tcW w:w="120" w:type="dxa"/>
            <w:vAlign w:val="bottom"/>
          </w:tcPr>
          <w:p>
            <w:pPr>
              <w:spacing w:after="0"/>
              <w:rPr>
                <w:sz w:val="17"/>
                <w:szCs w:val="17"/>
                <w:color w:val="auto"/>
              </w:rPr>
            </w:pPr>
          </w:p>
        </w:tc>
        <w:tc>
          <w:tcPr>
            <w:tcW w:w="148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22">
              <w:r>
                <w:rPr>
                  <w:rFonts w:ascii="Arial" w:cs="Arial" w:eastAsia="Arial" w:hAnsi="Arial"/>
                  <w:sz w:val="18"/>
                  <w:szCs w:val="18"/>
                  <w:color w:val="0000EE"/>
                  <w:w w:val="99"/>
                </w:rPr>
                <w:t>CAPITALIZATION</w:t>
              </w:r>
            </w:hyperlink>
          </w:p>
        </w:tc>
        <w:tc>
          <w:tcPr>
            <w:tcW w:w="5460" w:type="dxa"/>
            <w:vAlign w:val="bottom"/>
            <w:gridSpan w:val="26"/>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S-20</w:t>
            </w:r>
          </w:p>
        </w:tc>
      </w:tr>
      <w:tr>
        <w:trPr>
          <w:trHeight w:val="196"/>
        </w:trPr>
        <w:tc>
          <w:tcPr>
            <w:tcW w:w="120" w:type="dxa"/>
            <w:vAlign w:val="bottom"/>
          </w:tcPr>
          <w:p>
            <w:pPr>
              <w:spacing w:after="0"/>
              <w:rPr>
                <w:sz w:val="17"/>
                <w:szCs w:val="17"/>
                <w:color w:val="auto"/>
              </w:rPr>
            </w:pPr>
          </w:p>
        </w:tc>
        <w:tc>
          <w:tcPr>
            <w:tcW w:w="246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DESCRIPTION OF THE NOTES</w:t>
              </w:r>
            </w:hyperlink>
          </w:p>
        </w:tc>
        <w:tc>
          <w:tcPr>
            <w:tcW w:w="4480" w:type="dxa"/>
            <w:vAlign w:val="bottom"/>
            <w:gridSpan w:val="17"/>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S-21</w:t>
            </w: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CERTAIN U.S. FEDERAL INCOME TAX CONSIDERATIONS</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S-37</w:t>
            </w:r>
          </w:p>
        </w:tc>
      </w:tr>
      <w:tr>
        <w:trPr>
          <w:trHeight w:val="196"/>
        </w:trPr>
        <w:tc>
          <w:tcPr>
            <w:tcW w:w="120" w:type="dxa"/>
            <w:vAlign w:val="bottom"/>
          </w:tcPr>
          <w:p>
            <w:pPr>
              <w:spacing w:after="0"/>
              <w:rPr>
                <w:sz w:val="17"/>
                <w:szCs w:val="17"/>
                <w:color w:val="auto"/>
              </w:rPr>
            </w:pPr>
          </w:p>
        </w:tc>
        <w:tc>
          <w:tcPr>
            <w:tcW w:w="47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UNDERWRITING</w:t>
              </w:r>
            </w:hyperlink>
          </w:p>
        </w:tc>
        <w:tc>
          <w:tcPr>
            <w:tcW w:w="2240" w:type="dxa"/>
            <w:vAlign w:val="bottom"/>
            <w:gridSpan w:val="4"/>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S-41</w:t>
            </w:r>
          </w:p>
        </w:tc>
      </w:tr>
      <w:tr>
        <w:trPr>
          <w:trHeight w:val="20"/>
        </w:trPr>
        <w:tc>
          <w:tcPr>
            <w:tcW w:w="120" w:type="dxa"/>
            <w:vAlign w:val="bottom"/>
          </w:tcPr>
          <w:p>
            <w:pPr>
              <w:spacing w:after="0" w:line="20" w:lineRule="exact"/>
              <w:rPr>
                <w:sz w:val="1"/>
                <w:szCs w:val="1"/>
                <w:color w:val="auto"/>
              </w:rPr>
            </w:pPr>
          </w:p>
        </w:tc>
        <w:tc>
          <w:tcPr>
            <w:tcW w:w="13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50">
              <w:r>
                <w:rPr>
                  <w:rFonts w:ascii="Arial" w:cs="Arial" w:eastAsia="Arial" w:hAnsi="Arial"/>
                  <w:sz w:val="18"/>
                  <w:szCs w:val="18"/>
                  <w:color w:val="0000EE"/>
                  <w:w w:val="96"/>
                </w:rPr>
                <w:t>LEGAL MATTERS</w:t>
              </w:r>
            </w:hyperlink>
          </w:p>
        </w:tc>
        <w:tc>
          <w:tcPr>
            <w:tcW w:w="5480" w:type="dxa"/>
            <w:vAlign w:val="bottom"/>
            <w:gridSpan w:val="27"/>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S-48</w:t>
            </w:r>
          </w:p>
        </w:tc>
      </w:tr>
      <w:tr>
        <w:trPr>
          <w:trHeight w:val="196"/>
        </w:trPr>
        <w:tc>
          <w:tcPr>
            <w:tcW w:w="120" w:type="dxa"/>
            <w:vAlign w:val="bottom"/>
          </w:tcPr>
          <w:p>
            <w:pPr>
              <w:spacing w:after="0"/>
              <w:rPr>
                <w:sz w:val="17"/>
                <w:szCs w:val="17"/>
                <w:color w:val="auto"/>
              </w:rPr>
            </w:pPr>
          </w:p>
        </w:tc>
        <w:tc>
          <w:tcPr>
            <w:tcW w:w="4800" w:type="dxa"/>
            <w:vAlign w:val="bottom"/>
            <w:tcBorders>
              <w:bottom w:val="single" w:sz="8" w:color="0000EE"/>
            </w:tcBorders>
            <w:gridSpan w:val="28"/>
          </w:tcPr>
          <w:p>
            <w:pPr>
              <w:spacing w:after="0" w:line="196" w:lineRule="exact"/>
              <w:rPr>
                <w:rFonts w:ascii="Arial" w:cs="Arial" w:eastAsia="Arial" w:hAnsi="Arial"/>
                <w:sz w:val="18"/>
                <w:szCs w:val="18"/>
                <w:color w:val="0000EE"/>
                <w:w w:val="96"/>
              </w:rPr>
            </w:pPr>
            <w:hyperlink w:anchor="page50">
              <w:r>
                <w:rPr>
                  <w:rFonts w:ascii="Arial" w:cs="Arial" w:eastAsia="Arial" w:hAnsi="Arial"/>
                  <w:sz w:val="18"/>
                  <w:szCs w:val="18"/>
                  <w:color w:val="0000EE"/>
                  <w:w w:val="96"/>
                </w:rPr>
                <w:t>INDEPENDENT REGISTERED PUBLIC ACCOUNTING FIRM</w:t>
              </w:r>
            </w:hyperlink>
          </w:p>
        </w:tc>
        <w:tc>
          <w:tcPr>
            <w:tcW w:w="2140" w:type="dxa"/>
            <w:vAlign w:val="bottom"/>
            <w:gridSpan w:val="3"/>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S-48</w:t>
            </w:r>
          </w:p>
        </w:tc>
      </w:tr>
      <w:tr>
        <w:trPr>
          <w:trHeight w:val="196"/>
        </w:trPr>
        <w:tc>
          <w:tcPr>
            <w:tcW w:w="120" w:type="dxa"/>
            <w:vAlign w:val="bottom"/>
          </w:tcPr>
          <w:p>
            <w:pPr>
              <w:spacing w:after="0"/>
              <w:rPr>
                <w:sz w:val="17"/>
                <w:szCs w:val="17"/>
                <w:color w:val="auto"/>
              </w:rPr>
            </w:pPr>
          </w:p>
        </w:tc>
        <w:tc>
          <w:tcPr>
            <w:tcW w:w="284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51">
              <w:r>
                <w:rPr>
                  <w:rFonts w:ascii="Arial" w:cs="Arial" w:eastAsia="Arial" w:hAnsi="Arial"/>
                  <w:sz w:val="18"/>
                  <w:szCs w:val="18"/>
                  <w:color w:val="0000EE"/>
                  <w:w w:val="94"/>
                </w:rPr>
                <w:t>INCORPORATION BY REFERENCE</w:t>
              </w:r>
            </w:hyperlink>
          </w:p>
        </w:tc>
        <w:tc>
          <w:tcPr>
            <w:tcW w:w="4100" w:type="dxa"/>
            <w:vAlign w:val="bottom"/>
            <w:gridSpan w:val="15"/>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S-49</w:t>
            </w: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AVAILABLE INFORMATION</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S-50</w:t>
            </w:r>
          </w:p>
        </w:tc>
      </w:tr>
      <w:tr>
        <w:trPr>
          <w:trHeight w:val="668"/>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6"/>
              </w:rPr>
              <w:t>PROSPECTUS</w:t>
            </w:r>
          </w:p>
        </w:tc>
        <w:tc>
          <w:tcPr>
            <w:tcW w:w="40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6940" w:type="dxa"/>
            <w:vAlign w:val="bottom"/>
            <w:gridSpan w:val="31"/>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PROSPECTUS SUMMARY</w:t>
              </w:r>
            </w:hyperlink>
          </w:p>
        </w:tc>
        <w:tc>
          <w:tcPr>
            <w:tcW w:w="4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20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FEES AND EXPENSES</w:t>
              </w:r>
            </w:hyperlink>
          </w:p>
        </w:tc>
        <w:tc>
          <w:tcPr>
            <w:tcW w:w="4860" w:type="dxa"/>
            <w:vAlign w:val="bottom"/>
            <w:gridSpan w:val="21"/>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0" w:type="dxa"/>
            <w:vAlign w:val="bottom"/>
          </w:tcPr>
          <w:p>
            <w:pPr>
              <w:spacing w:after="0"/>
              <w:rPr>
                <w:sz w:val="17"/>
                <w:szCs w:val="17"/>
                <w:color w:val="auto"/>
              </w:rPr>
            </w:pPr>
          </w:p>
        </w:tc>
        <w:tc>
          <w:tcPr>
            <w:tcW w:w="17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RISK FACTORS</w:t>
              </w:r>
            </w:hyperlink>
          </w:p>
        </w:tc>
        <w:tc>
          <w:tcPr>
            <w:tcW w:w="5160" w:type="dxa"/>
            <w:vAlign w:val="bottom"/>
            <w:gridSpan w:val="23"/>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FORWARD-LOOKING STATEMENTS</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USE OF PROCEEDS</w:t>
              </w:r>
            </w:hyperlink>
          </w:p>
        </w:tc>
        <w:tc>
          <w:tcPr>
            <w:tcW w:w="1340" w:type="dxa"/>
            <w:vAlign w:val="bottom"/>
            <w:tcBorders>
              <w:top w:val="single" w:sz="8" w:color="0000EE"/>
            </w:tcBorders>
            <w:gridSpan w:val="12"/>
          </w:tcPr>
          <w:p>
            <w:pPr>
              <w:spacing w:after="0"/>
              <w:rPr>
                <w:sz w:val="17"/>
                <w:szCs w:val="17"/>
                <w:color w:val="auto"/>
              </w:rPr>
            </w:pPr>
          </w:p>
        </w:tc>
        <w:tc>
          <w:tcPr>
            <w:tcW w:w="4020" w:type="dxa"/>
            <w:vAlign w:val="bottom"/>
            <w:gridSpan w:val="13"/>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20" w:type="dxa"/>
            <w:vAlign w:val="bottom"/>
          </w:tcPr>
          <w:p>
            <w:pPr>
              <w:spacing w:after="0"/>
              <w:rPr>
                <w:sz w:val="17"/>
                <w:szCs w:val="17"/>
                <w:color w:val="auto"/>
              </w:rPr>
            </w:pPr>
          </w:p>
        </w:tc>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66">
              <w:r>
                <w:rPr>
                  <w:rFonts w:ascii="Arial" w:cs="Arial" w:eastAsia="Arial" w:hAnsi="Arial"/>
                  <w:sz w:val="18"/>
                  <w:szCs w:val="18"/>
                  <w:color w:val="0000EE"/>
                  <w:w w:val="93"/>
                </w:rPr>
                <w:t>SENIOR SECURITIES</w:t>
              </w:r>
            </w:hyperlink>
          </w:p>
        </w:tc>
        <w:tc>
          <w:tcPr>
            <w:tcW w:w="5220" w:type="dxa"/>
            <w:vAlign w:val="bottom"/>
            <w:gridSpan w:val="24"/>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20" w:type="dxa"/>
            <w:vAlign w:val="bottom"/>
          </w:tcPr>
          <w:p>
            <w:pPr>
              <w:spacing w:after="0"/>
              <w:rPr>
                <w:sz w:val="17"/>
                <w:szCs w:val="17"/>
                <w:color w:val="auto"/>
              </w:rPr>
            </w:pPr>
          </w:p>
        </w:tc>
        <w:tc>
          <w:tcPr>
            <w:tcW w:w="296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w:anchor="page67">
              <w:r>
                <w:rPr>
                  <w:rFonts w:ascii="Arial" w:cs="Arial" w:eastAsia="Arial" w:hAnsi="Arial"/>
                  <w:sz w:val="18"/>
                  <w:szCs w:val="18"/>
                  <w:color w:val="0000EE"/>
                  <w:w w:val="94"/>
                </w:rPr>
                <w:t>PRICE RANGE OF COMMON STOCK</w:t>
              </w:r>
            </w:hyperlink>
          </w:p>
        </w:tc>
        <w:tc>
          <w:tcPr>
            <w:tcW w:w="3980" w:type="dxa"/>
            <w:vAlign w:val="bottom"/>
            <w:gridSpan w:val="12"/>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20" w:type="dxa"/>
            <w:vAlign w:val="bottom"/>
          </w:tcPr>
          <w:p>
            <w:pPr>
              <w:spacing w:after="0"/>
              <w:rPr>
                <w:sz w:val="17"/>
                <w:szCs w:val="17"/>
                <w:color w:val="auto"/>
              </w:rPr>
            </w:pPr>
          </w:p>
        </w:tc>
        <w:tc>
          <w:tcPr>
            <w:tcW w:w="4640" w:type="dxa"/>
            <w:vAlign w:val="bottom"/>
            <w:tcBorders>
              <w:bottom w:val="single" w:sz="8" w:color="0000EE"/>
            </w:tcBorders>
            <w:gridSpan w:val="26"/>
          </w:tcPr>
          <w:p>
            <w:pPr>
              <w:spacing w:after="0" w:line="196" w:lineRule="exact"/>
              <w:rPr>
                <w:rFonts w:ascii="Arial" w:cs="Arial" w:eastAsia="Arial" w:hAnsi="Arial"/>
                <w:sz w:val="18"/>
                <w:szCs w:val="18"/>
                <w:color w:val="0000EE"/>
                <w:w w:val="95"/>
              </w:rPr>
            </w:pPr>
            <w:hyperlink w:anchor="page68">
              <w:r>
                <w:rPr>
                  <w:rFonts w:ascii="Arial" w:cs="Arial" w:eastAsia="Arial" w:hAnsi="Arial"/>
                  <w:sz w:val="18"/>
                  <w:szCs w:val="18"/>
                  <w:color w:val="0000EE"/>
                  <w:w w:val="95"/>
                </w:rPr>
                <w:t>SALES OF COMMON STOCK BELOW NET ASSET VALUE</w:t>
              </w:r>
            </w:hyperlink>
          </w:p>
        </w:tc>
        <w:tc>
          <w:tcPr>
            <w:tcW w:w="2300" w:type="dxa"/>
            <w:vAlign w:val="bottom"/>
            <w:gridSpan w:val="5"/>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20" w:type="dxa"/>
            <w:vAlign w:val="bottom"/>
          </w:tcPr>
          <w:p>
            <w:pPr>
              <w:spacing w:after="0"/>
              <w:rPr>
                <w:sz w:val="17"/>
                <w:szCs w:val="17"/>
                <w:color w:val="auto"/>
              </w:rPr>
            </w:pPr>
          </w:p>
        </w:tc>
        <w:tc>
          <w:tcPr>
            <w:tcW w:w="138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73">
              <w:r>
                <w:rPr>
                  <w:rFonts w:ascii="Arial" w:cs="Arial" w:eastAsia="Arial" w:hAnsi="Arial"/>
                  <w:sz w:val="18"/>
                  <w:szCs w:val="18"/>
                  <w:color w:val="0000EE"/>
                  <w:w w:val="96"/>
                </w:rPr>
                <w:t>DISTRIBUTIONS</w:t>
              </w:r>
            </w:hyperlink>
          </w:p>
        </w:tc>
        <w:tc>
          <w:tcPr>
            <w:tcW w:w="5560" w:type="dxa"/>
            <w:vAlign w:val="bottom"/>
            <w:gridSpan w:val="28"/>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PORTFOLIO COMPANIES</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12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32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w:anchor="page81">
              <w:r>
                <w:rPr>
                  <w:rFonts w:ascii="Arial" w:cs="Arial" w:eastAsia="Arial" w:hAnsi="Arial"/>
                  <w:sz w:val="18"/>
                  <w:szCs w:val="18"/>
                  <w:color w:val="0000EE"/>
                  <w:w w:val="96"/>
                </w:rPr>
                <w:t>PORTFOLIO MANAGEMENT</w:t>
              </w:r>
            </w:hyperlink>
          </w:p>
        </w:tc>
        <w:tc>
          <w:tcPr>
            <w:tcW w:w="4620" w:type="dxa"/>
            <w:vAlign w:val="bottom"/>
            <w:gridSpan w:val="19"/>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DETERMINATION OF NET ASSET VALUE</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8"/>
              </w:rPr>
            </w:pPr>
            <w:hyperlink w:anchor="page86">
              <w:r>
                <w:rPr>
                  <w:rFonts w:ascii="Arial" w:cs="Arial" w:eastAsia="Arial" w:hAnsi="Arial"/>
                  <w:sz w:val="18"/>
                  <w:szCs w:val="18"/>
                  <w:color w:val="0000EE"/>
                  <w:w w:val="98"/>
                </w:rPr>
                <w:t>DIVIDEND REINVESTMENT PLAN</w:t>
              </w:r>
            </w:hyperlink>
          </w:p>
        </w:tc>
        <w:tc>
          <w:tcPr>
            <w:tcW w:w="540" w:type="dxa"/>
            <w:vAlign w:val="bottom"/>
            <w:tcBorders>
              <w:top w:val="single" w:sz="8" w:color="0000EE"/>
            </w:tcBorders>
            <w:gridSpan w:val="6"/>
          </w:tcPr>
          <w:p>
            <w:pPr>
              <w:spacing w:after="0"/>
              <w:rPr>
                <w:sz w:val="17"/>
                <w:szCs w:val="17"/>
                <w:color w:val="auto"/>
              </w:rPr>
            </w:pPr>
          </w:p>
        </w:tc>
        <w:tc>
          <w:tcPr>
            <w:tcW w:w="3580" w:type="dxa"/>
            <w:vAlign w:val="bottom"/>
            <w:gridSpan w:val="10"/>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DESCRIPTION OF OUR CAPITAL STOCK</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12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DESCRIPTION OF OUR PREFERRED STOCK</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20" w:type="dxa"/>
            <w:vAlign w:val="bottom"/>
          </w:tcPr>
          <w:p>
            <w:pPr>
              <w:spacing w:after="0"/>
              <w:rPr>
                <w:sz w:val="17"/>
                <w:szCs w:val="17"/>
                <w:color w:val="auto"/>
              </w:rPr>
            </w:pPr>
          </w:p>
        </w:tc>
        <w:tc>
          <w:tcPr>
            <w:tcW w:w="35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DESCRIPTION OF OUR WARRANTS</w:t>
              </w:r>
            </w:hyperlink>
          </w:p>
        </w:tc>
        <w:tc>
          <w:tcPr>
            <w:tcW w:w="3380" w:type="dxa"/>
            <w:vAlign w:val="bottom"/>
            <w:gridSpan w:val="8"/>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12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DESCRIPTION OF OUR SUBSCRIPTION RIGHTS</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20" w:type="dxa"/>
            <w:vAlign w:val="bottom"/>
          </w:tcPr>
          <w:p>
            <w:pPr>
              <w:spacing w:after="0"/>
              <w:rPr>
                <w:sz w:val="17"/>
                <w:szCs w:val="17"/>
                <w:color w:val="auto"/>
              </w:rPr>
            </w:pPr>
          </w:p>
        </w:tc>
        <w:tc>
          <w:tcPr>
            <w:tcW w:w="38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DESCRIPTION OF OUR DEBT SECURITIES</w:t>
              </w:r>
            </w:hyperlink>
          </w:p>
        </w:tc>
        <w:tc>
          <w:tcPr>
            <w:tcW w:w="3060" w:type="dxa"/>
            <w:vAlign w:val="bottom"/>
            <w:gridSpan w:val="7"/>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120" w:type="dxa"/>
            <w:vAlign w:val="bottom"/>
          </w:tcPr>
          <w:p>
            <w:pPr>
              <w:spacing w:after="0"/>
              <w:rPr>
                <w:sz w:val="17"/>
                <w:szCs w:val="17"/>
                <w:color w:val="auto"/>
              </w:rPr>
            </w:pPr>
          </w:p>
        </w:tc>
        <w:tc>
          <w:tcPr>
            <w:tcW w:w="34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DESCRIPTION OF OUR UNITS</w:t>
              </w:r>
            </w:hyperlink>
          </w:p>
        </w:tc>
        <w:tc>
          <w:tcPr>
            <w:tcW w:w="3500" w:type="dxa"/>
            <w:vAlign w:val="bottom"/>
            <w:gridSpan w:val="9"/>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
        </w:trPr>
        <w:tc>
          <w:tcPr>
            <w:tcW w:w="12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40" w:type="dxa"/>
            <w:vAlign w:val="bottom"/>
            <w:gridSpan w:val="1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480" w:type="dxa"/>
            <w:vAlign w:val="bottom"/>
            <w:tcBorders>
              <w:bottom w:val="single" w:sz="8" w:color="0000EE"/>
            </w:tcBorders>
            <w:gridSpan w:val="25"/>
          </w:tcPr>
          <w:p>
            <w:pPr>
              <w:spacing w:after="0" w:line="196" w:lineRule="exact"/>
              <w:rPr>
                <w:rFonts w:ascii="Arial" w:cs="Arial" w:eastAsia="Arial" w:hAnsi="Arial"/>
                <w:sz w:val="18"/>
                <w:szCs w:val="18"/>
                <w:color w:val="0000EE"/>
                <w:w w:val="96"/>
              </w:rPr>
            </w:pPr>
            <w:hyperlink w:anchor="page114">
              <w:r>
                <w:rPr>
                  <w:rFonts w:ascii="Arial" w:cs="Arial" w:eastAsia="Arial" w:hAnsi="Arial"/>
                  <w:sz w:val="18"/>
                  <w:szCs w:val="18"/>
                  <w:color w:val="0000EE"/>
                  <w:w w:val="96"/>
                </w:rPr>
                <w:t>BROKERAGE ALLOCATIONS AND OTHER PRACTICES</w:t>
              </w:r>
            </w:hyperlink>
          </w:p>
        </w:tc>
        <w:tc>
          <w:tcPr>
            <w:tcW w:w="2460" w:type="dxa"/>
            <w:vAlign w:val="bottom"/>
            <w:gridSpan w:val="6"/>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MATERIAL U.S. FEDERAL INCOME TAX CONSIDERATIONS</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120" w:type="dxa"/>
            <w:vAlign w:val="bottom"/>
          </w:tcPr>
          <w:p>
            <w:pPr>
              <w:spacing w:after="0"/>
              <w:rPr>
                <w:sz w:val="17"/>
                <w:szCs w:val="17"/>
                <w:color w:val="auto"/>
              </w:rPr>
            </w:pPr>
          </w:p>
        </w:tc>
        <w:tc>
          <w:tcPr>
            <w:tcW w:w="486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PLAN OF DISTRIBUTION</w:t>
              </w:r>
            </w:hyperlink>
          </w:p>
        </w:tc>
        <w:tc>
          <w:tcPr>
            <w:tcW w:w="2080" w:type="dxa"/>
            <w:vAlign w:val="bottom"/>
            <w:gridSpan w:val="2"/>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12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80" w:type="dxa"/>
            <w:vAlign w:val="bottom"/>
            <w:gridSpan w:val="19"/>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940" w:type="dxa"/>
            <w:vAlign w:val="bottom"/>
            <w:tcBorders>
              <w:bottom w:val="single" w:sz="8" w:color="0000EE"/>
            </w:tcBorders>
            <w:gridSpan w:val="30"/>
          </w:tcPr>
          <w:p>
            <w:pPr>
              <w:spacing w:after="0" w:line="196" w:lineRule="exact"/>
              <w:rPr>
                <w:rFonts w:ascii="Arial" w:cs="Arial" w:eastAsia="Arial" w:hAnsi="Arial"/>
                <w:sz w:val="18"/>
                <w:szCs w:val="18"/>
                <w:color w:val="0000EE"/>
                <w:w w:val="96"/>
              </w:rPr>
            </w:pPr>
            <w:hyperlink w:anchor="page124">
              <w:r>
                <w:rPr>
                  <w:rFonts w:ascii="Arial" w:cs="Arial" w:eastAsia="Arial" w:hAnsi="Arial"/>
                  <w:sz w:val="18"/>
                  <w:szCs w:val="18"/>
                  <w:color w:val="0000EE"/>
                  <w:w w:val="96"/>
                </w:rPr>
                <w:t>SUB-ADMINISTRATOR, CUSTODIAN, TRANSFER AGENT AND TRUSTEE</w:t>
              </w:r>
            </w:hyperlink>
          </w:p>
        </w:tc>
        <w:tc>
          <w:tcPr>
            <w:tcW w:w="1000" w:type="dxa"/>
            <w:vAlign w:val="bottom"/>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124">
              <w:r>
                <w:rPr>
                  <w:rFonts w:ascii="Arial" w:cs="Arial" w:eastAsia="Arial" w:hAnsi="Arial"/>
                  <w:sz w:val="18"/>
                  <w:szCs w:val="18"/>
                  <w:color w:val="0000EE"/>
                  <w:w w:val="96"/>
                </w:rPr>
                <w:t>LEGAL MATTERS</w:t>
              </w:r>
            </w:hyperlink>
          </w:p>
        </w:tc>
        <w:tc>
          <w:tcPr>
            <w:tcW w:w="5480" w:type="dxa"/>
            <w:vAlign w:val="bottom"/>
            <w:gridSpan w:val="27"/>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20" w:type="dxa"/>
            <w:vAlign w:val="bottom"/>
          </w:tcPr>
          <w:p>
            <w:pPr>
              <w:spacing w:after="0"/>
              <w:rPr>
                <w:sz w:val="17"/>
                <w:szCs w:val="17"/>
                <w:color w:val="auto"/>
              </w:rPr>
            </w:pPr>
          </w:p>
        </w:tc>
        <w:tc>
          <w:tcPr>
            <w:tcW w:w="6940" w:type="dxa"/>
            <w:vAlign w:val="bottom"/>
            <w:tcBorders>
              <w:bottom w:val="single" w:sz="8" w:color="0000EE"/>
            </w:tcBorders>
            <w:gridSpan w:val="31"/>
          </w:tcPr>
          <w:p>
            <w:pPr>
              <w:spacing w:after="0" w:line="196" w:lineRule="exact"/>
              <w:rPr>
                <w:rFonts w:ascii="Arial" w:cs="Arial" w:eastAsia="Arial" w:hAnsi="Arial"/>
                <w:sz w:val="18"/>
                <w:szCs w:val="18"/>
                <w:color w:val="0000EE"/>
                <w:w w:val="96"/>
              </w:rPr>
            </w:pPr>
            <w:hyperlink w:anchor="page124">
              <w:r>
                <w:rPr>
                  <w:rFonts w:ascii="Arial" w:cs="Arial" w:eastAsia="Arial" w:hAnsi="Arial"/>
                  <w:sz w:val="18"/>
                  <w:szCs w:val="18"/>
                  <w:color w:val="0000EE"/>
                  <w:w w:val="96"/>
                </w:rPr>
                <w:t>INDEPENDENT REGISTERED PUBLIC ACCOUNTING FIRM/INDEPENDENT AUDITOR</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20" w:type="dxa"/>
            <w:vAlign w:val="bottom"/>
          </w:tcPr>
          <w:p>
            <w:pPr>
              <w:spacing w:after="0"/>
              <w:rPr>
                <w:sz w:val="17"/>
                <w:szCs w:val="17"/>
                <w:color w:val="auto"/>
              </w:rPr>
            </w:pPr>
          </w:p>
        </w:tc>
        <w:tc>
          <w:tcPr>
            <w:tcW w:w="284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124">
              <w:r>
                <w:rPr>
                  <w:rFonts w:ascii="Arial" w:cs="Arial" w:eastAsia="Arial" w:hAnsi="Arial"/>
                  <w:sz w:val="18"/>
                  <w:szCs w:val="18"/>
                  <w:color w:val="0000EE"/>
                  <w:w w:val="94"/>
                </w:rPr>
                <w:t>INCORPORATION BY REFERENCE</w:t>
              </w:r>
            </w:hyperlink>
          </w:p>
        </w:tc>
        <w:tc>
          <w:tcPr>
            <w:tcW w:w="4100" w:type="dxa"/>
            <w:vAlign w:val="bottom"/>
            <w:gridSpan w:val="15"/>
          </w:tcPr>
          <w:p>
            <w:pPr>
              <w:spacing w:after="0"/>
              <w:rPr>
                <w:sz w:val="17"/>
                <w:szCs w:val="17"/>
                <w:color w:val="auto"/>
              </w:rPr>
            </w:pPr>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20" w:type="dxa"/>
            <w:vAlign w:val="bottom"/>
          </w:tcPr>
          <w:p>
            <w:pPr>
              <w:spacing w:after="0"/>
              <w:rPr>
                <w:sz w:val="17"/>
                <w:szCs w:val="17"/>
                <w:color w:val="auto"/>
              </w:rPr>
            </w:pPr>
          </w:p>
        </w:tc>
        <w:tc>
          <w:tcPr>
            <w:tcW w:w="6940" w:type="dxa"/>
            <w:vAlign w:val="bottom"/>
            <w:gridSpan w:val="31"/>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AVAILABLE INFORMATION</w:t>
              </w:r>
            </w:hyperlink>
          </w:p>
        </w:tc>
        <w:tc>
          <w:tcPr>
            <w:tcW w:w="40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20"/>
        </w:trPr>
        <w:tc>
          <w:tcPr>
            <w:tcW w:w="1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46"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100"/>
        <w:spacing w:after="0" w:line="290"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details regarding this offering of Notes and also adds to and updates information contained in the accompanying prospectus and the documents incorporated by reference into this prospectus supplement and the accompanying prospectus. The second part is the accompanying prospectus, which provides general information about us and the securities we may offer from time to time, some of which may not apply to this offering. To the extent the information contained in this prospectus supplement differs from the information contained in the accompanying prospectus or the information included in any document filed prior to the date of this prospectus supplement and incorporated by reference in this prospectus supplement and the accompanying prospectus, the information in this prospectus supplement will control. Generally, when we refer to this “prospectus”, we are referring to both this prospectus supplement and the accompanying prospectus combined, together with any free writing prospectus that we have authorized for use in connection with this offering.</w:t>
      </w:r>
    </w:p>
    <w:p>
      <w:pPr>
        <w:spacing w:after="0" w:line="16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b w:val="1"/>
          <w:bCs w:val="1"/>
          <w:color w:val="auto"/>
        </w:rPr>
        <w:t>YOU SHOULD RELY ONLY ON THE INFORMATION CONTAINED IN THIS PROSPECTUS SUPPLEMENT, INCLUDING THE DOCUMENTS WE INCORPORATE BY REFERENCE HEREIN, AND THE ACCOMPANYING PROSPECTUS AND ANY FREE WRITING PROSPECTUS, INCLUDING THE DOCUMENTS WE INCORPORATE BY REFERENCE THEREIN. WE HAVE NOT, AND THE UNDERWRITERS HAVE NOT, AUTHORIZED ANY OTHER PERSON TO PROVIDE YOU WITH DIFFERENT OR ADDITIONAL INFORMATION. IF ANYONE PROVIDES YOU WITH DIFFERENT OR ADDITIONAL INFORMATION, YOU SHOULD NOT RELY ON IT. WE ARE NOT, AND THE UNDERWRITERS ARE NOT, MAKING AN OFFER TO SELL THESE NOTES IN ANY JURISDICTION WHERE THE OFFER OR SALE IS NOT PERMITTED. YOU SHOULD ASSUME THAT THE INFORMATION APPEARING IN THIS PROSPECTUS SUPPLEMENT, INCLUDING THE DOCUMENTS WE INCORPORATE BY REFERENCE HEREIN, AND THE ACCOMPANYING PROSPECTUS AND ANY FREE WRITING PROSPECTUS, INCLUDING THE DOCUMENTS WE INCORPORATE BY REFERENCE THEREIN, IS ACCURATE ONLY AS OF THEIR RESPECTIVE DATES, REGARDLESS OF THE TIME OF DELIVERY OF THIS PROSPECTUS SUPPLEMENT, THE ACCOMPANYING PROSPECTUS, ANY FREE WRITING PROSPECTUS OR ANY SALES OF THE NOTES. OUR BUSINESS, FINANCIAL CONDITION, RESULTS OF OPERATIONS AND PROSPECTS MAY HAVE CHANGED SINCE THOSE DATES.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120" w:right="280"/>
        <w:spacing w:after="0" w:line="296" w:lineRule="auto"/>
        <w:rPr>
          <w:sz w:val="20"/>
          <w:szCs w:val="20"/>
          <w:color w:val="auto"/>
        </w:rPr>
      </w:pPr>
      <w:r>
        <w:rPr>
          <w:rFonts w:ascii="Arial" w:cs="Arial" w:eastAsia="Arial" w:hAnsi="Arial"/>
          <w:sz w:val="16"/>
          <w:szCs w:val="16"/>
          <w:color w:val="auto"/>
        </w:rPr>
        <w:t>This prospectus supplement sets forth certain terms of the Notes that we are offering pursuant to this prospectus supplement and the accompanying prospectus. This section outlines the specific legal and financial terms of the Notes. You should read this section together with the more general description of the Notes under the heading “</w:t>
      </w:r>
      <w:r>
        <w:rPr>
          <w:rFonts w:ascii="Arial" w:cs="Arial" w:eastAsia="Arial" w:hAnsi="Arial"/>
          <w:sz w:val="16"/>
          <w:szCs w:val="16"/>
          <w:i w:val="1"/>
          <w:iCs w:val="1"/>
          <w:color w:val="auto"/>
        </w:rPr>
        <w:t>Description of the Notes</w:t>
      </w:r>
      <w:r>
        <w:rPr>
          <w:rFonts w:ascii="Arial" w:cs="Arial" w:eastAsia="Arial" w:hAnsi="Arial"/>
          <w:sz w:val="16"/>
          <w:szCs w:val="16"/>
          <w:color w:val="auto"/>
        </w:rPr>
        <w:t>” in this prospectus supplement and under the heading “</w:t>
      </w:r>
      <w:r>
        <w:rPr>
          <w:rFonts w:ascii="Arial" w:cs="Arial" w:eastAsia="Arial" w:hAnsi="Arial"/>
          <w:sz w:val="16"/>
          <w:szCs w:val="16"/>
          <w:i w:val="1"/>
          <w:iCs w:val="1"/>
          <w:color w:val="auto"/>
        </w:rPr>
        <w:t>Description of Our Debt</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in the accompanying prospectus before investing in the Notes. Capitalized terms used in this prospectus supplement and not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will have the meanings ascribed to them in the accompanying prospectus or in the indenture governing the Notes.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Issuer</w:t>
            </w:r>
          </w:p>
        </w:tc>
        <w:tc>
          <w:tcPr>
            <w:tcW w:w="4080" w:type="dxa"/>
            <w:vAlign w:val="bottom"/>
            <w:gridSpan w:val="3"/>
          </w:tcPr>
          <w:p>
            <w:pPr>
              <w:ind w:left="360"/>
              <w:spacing w:after="0"/>
              <w:rPr>
                <w:sz w:val="20"/>
                <w:szCs w:val="20"/>
                <w:color w:val="auto"/>
              </w:rPr>
            </w:pPr>
            <w:r>
              <w:rPr>
                <w:rFonts w:ascii="Arial" w:cs="Arial" w:eastAsia="Arial" w:hAnsi="Arial"/>
                <w:sz w:val="18"/>
                <w:szCs w:val="18"/>
                <w:color w:val="auto"/>
              </w:rPr>
              <w:t>PennantPark Investment Corporation</w:t>
            </w:r>
          </w:p>
        </w:tc>
        <w:tc>
          <w:tcPr>
            <w:tcW w:w="122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73"/>
        </w:trPr>
        <w:tc>
          <w:tcPr>
            <w:tcW w:w="3820" w:type="dxa"/>
            <w:vAlign w:val="bottom"/>
          </w:tcPr>
          <w:p>
            <w:pPr>
              <w:spacing w:after="0"/>
              <w:rPr>
                <w:sz w:val="20"/>
                <w:szCs w:val="20"/>
                <w:color w:val="auto"/>
              </w:rPr>
            </w:pPr>
            <w:r>
              <w:rPr>
                <w:rFonts w:ascii="Arial" w:cs="Arial" w:eastAsia="Arial" w:hAnsi="Arial"/>
                <w:sz w:val="18"/>
                <w:szCs w:val="18"/>
                <w:color w:val="auto"/>
              </w:rPr>
              <w:t>Title of the securities</w:t>
            </w:r>
          </w:p>
        </w:tc>
        <w:tc>
          <w:tcPr>
            <w:tcW w:w="2440" w:type="dxa"/>
            <w:vAlign w:val="bottom"/>
            <w:gridSpan w:val="2"/>
          </w:tcPr>
          <w:p>
            <w:pPr>
              <w:ind w:left="720"/>
              <w:spacing w:after="0"/>
              <w:rPr>
                <w:sz w:val="20"/>
                <w:szCs w:val="20"/>
                <w:color w:val="auto"/>
              </w:rPr>
            </w:pPr>
            <w:r>
              <w:rPr>
                <w:rFonts w:ascii="Arial" w:cs="Arial" w:eastAsia="Arial" w:hAnsi="Arial"/>
                <w:sz w:val="18"/>
                <w:szCs w:val="18"/>
                <w:color w:val="auto"/>
              </w:rPr>
              <w:t>% Notes due 2026</w:t>
            </w:r>
          </w:p>
        </w:tc>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73"/>
        </w:trPr>
        <w:tc>
          <w:tcPr>
            <w:tcW w:w="3820" w:type="dxa"/>
            <w:vAlign w:val="bottom"/>
          </w:tcPr>
          <w:p>
            <w:pPr>
              <w:spacing w:after="0"/>
              <w:rPr>
                <w:sz w:val="20"/>
                <w:szCs w:val="20"/>
                <w:color w:val="auto"/>
              </w:rPr>
            </w:pPr>
            <w:r>
              <w:rPr>
                <w:rFonts w:ascii="Arial" w:cs="Arial" w:eastAsia="Arial" w:hAnsi="Arial"/>
                <w:sz w:val="18"/>
                <w:szCs w:val="18"/>
                <w:color w:val="auto"/>
              </w:rPr>
              <w:t>Initial aggregate principal amount being offered</w:t>
            </w:r>
          </w:p>
        </w:tc>
        <w:tc>
          <w:tcPr>
            <w:tcW w:w="1060" w:type="dxa"/>
            <w:vAlign w:val="bottom"/>
          </w:tcPr>
          <w:p>
            <w:pPr>
              <w:ind w:left="36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73"/>
        </w:trPr>
        <w:tc>
          <w:tcPr>
            <w:tcW w:w="3820" w:type="dxa"/>
            <w:vAlign w:val="bottom"/>
          </w:tcPr>
          <w:p>
            <w:pPr>
              <w:spacing w:after="0"/>
              <w:rPr>
                <w:sz w:val="20"/>
                <w:szCs w:val="20"/>
                <w:color w:val="auto"/>
              </w:rPr>
            </w:pPr>
            <w:r>
              <w:rPr>
                <w:rFonts w:ascii="Arial" w:cs="Arial" w:eastAsia="Arial" w:hAnsi="Arial"/>
                <w:sz w:val="18"/>
                <w:szCs w:val="18"/>
                <w:color w:val="auto"/>
              </w:rPr>
              <w:t>Issue price</w:t>
            </w:r>
          </w:p>
        </w:tc>
        <w:tc>
          <w:tcPr>
            <w:tcW w:w="4080" w:type="dxa"/>
            <w:vAlign w:val="bottom"/>
            <w:gridSpan w:val="3"/>
          </w:tcPr>
          <w:p>
            <w:pPr>
              <w:ind w:left="720"/>
              <w:spacing w:after="0"/>
              <w:rPr>
                <w:sz w:val="20"/>
                <w:szCs w:val="20"/>
                <w:color w:val="auto"/>
              </w:rPr>
            </w:pPr>
            <w:r>
              <w:rPr>
                <w:rFonts w:ascii="Arial" w:cs="Arial" w:eastAsia="Arial" w:hAnsi="Arial"/>
                <w:sz w:val="18"/>
                <w:szCs w:val="18"/>
                <w:color w:val="auto"/>
              </w:rPr>
              <w:t>% of the aggregate principal amount</w:t>
            </w:r>
          </w:p>
        </w:tc>
        <w:tc>
          <w:tcPr>
            <w:tcW w:w="1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58"/>
        </w:trPr>
        <w:tc>
          <w:tcPr>
            <w:tcW w:w="3820" w:type="dxa"/>
            <w:vAlign w:val="bottom"/>
          </w:tcPr>
          <w:p>
            <w:pPr>
              <w:spacing w:after="0"/>
              <w:rPr>
                <w:sz w:val="20"/>
                <w:szCs w:val="20"/>
                <w:color w:val="auto"/>
              </w:rPr>
            </w:pPr>
            <w:r>
              <w:rPr>
                <w:rFonts w:ascii="Arial" w:cs="Arial" w:eastAsia="Arial" w:hAnsi="Arial"/>
                <w:sz w:val="18"/>
                <w:szCs w:val="18"/>
                <w:color w:val="auto"/>
              </w:rPr>
              <w:t>Principal payable at maturity</w:t>
            </w:r>
          </w:p>
        </w:tc>
        <w:tc>
          <w:tcPr>
            <w:tcW w:w="7180" w:type="dxa"/>
            <w:vAlign w:val="bottom"/>
            <w:gridSpan w:val="5"/>
          </w:tcPr>
          <w:p>
            <w:pPr>
              <w:ind w:left="360"/>
              <w:spacing w:after="0"/>
              <w:rPr>
                <w:sz w:val="20"/>
                <w:szCs w:val="20"/>
                <w:color w:val="auto"/>
              </w:rPr>
            </w:pPr>
            <w:r>
              <w:rPr>
                <w:rFonts w:ascii="Arial" w:cs="Arial" w:eastAsia="Arial" w:hAnsi="Arial"/>
                <w:sz w:val="18"/>
                <w:szCs w:val="18"/>
                <w:color w:val="auto"/>
                <w:w w:val="91"/>
              </w:rPr>
              <w:t>100% of the aggregate principal amount; the principal amount of each Note will be payable on</w:t>
            </w:r>
          </w:p>
        </w:tc>
      </w:tr>
      <w:tr>
        <w:trPr>
          <w:trHeight w:val="216"/>
        </w:trPr>
        <w:tc>
          <w:tcPr>
            <w:tcW w:w="3820" w:type="dxa"/>
            <w:vAlign w:val="bottom"/>
          </w:tcPr>
          <w:p>
            <w:pPr>
              <w:spacing w:after="0"/>
              <w:rPr>
                <w:sz w:val="18"/>
                <w:szCs w:val="18"/>
                <w:color w:val="auto"/>
              </w:rPr>
            </w:pPr>
          </w:p>
        </w:tc>
        <w:tc>
          <w:tcPr>
            <w:tcW w:w="7180" w:type="dxa"/>
            <w:vAlign w:val="bottom"/>
            <w:gridSpan w:val="5"/>
          </w:tcPr>
          <w:p>
            <w:pPr>
              <w:ind w:left="360"/>
              <w:spacing w:after="0"/>
              <w:rPr>
                <w:sz w:val="20"/>
                <w:szCs w:val="20"/>
                <w:color w:val="auto"/>
              </w:rPr>
            </w:pPr>
            <w:r>
              <w:rPr>
                <w:rFonts w:ascii="Arial" w:cs="Arial" w:eastAsia="Arial" w:hAnsi="Arial"/>
                <w:sz w:val="18"/>
                <w:szCs w:val="18"/>
                <w:color w:val="auto"/>
                <w:w w:val="91"/>
              </w:rPr>
              <w:t>its stated maturity date at the office of the Paying Agent, Registrar and Transfer Agent for the</w:t>
            </w:r>
          </w:p>
        </w:tc>
      </w:tr>
      <w:tr>
        <w:trPr>
          <w:trHeight w:val="230"/>
        </w:trPr>
        <w:tc>
          <w:tcPr>
            <w:tcW w:w="3820" w:type="dxa"/>
            <w:vAlign w:val="bottom"/>
          </w:tcPr>
          <w:p>
            <w:pPr>
              <w:spacing w:after="0"/>
              <w:rPr>
                <w:sz w:val="20"/>
                <w:szCs w:val="20"/>
                <w:color w:val="auto"/>
              </w:rPr>
            </w:pPr>
          </w:p>
        </w:tc>
        <w:tc>
          <w:tcPr>
            <w:tcW w:w="5300" w:type="dxa"/>
            <w:vAlign w:val="bottom"/>
            <w:gridSpan w:val="4"/>
          </w:tcPr>
          <w:p>
            <w:pPr>
              <w:ind w:left="360"/>
              <w:spacing w:after="0"/>
              <w:rPr>
                <w:sz w:val="20"/>
                <w:szCs w:val="20"/>
                <w:color w:val="auto"/>
              </w:rPr>
            </w:pPr>
            <w:r>
              <w:rPr>
                <w:rFonts w:ascii="Arial" w:cs="Arial" w:eastAsia="Arial" w:hAnsi="Arial"/>
                <w:sz w:val="18"/>
                <w:szCs w:val="18"/>
                <w:color w:val="auto"/>
                <w:w w:val="90"/>
              </w:rPr>
              <w:t>Notes or at such other office in New York City as we may designate.</w:t>
            </w:r>
          </w:p>
        </w:tc>
        <w:tc>
          <w:tcPr>
            <w:tcW w:w="1880" w:type="dxa"/>
            <w:vAlign w:val="bottom"/>
          </w:tcPr>
          <w:p>
            <w:pPr>
              <w:spacing w:after="0"/>
              <w:rPr>
                <w:sz w:val="20"/>
                <w:szCs w:val="20"/>
                <w:color w:val="auto"/>
              </w:rPr>
            </w:pPr>
          </w:p>
        </w:tc>
      </w:tr>
      <w:tr>
        <w:trPr>
          <w:trHeight w:val="459"/>
        </w:trPr>
        <w:tc>
          <w:tcPr>
            <w:tcW w:w="3820" w:type="dxa"/>
            <w:vAlign w:val="bottom"/>
          </w:tcPr>
          <w:p>
            <w:pPr>
              <w:spacing w:after="0"/>
              <w:rPr>
                <w:sz w:val="20"/>
                <w:szCs w:val="20"/>
                <w:color w:val="auto"/>
              </w:rPr>
            </w:pPr>
            <w:r>
              <w:rPr>
                <w:rFonts w:ascii="Arial" w:cs="Arial" w:eastAsia="Arial" w:hAnsi="Arial"/>
                <w:sz w:val="18"/>
                <w:szCs w:val="18"/>
                <w:color w:val="auto"/>
              </w:rPr>
              <w:t>Type of Note</w:t>
            </w:r>
          </w:p>
        </w:tc>
        <w:tc>
          <w:tcPr>
            <w:tcW w:w="2440" w:type="dxa"/>
            <w:vAlign w:val="bottom"/>
            <w:gridSpan w:val="2"/>
          </w:tcPr>
          <w:p>
            <w:pPr>
              <w:ind w:left="360"/>
              <w:spacing w:after="0"/>
              <w:rPr>
                <w:sz w:val="20"/>
                <w:szCs w:val="20"/>
                <w:color w:val="auto"/>
              </w:rPr>
            </w:pPr>
            <w:r>
              <w:rPr>
                <w:rFonts w:ascii="Arial" w:cs="Arial" w:eastAsia="Arial" w:hAnsi="Arial"/>
                <w:sz w:val="18"/>
                <w:szCs w:val="18"/>
                <w:color w:val="auto"/>
              </w:rPr>
              <w:t>Fixed-rate note</w:t>
            </w:r>
          </w:p>
        </w:tc>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58"/>
        </w:trPr>
        <w:tc>
          <w:tcPr>
            <w:tcW w:w="3820" w:type="dxa"/>
            <w:vAlign w:val="bottom"/>
          </w:tcPr>
          <w:p>
            <w:pPr>
              <w:spacing w:after="0"/>
              <w:rPr>
                <w:sz w:val="20"/>
                <w:szCs w:val="20"/>
                <w:color w:val="auto"/>
              </w:rPr>
            </w:pPr>
            <w:r>
              <w:rPr>
                <w:rFonts w:ascii="Arial" w:cs="Arial" w:eastAsia="Arial" w:hAnsi="Arial"/>
                <w:sz w:val="18"/>
                <w:szCs w:val="18"/>
                <w:color w:val="auto"/>
              </w:rPr>
              <w:t>No established trading market</w:t>
            </w:r>
          </w:p>
        </w:tc>
        <w:tc>
          <w:tcPr>
            <w:tcW w:w="7180" w:type="dxa"/>
            <w:vAlign w:val="bottom"/>
            <w:gridSpan w:val="5"/>
          </w:tcPr>
          <w:p>
            <w:pPr>
              <w:ind w:left="360"/>
              <w:spacing w:after="0"/>
              <w:rPr>
                <w:sz w:val="20"/>
                <w:szCs w:val="20"/>
                <w:color w:val="auto"/>
              </w:rPr>
            </w:pPr>
            <w:r>
              <w:rPr>
                <w:rFonts w:ascii="Arial" w:cs="Arial" w:eastAsia="Arial" w:hAnsi="Arial"/>
                <w:sz w:val="18"/>
                <w:szCs w:val="18"/>
                <w:color w:val="auto"/>
                <w:w w:val="92"/>
              </w:rPr>
              <w:t>We do not intend to list the Notes on any securities exchange or automated dealer quotation</w:t>
            </w:r>
          </w:p>
        </w:tc>
      </w:tr>
      <w:tr>
        <w:trPr>
          <w:trHeight w:val="216"/>
        </w:trPr>
        <w:tc>
          <w:tcPr>
            <w:tcW w:w="3820" w:type="dxa"/>
            <w:vAlign w:val="bottom"/>
          </w:tcPr>
          <w:p>
            <w:pPr>
              <w:spacing w:after="0"/>
              <w:rPr>
                <w:sz w:val="18"/>
                <w:szCs w:val="18"/>
                <w:color w:val="auto"/>
              </w:rPr>
            </w:pPr>
          </w:p>
        </w:tc>
        <w:tc>
          <w:tcPr>
            <w:tcW w:w="7180" w:type="dxa"/>
            <w:vAlign w:val="bottom"/>
            <w:gridSpan w:val="5"/>
          </w:tcPr>
          <w:p>
            <w:pPr>
              <w:ind w:left="360"/>
              <w:spacing w:after="0"/>
              <w:rPr>
                <w:sz w:val="20"/>
                <w:szCs w:val="20"/>
                <w:color w:val="auto"/>
              </w:rPr>
            </w:pPr>
            <w:r>
              <w:rPr>
                <w:rFonts w:ascii="Arial" w:cs="Arial" w:eastAsia="Arial" w:hAnsi="Arial"/>
                <w:sz w:val="18"/>
                <w:szCs w:val="18"/>
                <w:color w:val="auto"/>
                <w:w w:val="92"/>
              </w:rPr>
              <w:t>system. Although the underwriters have informed us that they intend to make a market in the</w:t>
            </w:r>
          </w:p>
        </w:tc>
      </w:tr>
      <w:tr>
        <w:trPr>
          <w:trHeight w:val="216"/>
        </w:trPr>
        <w:tc>
          <w:tcPr>
            <w:tcW w:w="3820" w:type="dxa"/>
            <w:vAlign w:val="bottom"/>
          </w:tcPr>
          <w:p>
            <w:pPr>
              <w:spacing w:after="0"/>
              <w:rPr>
                <w:sz w:val="18"/>
                <w:szCs w:val="18"/>
                <w:color w:val="auto"/>
              </w:rPr>
            </w:pPr>
          </w:p>
        </w:tc>
        <w:tc>
          <w:tcPr>
            <w:tcW w:w="7180" w:type="dxa"/>
            <w:vAlign w:val="bottom"/>
            <w:gridSpan w:val="5"/>
          </w:tcPr>
          <w:p>
            <w:pPr>
              <w:ind w:left="360"/>
              <w:spacing w:after="0"/>
              <w:rPr>
                <w:sz w:val="20"/>
                <w:szCs w:val="20"/>
                <w:color w:val="auto"/>
              </w:rPr>
            </w:pPr>
            <w:r>
              <w:rPr>
                <w:rFonts w:ascii="Arial" w:cs="Arial" w:eastAsia="Arial" w:hAnsi="Arial"/>
                <w:sz w:val="18"/>
                <w:szCs w:val="18"/>
                <w:color w:val="auto"/>
                <w:w w:val="96"/>
              </w:rPr>
              <w:t>Notes, they are not obligated to do so, and may discontinue any such market at any time</w:t>
            </w:r>
          </w:p>
        </w:tc>
      </w:tr>
      <w:tr>
        <w:trPr>
          <w:trHeight w:val="216"/>
        </w:trPr>
        <w:tc>
          <w:tcPr>
            <w:tcW w:w="3820" w:type="dxa"/>
            <w:vAlign w:val="bottom"/>
          </w:tcPr>
          <w:p>
            <w:pPr>
              <w:spacing w:after="0"/>
              <w:rPr>
                <w:sz w:val="18"/>
                <w:szCs w:val="18"/>
                <w:color w:val="auto"/>
              </w:rPr>
            </w:pPr>
          </w:p>
        </w:tc>
        <w:tc>
          <w:tcPr>
            <w:tcW w:w="7180" w:type="dxa"/>
            <w:vAlign w:val="bottom"/>
            <w:gridSpan w:val="5"/>
          </w:tcPr>
          <w:p>
            <w:pPr>
              <w:ind w:left="360"/>
              <w:spacing w:after="0"/>
              <w:rPr>
                <w:sz w:val="20"/>
                <w:szCs w:val="20"/>
                <w:color w:val="auto"/>
              </w:rPr>
            </w:pPr>
            <w:r>
              <w:rPr>
                <w:rFonts w:ascii="Arial" w:cs="Arial" w:eastAsia="Arial" w:hAnsi="Arial"/>
                <w:sz w:val="18"/>
                <w:szCs w:val="18"/>
                <w:color w:val="auto"/>
                <w:w w:val="98"/>
              </w:rPr>
              <w:t>without notice. Accordingly, we cannot assure you that a liquid market for the Notes will</w:t>
            </w:r>
          </w:p>
        </w:tc>
      </w:tr>
      <w:tr>
        <w:trPr>
          <w:trHeight w:val="230"/>
        </w:trPr>
        <w:tc>
          <w:tcPr>
            <w:tcW w:w="3820" w:type="dxa"/>
            <w:vAlign w:val="bottom"/>
          </w:tcPr>
          <w:p>
            <w:pPr>
              <w:spacing w:after="0"/>
              <w:rPr>
                <w:sz w:val="20"/>
                <w:szCs w:val="20"/>
                <w:color w:val="auto"/>
              </w:rPr>
            </w:pPr>
          </w:p>
        </w:tc>
        <w:tc>
          <w:tcPr>
            <w:tcW w:w="2440" w:type="dxa"/>
            <w:vAlign w:val="bottom"/>
            <w:gridSpan w:val="2"/>
          </w:tcPr>
          <w:p>
            <w:pPr>
              <w:ind w:left="360"/>
              <w:spacing w:after="0"/>
              <w:rPr>
                <w:sz w:val="20"/>
                <w:szCs w:val="20"/>
                <w:color w:val="auto"/>
              </w:rPr>
            </w:pPr>
            <w:r>
              <w:rPr>
                <w:rFonts w:ascii="Arial" w:cs="Arial" w:eastAsia="Arial" w:hAnsi="Arial"/>
                <w:sz w:val="18"/>
                <w:szCs w:val="18"/>
                <w:color w:val="auto"/>
                <w:w w:val="99"/>
              </w:rPr>
              <w:t>develop or be maintained.</w:t>
            </w:r>
          </w:p>
        </w:tc>
        <w:tc>
          <w:tcPr>
            <w:tcW w:w="1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59"/>
        </w:trPr>
        <w:tc>
          <w:tcPr>
            <w:tcW w:w="3820" w:type="dxa"/>
            <w:vAlign w:val="bottom"/>
          </w:tcPr>
          <w:p>
            <w:pPr>
              <w:spacing w:after="0"/>
              <w:rPr>
                <w:sz w:val="20"/>
                <w:szCs w:val="20"/>
                <w:color w:val="auto"/>
              </w:rPr>
            </w:pPr>
            <w:r>
              <w:rPr>
                <w:rFonts w:ascii="Arial" w:cs="Arial" w:eastAsia="Arial" w:hAnsi="Arial"/>
                <w:sz w:val="18"/>
                <w:szCs w:val="18"/>
                <w:color w:val="auto"/>
              </w:rPr>
              <w:t>Interest rate</w:t>
            </w:r>
          </w:p>
        </w:tc>
        <w:tc>
          <w:tcPr>
            <w:tcW w:w="2440" w:type="dxa"/>
            <w:vAlign w:val="bottom"/>
            <w:gridSpan w:val="2"/>
          </w:tcPr>
          <w:p>
            <w:pPr>
              <w:ind w:left="720"/>
              <w:spacing w:after="0"/>
              <w:rPr>
                <w:sz w:val="20"/>
                <w:szCs w:val="20"/>
                <w:color w:val="auto"/>
              </w:rPr>
            </w:pPr>
            <w:r>
              <w:rPr>
                <w:rFonts w:ascii="Arial" w:cs="Arial" w:eastAsia="Arial" w:hAnsi="Arial"/>
                <w:sz w:val="18"/>
                <w:szCs w:val="18"/>
                <w:color w:val="auto"/>
              </w:rPr>
              <w:t>% per year</w:t>
            </w:r>
          </w:p>
        </w:tc>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73"/>
        </w:trPr>
        <w:tc>
          <w:tcPr>
            <w:tcW w:w="3820" w:type="dxa"/>
            <w:vAlign w:val="bottom"/>
          </w:tcPr>
          <w:p>
            <w:pPr>
              <w:spacing w:after="0"/>
              <w:rPr>
                <w:sz w:val="20"/>
                <w:szCs w:val="20"/>
                <w:color w:val="auto"/>
              </w:rPr>
            </w:pPr>
            <w:r>
              <w:rPr>
                <w:rFonts w:ascii="Arial" w:cs="Arial" w:eastAsia="Arial" w:hAnsi="Arial"/>
                <w:sz w:val="18"/>
                <w:szCs w:val="18"/>
                <w:color w:val="auto"/>
              </w:rPr>
              <w:t>Yield to maturity</w:t>
            </w:r>
          </w:p>
        </w:tc>
        <w:tc>
          <w:tcPr>
            <w:tcW w:w="1060" w:type="dxa"/>
            <w:vAlign w:val="bottom"/>
          </w:tcPr>
          <w:p>
            <w:pPr>
              <w:ind w:left="72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73"/>
        </w:trPr>
        <w:tc>
          <w:tcPr>
            <w:tcW w:w="3820" w:type="dxa"/>
            <w:vAlign w:val="bottom"/>
          </w:tcPr>
          <w:p>
            <w:pPr>
              <w:spacing w:after="0"/>
              <w:rPr>
                <w:sz w:val="20"/>
                <w:szCs w:val="20"/>
                <w:color w:val="auto"/>
              </w:rPr>
            </w:pPr>
            <w:r>
              <w:rPr>
                <w:rFonts w:ascii="Arial" w:cs="Arial" w:eastAsia="Arial" w:hAnsi="Arial"/>
                <w:sz w:val="18"/>
                <w:szCs w:val="18"/>
                <w:color w:val="auto"/>
              </w:rPr>
              <w:t>Day count basis</w:t>
            </w:r>
          </w:p>
        </w:tc>
        <w:tc>
          <w:tcPr>
            <w:tcW w:w="4080" w:type="dxa"/>
            <w:vAlign w:val="bottom"/>
            <w:gridSpan w:val="3"/>
          </w:tcPr>
          <w:p>
            <w:pPr>
              <w:ind w:left="360"/>
              <w:spacing w:after="0"/>
              <w:rPr>
                <w:sz w:val="20"/>
                <w:szCs w:val="20"/>
                <w:color w:val="auto"/>
              </w:rPr>
            </w:pPr>
            <w:r>
              <w:rPr>
                <w:rFonts w:ascii="Arial" w:cs="Arial" w:eastAsia="Arial" w:hAnsi="Arial"/>
                <w:sz w:val="18"/>
                <w:szCs w:val="18"/>
                <w:color w:val="auto"/>
              </w:rPr>
              <w:t>360-day year of twelve 30-day months</w:t>
            </w:r>
          </w:p>
        </w:tc>
        <w:tc>
          <w:tcPr>
            <w:tcW w:w="1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73"/>
        </w:trPr>
        <w:tc>
          <w:tcPr>
            <w:tcW w:w="3820" w:type="dxa"/>
            <w:vAlign w:val="bottom"/>
          </w:tcPr>
          <w:p>
            <w:pPr>
              <w:spacing w:after="0"/>
              <w:rPr>
                <w:sz w:val="20"/>
                <w:szCs w:val="20"/>
                <w:color w:val="auto"/>
              </w:rPr>
            </w:pPr>
            <w:r>
              <w:rPr>
                <w:rFonts w:ascii="Arial" w:cs="Arial" w:eastAsia="Arial" w:hAnsi="Arial"/>
                <w:sz w:val="18"/>
                <w:szCs w:val="18"/>
                <w:color w:val="auto"/>
              </w:rPr>
              <w:t>Original issue date</w:t>
            </w:r>
          </w:p>
        </w:tc>
        <w:tc>
          <w:tcPr>
            <w:tcW w:w="1060" w:type="dxa"/>
            <w:vAlign w:val="bottom"/>
          </w:tcPr>
          <w:p>
            <w:pPr>
              <w:spacing w:after="0"/>
              <w:rPr>
                <w:sz w:val="24"/>
                <w:szCs w:val="24"/>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color w:val="auto"/>
              </w:rPr>
              <w:t>, 2021</w:t>
            </w:r>
          </w:p>
        </w:tc>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73"/>
        </w:trPr>
        <w:tc>
          <w:tcPr>
            <w:tcW w:w="3820" w:type="dxa"/>
            <w:vAlign w:val="bottom"/>
          </w:tcPr>
          <w:p>
            <w:pPr>
              <w:spacing w:after="0"/>
              <w:rPr>
                <w:sz w:val="20"/>
                <w:szCs w:val="20"/>
                <w:color w:val="auto"/>
              </w:rPr>
            </w:pPr>
            <w:r>
              <w:rPr>
                <w:rFonts w:ascii="Arial" w:cs="Arial" w:eastAsia="Arial" w:hAnsi="Arial"/>
                <w:sz w:val="18"/>
                <w:szCs w:val="18"/>
                <w:color w:val="auto"/>
              </w:rPr>
              <w:t>Stated maturity date</w:t>
            </w:r>
          </w:p>
        </w:tc>
        <w:tc>
          <w:tcPr>
            <w:tcW w:w="1060" w:type="dxa"/>
            <w:vAlign w:val="bottom"/>
          </w:tcPr>
          <w:p>
            <w:pPr>
              <w:spacing w:after="0"/>
              <w:rPr>
                <w:sz w:val="24"/>
                <w:szCs w:val="24"/>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color w:val="auto"/>
              </w:rPr>
              <w:t>, 2026</w:t>
            </w:r>
          </w:p>
        </w:tc>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73"/>
        </w:trPr>
        <w:tc>
          <w:tcPr>
            <w:tcW w:w="3820" w:type="dxa"/>
            <w:vAlign w:val="bottom"/>
          </w:tcPr>
          <w:p>
            <w:pPr>
              <w:spacing w:after="0"/>
              <w:rPr>
                <w:sz w:val="20"/>
                <w:szCs w:val="20"/>
                <w:color w:val="auto"/>
              </w:rPr>
            </w:pPr>
            <w:r>
              <w:rPr>
                <w:rFonts w:ascii="Arial" w:cs="Arial" w:eastAsia="Arial" w:hAnsi="Arial"/>
                <w:sz w:val="18"/>
                <w:szCs w:val="18"/>
                <w:color w:val="auto"/>
              </w:rPr>
              <w:t>Date interest starts accruing</w:t>
            </w:r>
          </w:p>
        </w:tc>
        <w:tc>
          <w:tcPr>
            <w:tcW w:w="1060" w:type="dxa"/>
            <w:vAlign w:val="bottom"/>
          </w:tcPr>
          <w:p>
            <w:pPr>
              <w:spacing w:after="0"/>
              <w:rPr>
                <w:sz w:val="24"/>
                <w:szCs w:val="24"/>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color w:val="auto"/>
              </w:rPr>
              <w:t>, 2021</w:t>
            </w:r>
          </w:p>
        </w:tc>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58"/>
        </w:trPr>
        <w:tc>
          <w:tcPr>
            <w:tcW w:w="3820" w:type="dxa"/>
            <w:vAlign w:val="bottom"/>
          </w:tcPr>
          <w:p>
            <w:pPr>
              <w:spacing w:after="0"/>
              <w:rPr>
                <w:sz w:val="20"/>
                <w:szCs w:val="20"/>
                <w:color w:val="auto"/>
              </w:rPr>
            </w:pPr>
            <w:r>
              <w:rPr>
                <w:rFonts w:ascii="Arial" w:cs="Arial" w:eastAsia="Arial" w:hAnsi="Arial"/>
                <w:sz w:val="18"/>
                <w:szCs w:val="18"/>
                <w:color w:val="auto"/>
              </w:rPr>
              <w:t>Interest payment dates</w:t>
            </w:r>
          </w:p>
        </w:tc>
        <w:tc>
          <w:tcPr>
            <w:tcW w:w="1060" w:type="dxa"/>
            <w:vAlign w:val="bottom"/>
          </w:tcPr>
          <w:p>
            <w:pPr>
              <w:ind w:left="360"/>
              <w:spacing w:after="0"/>
              <w:rPr>
                <w:sz w:val="20"/>
                <w:szCs w:val="20"/>
                <w:color w:val="auto"/>
              </w:rPr>
            </w:pPr>
            <w:r>
              <w:rPr>
                <w:rFonts w:ascii="Arial" w:cs="Arial" w:eastAsia="Arial" w:hAnsi="Arial"/>
                <w:sz w:val="18"/>
                <w:szCs w:val="18"/>
                <w:color w:val="auto"/>
              </w:rPr>
              <w:t>Every</w:t>
            </w:r>
          </w:p>
        </w:tc>
        <w:tc>
          <w:tcPr>
            <w:tcW w:w="1380" w:type="dxa"/>
            <w:vAlign w:val="bottom"/>
          </w:tcPr>
          <w:p>
            <w:pPr>
              <w:ind w:left="500"/>
              <w:spacing w:after="0"/>
              <w:rPr>
                <w:sz w:val="20"/>
                <w:szCs w:val="20"/>
                <w:color w:val="auto"/>
              </w:rPr>
            </w:pPr>
            <w:r>
              <w:rPr>
                <w:rFonts w:ascii="Arial" w:cs="Arial" w:eastAsia="Arial" w:hAnsi="Arial"/>
                <w:sz w:val="18"/>
                <w:szCs w:val="18"/>
                <w:color w:val="auto"/>
              </w:rPr>
              <w:t>, and</w:t>
            </w:r>
          </w:p>
        </w:tc>
        <w:tc>
          <w:tcPr>
            <w:tcW w:w="1640" w:type="dxa"/>
            <w:vAlign w:val="bottom"/>
          </w:tcPr>
          <w:p>
            <w:pPr>
              <w:ind w:left="220"/>
              <w:spacing w:after="0"/>
              <w:rPr>
                <w:sz w:val="20"/>
                <w:szCs w:val="20"/>
                <w:color w:val="auto"/>
              </w:rPr>
            </w:pPr>
            <w:r>
              <w:rPr>
                <w:rFonts w:ascii="Arial" w:cs="Arial" w:eastAsia="Arial" w:hAnsi="Arial"/>
                <w:sz w:val="18"/>
                <w:szCs w:val="18"/>
                <w:color w:val="auto"/>
              </w:rPr>
              <w:t>, commencing</w:t>
            </w:r>
          </w:p>
        </w:tc>
        <w:tc>
          <w:tcPr>
            <w:tcW w:w="3100" w:type="dxa"/>
            <w:vAlign w:val="bottom"/>
            <w:gridSpan w:val="2"/>
          </w:tcPr>
          <w:p>
            <w:pPr>
              <w:ind w:left="380"/>
              <w:spacing w:after="0"/>
              <w:rPr>
                <w:sz w:val="20"/>
                <w:szCs w:val="20"/>
                <w:color w:val="auto"/>
              </w:rPr>
            </w:pPr>
            <w:r>
              <w:rPr>
                <w:rFonts w:ascii="Arial" w:cs="Arial" w:eastAsia="Arial" w:hAnsi="Arial"/>
                <w:sz w:val="18"/>
                <w:szCs w:val="18"/>
                <w:color w:val="auto"/>
                <w:w w:val="92"/>
              </w:rPr>
              <w:t>, 2021. If an interest payment date is</w:t>
            </w:r>
          </w:p>
        </w:tc>
      </w:tr>
      <w:tr>
        <w:trPr>
          <w:trHeight w:val="216"/>
        </w:trPr>
        <w:tc>
          <w:tcPr>
            <w:tcW w:w="3820" w:type="dxa"/>
            <w:vAlign w:val="bottom"/>
          </w:tcPr>
          <w:p>
            <w:pPr>
              <w:spacing w:after="0"/>
              <w:rPr>
                <w:sz w:val="18"/>
                <w:szCs w:val="18"/>
                <w:color w:val="auto"/>
              </w:rPr>
            </w:pPr>
          </w:p>
        </w:tc>
        <w:tc>
          <w:tcPr>
            <w:tcW w:w="7180" w:type="dxa"/>
            <w:vAlign w:val="bottom"/>
            <w:gridSpan w:val="5"/>
          </w:tcPr>
          <w:p>
            <w:pPr>
              <w:ind w:left="360"/>
              <w:spacing w:after="0"/>
              <w:rPr>
                <w:sz w:val="20"/>
                <w:szCs w:val="20"/>
                <w:color w:val="auto"/>
              </w:rPr>
            </w:pPr>
            <w:r>
              <w:rPr>
                <w:rFonts w:ascii="Arial" w:cs="Arial" w:eastAsia="Arial" w:hAnsi="Arial"/>
                <w:sz w:val="18"/>
                <w:szCs w:val="18"/>
                <w:color w:val="auto"/>
                <w:w w:val="88"/>
              </w:rPr>
              <w:t>a non-business day, the applicable interest payment will be made on the next business day, and</w:t>
            </w:r>
          </w:p>
        </w:tc>
      </w:tr>
      <w:tr>
        <w:trPr>
          <w:trHeight w:val="230"/>
        </w:trPr>
        <w:tc>
          <w:tcPr>
            <w:tcW w:w="3820" w:type="dxa"/>
            <w:vAlign w:val="bottom"/>
          </w:tcPr>
          <w:p>
            <w:pPr>
              <w:spacing w:after="0"/>
              <w:rPr>
                <w:sz w:val="20"/>
                <w:szCs w:val="20"/>
                <w:color w:val="auto"/>
              </w:rPr>
            </w:pPr>
          </w:p>
        </w:tc>
        <w:tc>
          <w:tcPr>
            <w:tcW w:w="7180" w:type="dxa"/>
            <w:vAlign w:val="bottom"/>
            <w:gridSpan w:val="5"/>
          </w:tcPr>
          <w:p>
            <w:pPr>
              <w:ind w:left="360"/>
              <w:spacing w:after="0"/>
              <w:rPr>
                <w:sz w:val="20"/>
                <w:szCs w:val="20"/>
                <w:color w:val="auto"/>
              </w:rPr>
            </w:pPr>
            <w:r>
              <w:rPr>
                <w:rFonts w:ascii="Arial" w:cs="Arial" w:eastAsia="Arial" w:hAnsi="Arial"/>
                <w:sz w:val="18"/>
                <w:szCs w:val="18"/>
                <w:color w:val="auto"/>
              </w:rPr>
              <w:t>no additional interest will accrue as a result of such delayed payment.</w:t>
            </w:r>
          </w:p>
        </w:tc>
      </w:tr>
      <w:tr>
        <w:trPr>
          <w:trHeight w:val="445"/>
        </w:trPr>
        <w:tc>
          <w:tcPr>
            <w:tcW w:w="3820" w:type="dxa"/>
            <w:vAlign w:val="bottom"/>
          </w:tcPr>
          <w:p>
            <w:pPr>
              <w:spacing w:after="0"/>
              <w:rPr>
                <w:sz w:val="20"/>
                <w:szCs w:val="20"/>
                <w:color w:val="auto"/>
              </w:rPr>
            </w:pPr>
            <w:r>
              <w:rPr>
                <w:rFonts w:ascii="Arial" w:cs="Arial" w:eastAsia="Arial" w:hAnsi="Arial"/>
                <w:sz w:val="18"/>
                <w:szCs w:val="18"/>
                <w:color w:val="auto"/>
              </w:rPr>
              <w:t>Interest periods</w:t>
            </w:r>
          </w:p>
        </w:tc>
        <w:tc>
          <w:tcPr>
            <w:tcW w:w="5300" w:type="dxa"/>
            <w:vAlign w:val="bottom"/>
            <w:gridSpan w:val="4"/>
          </w:tcPr>
          <w:p>
            <w:pPr>
              <w:ind w:left="360"/>
              <w:spacing w:after="0"/>
              <w:rPr>
                <w:sz w:val="20"/>
                <w:szCs w:val="20"/>
                <w:color w:val="auto"/>
              </w:rPr>
            </w:pPr>
            <w:r>
              <w:rPr>
                <w:rFonts w:ascii="Arial" w:cs="Arial" w:eastAsia="Arial" w:hAnsi="Arial"/>
                <w:sz w:val="18"/>
                <w:szCs w:val="18"/>
                <w:color w:val="auto"/>
              </w:rPr>
              <w:t>The initial interest period will be the period from and including</w:t>
            </w:r>
          </w:p>
        </w:tc>
        <w:tc>
          <w:tcPr>
            <w:tcW w:w="1880" w:type="dxa"/>
            <w:vAlign w:val="bottom"/>
          </w:tcPr>
          <w:p>
            <w:pPr>
              <w:ind w:left="20"/>
              <w:spacing w:after="0"/>
              <w:rPr>
                <w:sz w:val="20"/>
                <w:szCs w:val="20"/>
                <w:color w:val="auto"/>
              </w:rPr>
            </w:pPr>
            <w:r>
              <w:rPr>
                <w:rFonts w:ascii="Arial" w:cs="Arial" w:eastAsia="Arial" w:hAnsi="Arial"/>
                <w:sz w:val="18"/>
                <w:szCs w:val="18"/>
                <w:color w:val="auto"/>
                <w:w w:val="93"/>
              </w:rPr>
              <w:t>, 2021, to, but excluding,</w:t>
            </w:r>
          </w:p>
        </w:tc>
      </w:tr>
      <w:tr>
        <w:trPr>
          <w:trHeight w:val="230"/>
        </w:trPr>
        <w:tc>
          <w:tcPr>
            <w:tcW w:w="3820" w:type="dxa"/>
            <w:vAlign w:val="bottom"/>
          </w:tcPr>
          <w:p>
            <w:pPr>
              <w:spacing w:after="0"/>
              <w:rPr>
                <w:sz w:val="20"/>
                <w:szCs w:val="20"/>
                <w:color w:val="auto"/>
              </w:rPr>
            </w:pPr>
          </w:p>
        </w:tc>
        <w:tc>
          <w:tcPr>
            <w:tcW w:w="4080" w:type="dxa"/>
            <w:vAlign w:val="bottom"/>
            <w:gridSpan w:val="3"/>
          </w:tcPr>
          <w:p>
            <w:pPr>
              <w:ind w:left="360"/>
              <w:spacing w:after="0"/>
              <w:rPr>
                <w:sz w:val="20"/>
                <w:szCs w:val="20"/>
                <w:color w:val="auto"/>
              </w:rPr>
            </w:pPr>
            <w:r>
              <w:rPr>
                <w:rFonts w:ascii="Arial" w:cs="Arial" w:eastAsia="Arial" w:hAnsi="Arial"/>
                <w:sz w:val="18"/>
                <w:szCs w:val="18"/>
                <w:color w:val="auto"/>
              </w:rPr>
              <w:t>the initial interest payment date, and the</w:t>
            </w:r>
          </w:p>
        </w:tc>
        <w:tc>
          <w:tcPr>
            <w:tcW w:w="122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64"/>
        </w:trPr>
        <w:tc>
          <w:tcPr>
            <w:tcW w:w="3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ind w:left="500"/>
              <w:spacing w:after="0"/>
              <w:rPr>
                <w:sz w:val="20"/>
                <w:szCs w:val="20"/>
                <w:color w:val="auto"/>
              </w:rPr>
            </w:pPr>
            <w:r>
              <w:rPr>
                <w:rFonts w:ascii="Arial" w:cs="Arial" w:eastAsia="Arial" w:hAnsi="Arial"/>
                <w:sz w:val="18"/>
                <w:szCs w:val="18"/>
                <w:color w:val="auto"/>
              </w:rPr>
              <w:t>S-2</w:t>
            </w:r>
          </w:p>
        </w:tc>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36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7740" w:type="dxa"/>
            <w:vAlign w:val="bottom"/>
            <w:gridSpan w:val="4"/>
          </w:tcPr>
          <w:p>
            <w:pPr>
              <w:ind w:left="940"/>
              <w:spacing w:after="0"/>
              <w:rPr>
                <w:sz w:val="20"/>
                <w:szCs w:val="20"/>
                <w:color w:val="auto"/>
              </w:rPr>
            </w:pPr>
            <w:r>
              <w:rPr>
                <w:rFonts w:ascii="Arial" w:cs="Arial" w:eastAsia="Arial" w:hAnsi="Arial"/>
                <w:sz w:val="18"/>
                <w:szCs w:val="18"/>
                <w:color w:val="auto"/>
                <w:w w:val="90"/>
              </w:rPr>
              <w:t>subsequent interest periods will be the periods from and including an interest payment date to,</w:t>
            </w:r>
          </w:p>
        </w:tc>
      </w:tr>
      <w:tr>
        <w:trPr>
          <w:trHeight w:val="230"/>
        </w:trPr>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740" w:type="dxa"/>
            <w:vAlign w:val="bottom"/>
            <w:gridSpan w:val="4"/>
          </w:tcPr>
          <w:p>
            <w:pPr>
              <w:ind w:left="940"/>
              <w:spacing w:after="0"/>
              <w:rPr>
                <w:sz w:val="20"/>
                <w:szCs w:val="20"/>
                <w:color w:val="auto"/>
              </w:rPr>
            </w:pPr>
            <w:r>
              <w:rPr>
                <w:rFonts w:ascii="Arial" w:cs="Arial" w:eastAsia="Arial" w:hAnsi="Arial"/>
                <w:sz w:val="18"/>
                <w:szCs w:val="18"/>
                <w:color w:val="auto"/>
                <w:w w:val="91"/>
              </w:rPr>
              <w:t>but excluding, the next interest payment date or the stated maturity date, as the case may be.</w:t>
            </w:r>
          </w:p>
        </w:tc>
      </w:tr>
      <w:tr>
        <w:trPr>
          <w:trHeight w:val="458"/>
        </w:trPr>
        <w:tc>
          <w:tcPr>
            <w:tcW w:w="3360" w:type="dxa"/>
            <w:vAlign w:val="bottom"/>
            <w:gridSpan w:val="2"/>
          </w:tcPr>
          <w:p>
            <w:pPr>
              <w:ind w:left="120"/>
              <w:spacing w:after="0"/>
              <w:rPr>
                <w:sz w:val="20"/>
                <w:szCs w:val="20"/>
                <w:color w:val="auto"/>
              </w:rPr>
            </w:pPr>
            <w:r>
              <w:rPr>
                <w:rFonts w:ascii="Arial" w:cs="Arial" w:eastAsia="Arial" w:hAnsi="Arial"/>
                <w:sz w:val="18"/>
                <w:szCs w:val="18"/>
                <w:color w:val="auto"/>
              </w:rPr>
              <w:t>Regular record dates for interest</w:t>
            </w:r>
          </w:p>
        </w:tc>
        <w:tc>
          <w:tcPr>
            <w:tcW w:w="1980" w:type="dxa"/>
            <w:vAlign w:val="bottom"/>
          </w:tcPr>
          <w:p>
            <w:pPr>
              <w:ind w:left="940"/>
              <w:spacing w:after="0"/>
              <w:rPr>
                <w:sz w:val="20"/>
                <w:szCs w:val="20"/>
                <w:color w:val="auto"/>
              </w:rPr>
            </w:pPr>
            <w:r>
              <w:rPr>
                <w:rFonts w:ascii="Arial" w:cs="Arial" w:eastAsia="Arial" w:hAnsi="Arial"/>
                <w:sz w:val="18"/>
                <w:szCs w:val="18"/>
                <w:color w:val="auto"/>
              </w:rPr>
              <w:t>Every</w:t>
            </w:r>
          </w:p>
        </w:tc>
        <w:tc>
          <w:tcPr>
            <w:tcW w:w="1060" w:type="dxa"/>
            <w:vAlign w:val="bottom"/>
          </w:tcPr>
          <w:p>
            <w:pPr>
              <w:ind w:left="160"/>
              <w:spacing w:after="0"/>
              <w:rPr>
                <w:sz w:val="20"/>
                <w:szCs w:val="20"/>
                <w:color w:val="auto"/>
              </w:rPr>
            </w:pPr>
            <w:r>
              <w:rPr>
                <w:rFonts w:ascii="Arial" w:cs="Arial" w:eastAsia="Arial" w:hAnsi="Arial"/>
                <w:sz w:val="18"/>
                <w:szCs w:val="18"/>
                <w:color w:val="auto"/>
              </w:rPr>
              <w:t>, and</w:t>
            </w:r>
          </w:p>
        </w:tc>
        <w:tc>
          <w:tcPr>
            <w:tcW w:w="1620" w:type="dxa"/>
            <w:vAlign w:val="bottom"/>
          </w:tcPr>
          <w:p>
            <w:pPr>
              <w:ind w:left="200"/>
              <w:spacing w:after="0"/>
              <w:rPr>
                <w:sz w:val="20"/>
                <w:szCs w:val="20"/>
                <w:color w:val="auto"/>
              </w:rPr>
            </w:pPr>
            <w:r>
              <w:rPr>
                <w:rFonts w:ascii="Arial" w:cs="Arial" w:eastAsia="Arial" w:hAnsi="Arial"/>
                <w:sz w:val="18"/>
                <w:szCs w:val="18"/>
                <w:color w:val="auto"/>
              </w:rPr>
              <w:t>, commencing</w:t>
            </w:r>
          </w:p>
        </w:tc>
        <w:tc>
          <w:tcPr>
            <w:tcW w:w="3080" w:type="dxa"/>
            <w:vAlign w:val="bottom"/>
          </w:tcPr>
          <w:p>
            <w:pPr>
              <w:ind w:left="380"/>
              <w:spacing w:after="0"/>
              <w:rPr>
                <w:sz w:val="20"/>
                <w:szCs w:val="20"/>
                <w:color w:val="auto"/>
              </w:rPr>
            </w:pPr>
            <w:r>
              <w:rPr>
                <w:rFonts w:ascii="Arial" w:cs="Arial" w:eastAsia="Arial" w:hAnsi="Arial"/>
                <w:sz w:val="18"/>
                <w:szCs w:val="18"/>
                <w:color w:val="auto"/>
              </w:rPr>
              <w:t>, 2021 (whether or not a business</w:t>
            </w:r>
          </w:p>
        </w:tc>
      </w:tr>
      <w:tr>
        <w:trPr>
          <w:trHeight w:val="230"/>
        </w:trPr>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980" w:type="dxa"/>
            <w:vAlign w:val="bottom"/>
          </w:tcPr>
          <w:p>
            <w:pPr>
              <w:ind w:left="940"/>
              <w:spacing w:after="0"/>
              <w:rPr>
                <w:sz w:val="20"/>
                <w:szCs w:val="20"/>
                <w:color w:val="auto"/>
              </w:rPr>
            </w:pPr>
            <w:r>
              <w:rPr>
                <w:rFonts w:ascii="Arial" w:cs="Arial" w:eastAsia="Arial" w:hAnsi="Arial"/>
                <w:sz w:val="18"/>
                <w:szCs w:val="18"/>
                <w:color w:val="auto"/>
              </w:rPr>
              <w:t>day).</w:t>
            </w:r>
          </w:p>
        </w:tc>
        <w:tc>
          <w:tcPr>
            <w:tcW w:w="10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459"/>
        </w:trPr>
        <w:tc>
          <w:tcPr>
            <w:tcW w:w="3360" w:type="dxa"/>
            <w:vAlign w:val="bottom"/>
            <w:gridSpan w:val="2"/>
          </w:tcPr>
          <w:p>
            <w:pPr>
              <w:ind w:left="120"/>
              <w:spacing w:after="0"/>
              <w:rPr>
                <w:sz w:val="20"/>
                <w:szCs w:val="20"/>
                <w:color w:val="auto"/>
              </w:rPr>
            </w:pPr>
            <w:r>
              <w:rPr>
                <w:rFonts w:ascii="Arial" w:cs="Arial" w:eastAsia="Arial" w:hAnsi="Arial"/>
                <w:sz w:val="18"/>
                <w:szCs w:val="18"/>
                <w:color w:val="auto"/>
              </w:rPr>
              <w:t>Specified currency</w:t>
            </w:r>
          </w:p>
        </w:tc>
        <w:tc>
          <w:tcPr>
            <w:tcW w:w="1980" w:type="dxa"/>
            <w:vAlign w:val="bottom"/>
          </w:tcPr>
          <w:p>
            <w:pPr>
              <w:ind w:left="940"/>
              <w:spacing w:after="0"/>
              <w:rPr>
                <w:sz w:val="20"/>
                <w:szCs w:val="20"/>
                <w:color w:val="auto"/>
              </w:rPr>
            </w:pPr>
            <w:r>
              <w:rPr>
                <w:rFonts w:ascii="Arial" w:cs="Arial" w:eastAsia="Arial" w:hAnsi="Arial"/>
                <w:sz w:val="18"/>
                <w:szCs w:val="18"/>
                <w:color w:val="auto"/>
              </w:rPr>
              <w:t>U.S. Dollars</w:t>
            </w:r>
          </w:p>
        </w:tc>
        <w:tc>
          <w:tcPr>
            <w:tcW w:w="1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473"/>
        </w:trPr>
        <w:tc>
          <w:tcPr>
            <w:tcW w:w="3360" w:type="dxa"/>
            <w:vAlign w:val="bottom"/>
            <w:gridSpan w:val="2"/>
          </w:tcPr>
          <w:p>
            <w:pPr>
              <w:ind w:left="120"/>
              <w:spacing w:after="0"/>
              <w:rPr>
                <w:sz w:val="20"/>
                <w:szCs w:val="20"/>
                <w:color w:val="auto"/>
              </w:rPr>
            </w:pPr>
            <w:r>
              <w:rPr>
                <w:rFonts w:ascii="Arial" w:cs="Arial" w:eastAsia="Arial" w:hAnsi="Arial"/>
                <w:sz w:val="18"/>
                <w:szCs w:val="18"/>
                <w:color w:val="auto"/>
              </w:rPr>
              <w:t>Place of payment</w:t>
            </w:r>
          </w:p>
        </w:tc>
        <w:tc>
          <w:tcPr>
            <w:tcW w:w="3040" w:type="dxa"/>
            <w:vAlign w:val="bottom"/>
            <w:gridSpan w:val="2"/>
          </w:tcPr>
          <w:p>
            <w:pPr>
              <w:ind w:left="940"/>
              <w:spacing w:after="0"/>
              <w:rPr>
                <w:sz w:val="20"/>
                <w:szCs w:val="20"/>
                <w:color w:val="auto"/>
              </w:rPr>
            </w:pPr>
            <w:r>
              <w:rPr>
                <w:rFonts w:ascii="Arial" w:cs="Arial" w:eastAsia="Arial" w:hAnsi="Arial"/>
                <w:sz w:val="18"/>
                <w:szCs w:val="18"/>
                <w:color w:val="auto"/>
              </w:rPr>
              <w:t>The City of New York</w:t>
            </w:r>
          </w:p>
        </w:tc>
        <w:tc>
          <w:tcPr>
            <w:tcW w:w="162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473"/>
        </w:trPr>
        <w:tc>
          <w:tcPr>
            <w:tcW w:w="3360" w:type="dxa"/>
            <w:vAlign w:val="bottom"/>
            <w:gridSpan w:val="2"/>
          </w:tcPr>
          <w:p>
            <w:pPr>
              <w:ind w:left="120"/>
              <w:spacing w:after="0"/>
              <w:rPr>
                <w:sz w:val="20"/>
                <w:szCs w:val="20"/>
                <w:color w:val="auto"/>
              </w:rPr>
            </w:pPr>
            <w:r>
              <w:rPr>
                <w:rFonts w:ascii="Arial" w:cs="Arial" w:eastAsia="Arial" w:hAnsi="Arial"/>
                <w:sz w:val="18"/>
                <w:szCs w:val="18"/>
                <w:color w:val="auto"/>
              </w:rPr>
              <w:t>Ranking of Notes</w:t>
            </w:r>
          </w:p>
        </w:tc>
        <w:tc>
          <w:tcPr>
            <w:tcW w:w="7740" w:type="dxa"/>
            <w:vAlign w:val="bottom"/>
            <w:gridSpan w:val="4"/>
          </w:tcPr>
          <w:p>
            <w:pPr>
              <w:ind w:left="940"/>
              <w:spacing w:after="0"/>
              <w:rPr>
                <w:sz w:val="20"/>
                <w:szCs w:val="20"/>
                <w:color w:val="auto"/>
              </w:rPr>
            </w:pPr>
            <w:r>
              <w:rPr>
                <w:rFonts w:ascii="Arial" w:cs="Arial" w:eastAsia="Arial" w:hAnsi="Arial"/>
                <w:sz w:val="18"/>
                <w:szCs w:val="18"/>
                <w:color w:val="auto"/>
              </w:rPr>
              <w:t>The Notes will be our direct unsecured obligations and will rank:</w:t>
            </w:r>
          </w:p>
        </w:tc>
      </w:tr>
      <w:tr>
        <w:trPr>
          <w:trHeight w:val="458"/>
        </w:trPr>
        <w:tc>
          <w:tcPr>
            <w:tcW w:w="1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740" w:type="dxa"/>
            <w:vAlign w:val="bottom"/>
            <w:gridSpan w:val="4"/>
          </w:tcPr>
          <w:p>
            <w:pPr>
              <w:ind w:left="980"/>
              <w:spacing w:after="0"/>
              <w:rPr>
                <w:sz w:val="20"/>
                <w:szCs w:val="20"/>
                <w:color w:val="auto"/>
              </w:rPr>
            </w:pPr>
            <w:r>
              <w:rPr>
                <w:rFonts w:ascii="Arial" w:cs="Arial" w:eastAsia="Arial" w:hAnsi="Arial"/>
                <w:sz w:val="18"/>
                <w:szCs w:val="18"/>
                <w:color w:val="auto"/>
                <w:w w:val="97"/>
              </w:rPr>
              <w:t xml:space="preserve">• </w:t>
            </w:r>
            <w:r>
              <w:rPr>
                <w:rFonts w:ascii="Arial" w:cs="Arial" w:eastAsia="Arial" w:hAnsi="Arial"/>
                <w:sz w:val="18"/>
                <w:szCs w:val="18"/>
                <w:i w:val="1"/>
                <w:iCs w:val="1"/>
                <w:color w:val="auto"/>
                <w:w w:val="97"/>
              </w:rPr>
              <w:t>pari passu</w:t>
            </w:r>
            <w:r>
              <w:rPr>
                <w:rFonts w:ascii="Arial" w:cs="Arial" w:eastAsia="Arial" w:hAnsi="Arial"/>
                <w:sz w:val="18"/>
                <w:szCs w:val="18"/>
                <w:color w:val="auto"/>
                <w:w w:val="97"/>
              </w:rPr>
              <w:t xml:space="preserve"> in right of payment with any existing and future unsecured unsubordinated</w:t>
            </w:r>
          </w:p>
        </w:tc>
      </w:tr>
      <w:tr>
        <w:trPr>
          <w:trHeight w:val="216"/>
        </w:trPr>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40" w:type="dxa"/>
            <w:vAlign w:val="bottom"/>
            <w:gridSpan w:val="4"/>
          </w:tcPr>
          <w:p>
            <w:pPr>
              <w:ind w:left="1160"/>
              <w:spacing w:after="0"/>
              <w:rPr>
                <w:sz w:val="20"/>
                <w:szCs w:val="20"/>
                <w:color w:val="auto"/>
              </w:rPr>
            </w:pPr>
            <w:r>
              <w:rPr>
                <w:rFonts w:ascii="Arial" w:cs="Arial" w:eastAsia="Arial" w:hAnsi="Arial"/>
                <w:sz w:val="18"/>
                <w:szCs w:val="18"/>
                <w:color w:val="auto"/>
              </w:rPr>
              <w:t>indebtedness, including approximately $86.3 million in aggregate principal amount</w:t>
            </w:r>
          </w:p>
        </w:tc>
      </w:tr>
      <w:tr>
        <w:trPr>
          <w:trHeight w:val="230"/>
        </w:trPr>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740" w:type="dxa"/>
            <w:vAlign w:val="bottom"/>
            <w:gridSpan w:val="4"/>
          </w:tcPr>
          <w:p>
            <w:pPr>
              <w:ind w:left="1160"/>
              <w:spacing w:after="0"/>
              <w:rPr>
                <w:sz w:val="20"/>
                <w:szCs w:val="20"/>
                <w:color w:val="auto"/>
              </w:rPr>
            </w:pPr>
            <w:r>
              <w:rPr>
                <w:rFonts w:ascii="Arial" w:cs="Arial" w:eastAsia="Arial" w:hAnsi="Arial"/>
                <w:sz w:val="18"/>
                <w:szCs w:val="18"/>
                <w:color w:val="auto"/>
                <w:w w:val="89"/>
              </w:rPr>
              <w:t>outstanding under our 5.50% Notes due 2024, or the 2024 Notes, as of December 31, 2020;</w:t>
            </w:r>
          </w:p>
        </w:tc>
      </w:tr>
      <w:tr>
        <w:trPr>
          <w:trHeight w:val="323"/>
        </w:trPr>
        <w:tc>
          <w:tcPr>
            <w:tcW w:w="1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740" w:type="dxa"/>
            <w:vAlign w:val="bottom"/>
            <w:gridSpan w:val="4"/>
          </w:tcPr>
          <w:p>
            <w:pPr>
              <w:ind w:left="980"/>
              <w:spacing w:after="0"/>
              <w:rPr>
                <w:sz w:val="20"/>
                <w:szCs w:val="20"/>
                <w:color w:val="auto"/>
              </w:rPr>
            </w:pPr>
            <w:r>
              <w:rPr>
                <w:rFonts w:ascii="Arial" w:cs="Arial" w:eastAsia="Arial" w:hAnsi="Arial"/>
                <w:sz w:val="18"/>
                <w:szCs w:val="18"/>
                <w:color w:val="auto"/>
                <w:w w:val="93"/>
              </w:rPr>
              <w:t>• senior to any of our future indebtedness that expressly states it is subordinated in right of</w:t>
            </w:r>
          </w:p>
        </w:tc>
      </w:tr>
      <w:tr>
        <w:trPr>
          <w:trHeight w:val="230"/>
        </w:trPr>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040" w:type="dxa"/>
            <w:vAlign w:val="bottom"/>
            <w:gridSpan w:val="2"/>
          </w:tcPr>
          <w:p>
            <w:pPr>
              <w:ind w:left="1160"/>
              <w:spacing w:after="0"/>
              <w:rPr>
                <w:sz w:val="20"/>
                <w:szCs w:val="20"/>
                <w:color w:val="auto"/>
              </w:rPr>
            </w:pPr>
            <w:r>
              <w:rPr>
                <w:rFonts w:ascii="Arial" w:cs="Arial" w:eastAsia="Arial" w:hAnsi="Arial"/>
                <w:sz w:val="18"/>
                <w:szCs w:val="18"/>
                <w:color w:val="auto"/>
              </w:rPr>
              <w:t>payment to the Notes;</w:t>
            </w:r>
          </w:p>
        </w:tc>
        <w:tc>
          <w:tcPr>
            <w:tcW w:w="162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338"/>
        </w:trPr>
        <w:tc>
          <w:tcPr>
            <w:tcW w:w="1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740" w:type="dxa"/>
            <w:vAlign w:val="bottom"/>
            <w:gridSpan w:val="4"/>
          </w:tcPr>
          <w:p>
            <w:pPr>
              <w:ind w:left="980"/>
              <w:spacing w:after="0"/>
              <w:rPr>
                <w:sz w:val="20"/>
                <w:szCs w:val="20"/>
                <w:color w:val="auto"/>
              </w:rPr>
            </w:pPr>
            <w:r>
              <w:rPr>
                <w:rFonts w:ascii="Arial" w:cs="Arial" w:eastAsia="Arial" w:hAnsi="Arial"/>
                <w:sz w:val="18"/>
                <w:szCs w:val="18"/>
                <w:color w:val="auto"/>
              </w:rPr>
              <w:t>• senior to any series of preferred stock that we may issue in the future;</w:t>
            </w:r>
          </w:p>
        </w:tc>
      </w:tr>
      <w:tr>
        <w:trPr>
          <w:trHeight w:val="323"/>
        </w:trPr>
        <w:tc>
          <w:tcPr>
            <w:tcW w:w="1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740" w:type="dxa"/>
            <w:vAlign w:val="bottom"/>
            <w:gridSpan w:val="4"/>
          </w:tcPr>
          <w:p>
            <w:pPr>
              <w:ind w:left="980"/>
              <w:spacing w:after="0"/>
              <w:rPr>
                <w:sz w:val="20"/>
                <w:szCs w:val="20"/>
                <w:color w:val="auto"/>
              </w:rPr>
            </w:pPr>
            <w:r>
              <w:rPr>
                <w:rFonts w:ascii="Arial" w:cs="Arial" w:eastAsia="Arial" w:hAnsi="Arial"/>
                <w:sz w:val="18"/>
                <w:szCs w:val="18"/>
                <w:color w:val="auto"/>
              </w:rPr>
              <w:t>• effectively subordinated in right of payment to all of our existing and future secured</w:t>
            </w:r>
          </w:p>
        </w:tc>
      </w:tr>
      <w:tr>
        <w:trPr>
          <w:trHeight w:val="216"/>
        </w:trPr>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40" w:type="dxa"/>
            <w:vAlign w:val="bottom"/>
            <w:gridSpan w:val="4"/>
          </w:tcPr>
          <w:p>
            <w:pPr>
              <w:ind w:left="1160"/>
              <w:spacing w:after="0"/>
              <w:rPr>
                <w:sz w:val="20"/>
                <w:szCs w:val="20"/>
                <w:color w:val="auto"/>
              </w:rPr>
            </w:pPr>
            <w:r>
              <w:rPr>
                <w:rFonts w:ascii="Arial" w:cs="Arial" w:eastAsia="Arial" w:hAnsi="Arial"/>
                <w:sz w:val="18"/>
                <w:szCs w:val="18"/>
                <w:color w:val="auto"/>
              </w:rPr>
              <w:t>indebtedness (including indebtedness that is initially unsecured, but to which we</w:t>
            </w:r>
          </w:p>
        </w:tc>
      </w:tr>
      <w:tr>
        <w:trPr>
          <w:trHeight w:val="216"/>
        </w:trPr>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40" w:type="dxa"/>
            <w:vAlign w:val="bottom"/>
            <w:gridSpan w:val="4"/>
          </w:tcPr>
          <w:p>
            <w:pPr>
              <w:ind w:left="1160"/>
              <w:spacing w:after="0"/>
              <w:rPr>
                <w:sz w:val="20"/>
                <w:szCs w:val="20"/>
                <w:color w:val="auto"/>
              </w:rPr>
            </w:pPr>
            <w:r>
              <w:rPr>
                <w:rFonts w:ascii="Arial" w:cs="Arial" w:eastAsia="Arial" w:hAnsi="Arial"/>
                <w:sz w:val="18"/>
                <w:szCs w:val="18"/>
                <w:color w:val="auto"/>
              </w:rPr>
              <w:t>subsequently grant security), to the extent of the value of the assets securing such</w:t>
            </w:r>
          </w:p>
        </w:tc>
      </w:tr>
      <w:tr>
        <w:trPr>
          <w:trHeight w:val="216"/>
        </w:trPr>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40" w:type="dxa"/>
            <w:vAlign w:val="bottom"/>
            <w:gridSpan w:val="4"/>
          </w:tcPr>
          <w:p>
            <w:pPr>
              <w:ind w:left="1160"/>
              <w:spacing w:after="0"/>
              <w:rPr>
                <w:sz w:val="20"/>
                <w:szCs w:val="20"/>
                <w:color w:val="auto"/>
              </w:rPr>
            </w:pPr>
            <w:r>
              <w:rPr>
                <w:rFonts w:ascii="Arial" w:cs="Arial" w:eastAsia="Arial" w:hAnsi="Arial"/>
                <w:sz w:val="18"/>
                <w:szCs w:val="18"/>
                <w:color w:val="auto"/>
                <w:w w:val="91"/>
              </w:rPr>
              <w:t>indebtedness, including approximately $355.5 million of borrowings outstanding under our</w:t>
            </w:r>
          </w:p>
        </w:tc>
      </w:tr>
      <w:tr>
        <w:trPr>
          <w:trHeight w:val="216"/>
        </w:trPr>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40" w:type="dxa"/>
            <w:vAlign w:val="bottom"/>
            <w:gridSpan w:val="4"/>
          </w:tcPr>
          <w:p>
            <w:pPr>
              <w:ind w:left="1160"/>
              <w:spacing w:after="0"/>
              <w:rPr>
                <w:sz w:val="20"/>
                <w:szCs w:val="20"/>
                <w:color w:val="auto"/>
              </w:rPr>
            </w:pPr>
            <w:r>
              <w:rPr>
                <w:rFonts w:ascii="Arial" w:cs="Arial" w:eastAsia="Arial" w:hAnsi="Arial"/>
                <w:sz w:val="18"/>
                <w:szCs w:val="18"/>
                <w:color w:val="auto"/>
              </w:rPr>
              <w:t>multi-currency, senior secured revolving credit facility with Truist Bank (formerly</w:t>
            </w:r>
          </w:p>
        </w:tc>
      </w:tr>
      <w:tr>
        <w:trPr>
          <w:trHeight w:val="216"/>
        </w:trPr>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40" w:type="dxa"/>
            <w:vAlign w:val="bottom"/>
            <w:gridSpan w:val="4"/>
          </w:tcPr>
          <w:p>
            <w:pPr>
              <w:ind w:left="1160"/>
              <w:spacing w:after="0"/>
              <w:rPr>
                <w:sz w:val="20"/>
                <w:szCs w:val="20"/>
                <w:color w:val="auto"/>
              </w:rPr>
            </w:pPr>
            <w:r>
              <w:rPr>
                <w:rFonts w:ascii="Arial" w:cs="Arial" w:eastAsia="Arial" w:hAnsi="Arial"/>
                <w:sz w:val="18"/>
                <w:szCs w:val="18"/>
                <w:color w:val="auto"/>
                <w:w w:val="91"/>
              </w:rPr>
              <w:t>SunTrust Bank), as amended and restated, or the Truist Credit Facility, to the extent of the</w:t>
            </w:r>
          </w:p>
        </w:tc>
      </w:tr>
      <w:tr>
        <w:trPr>
          <w:trHeight w:val="230"/>
        </w:trPr>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740" w:type="dxa"/>
            <w:vAlign w:val="bottom"/>
            <w:gridSpan w:val="4"/>
          </w:tcPr>
          <w:p>
            <w:pPr>
              <w:ind w:left="1160"/>
              <w:spacing w:after="0"/>
              <w:rPr>
                <w:sz w:val="20"/>
                <w:szCs w:val="20"/>
                <w:color w:val="auto"/>
              </w:rPr>
            </w:pPr>
            <w:r>
              <w:rPr>
                <w:rFonts w:ascii="Arial" w:cs="Arial" w:eastAsia="Arial" w:hAnsi="Arial"/>
                <w:sz w:val="18"/>
                <w:szCs w:val="18"/>
                <w:color w:val="auto"/>
                <w:w w:val="98"/>
              </w:rPr>
              <w:t>value of the assets securing the Truist Credit Facility, as of December 31, 2020; and</w:t>
            </w:r>
          </w:p>
        </w:tc>
      </w:tr>
      <w:tr>
        <w:trPr>
          <w:trHeight w:val="323"/>
        </w:trPr>
        <w:tc>
          <w:tcPr>
            <w:tcW w:w="1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740" w:type="dxa"/>
            <w:vAlign w:val="bottom"/>
            <w:gridSpan w:val="4"/>
          </w:tcPr>
          <w:p>
            <w:pPr>
              <w:ind w:left="980"/>
              <w:spacing w:after="0"/>
              <w:rPr>
                <w:sz w:val="20"/>
                <w:szCs w:val="20"/>
                <w:color w:val="auto"/>
              </w:rPr>
            </w:pPr>
            <w:r>
              <w:rPr>
                <w:rFonts w:ascii="Arial" w:cs="Arial" w:eastAsia="Arial" w:hAnsi="Arial"/>
                <w:sz w:val="18"/>
                <w:szCs w:val="18"/>
                <w:color w:val="auto"/>
                <w:w w:val="95"/>
              </w:rPr>
              <w:t>• structurally subordinated to all existing and future indebtedness and other obligations of</w:t>
            </w:r>
          </w:p>
        </w:tc>
      </w:tr>
      <w:tr>
        <w:trPr>
          <w:trHeight w:val="216"/>
        </w:trPr>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40" w:type="dxa"/>
            <w:vAlign w:val="bottom"/>
            <w:gridSpan w:val="4"/>
          </w:tcPr>
          <w:p>
            <w:pPr>
              <w:ind w:left="1160"/>
              <w:spacing w:after="0"/>
              <w:rPr>
                <w:sz w:val="20"/>
                <w:szCs w:val="20"/>
                <w:color w:val="auto"/>
              </w:rPr>
            </w:pPr>
            <w:r>
              <w:rPr>
                <w:rFonts w:ascii="Arial" w:cs="Arial" w:eastAsia="Arial" w:hAnsi="Arial"/>
                <w:sz w:val="18"/>
                <w:szCs w:val="18"/>
                <w:color w:val="auto"/>
                <w:w w:val="94"/>
              </w:rPr>
              <w:t>any of our subsidiaries, financing vehicles or similar facilities, including $118.5 million of</w:t>
            </w:r>
          </w:p>
        </w:tc>
      </w:tr>
      <w:tr>
        <w:trPr>
          <w:trHeight w:val="216"/>
        </w:trPr>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40" w:type="dxa"/>
            <w:vAlign w:val="bottom"/>
            <w:gridSpan w:val="4"/>
          </w:tcPr>
          <w:p>
            <w:pPr>
              <w:ind w:left="1160"/>
              <w:spacing w:after="0"/>
              <w:rPr>
                <w:sz w:val="20"/>
                <w:szCs w:val="20"/>
                <w:color w:val="auto"/>
              </w:rPr>
            </w:pPr>
            <w:r>
              <w:rPr>
                <w:rFonts w:ascii="Arial" w:cs="Arial" w:eastAsia="Arial" w:hAnsi="Arial"/>
                <w:sz w:val="18"/>
                <w:szCs w:val="18"/>
                <w:color w:val="auto"/>
                <w:w w:val="90"/>
              </w:rPr>
              <w:t>indebtedness outstanding under our Small Business Administration, or SBA, debentures as</w:t>
            </w:r>
          </w:p>
        </w:tc>
      </w:tr>
      <w:tr>
        <w:trPr>
          <w:trHeight w:val="230"/>
        </w:trPr>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040" w:type="dxa"/>
            <w:vAlign w:val="bottom"/>
            <w:gridSpan w:val="2"/>
          </w:tcPr>
          <w:p>
            <w:pPr>
              <w:ind w:left="1160"/>
              <w:spacing w:after="0"/>
              <w:rPr>
                <w:sz w:val="20"/>
                <w:szCs w:val="20"/>
                <w:color w:val="auto"/>
              </w:rPr>
            </w:pPr>
            <w:r>
              <w:rPr>
                <w:rFonts w:ascii="Arial" w:cs="Arial" w:eastAsia="Arial" w:hAnsi="Arial"/>
                <w:sz w:val="18"/>
                <w:szCs w:val="18"/>
                <w:color w:val="auto"/>
              </w:rPr>
              <w:t>of December 31, 2020.</w:t>
            </w:r>
          </w:p>
        </w:tc>
        <w:tc>
          <w:tcPr>
            <w:tcW w:w="162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445"/>
        </w:trPr>
        <w:tc>
          <w:tcPr>
            <w:tcW w:w="3360" w:type="dxa"/>
            <w:vAlign w:val="bottom"/>
            <w:gridSpan w:val="2"/>
          </w:tcPr>
          <w:p>
            <w:pPr>
              <w:ind w:left="120"/>
              <w:spacing w:after="0"/>
              <w:rPr>
                <w:sz w:val="20"/>
                <w:szCs w:val="20"/>
                <w:color w:val="auto"/>
              </w:rPr>
            </w:pPr>
            <w:r>
              <w:rPr>
                <w:rFonts w:ascii="Arial" w:cs="Arial" w:eastAsia="Arial" w:hAnsi="Arial"/>
                <w:sz w:val="18"/>
                <w:szCs w:val="18"/>
                <w:color w:val="auto"/>
              </w:rPr>
              <w:t>Denominations</w:t>
            </w:r>
          </w:p>
        </w:tc>
        <w:tc>
          <w:tcPr>
            <w:tcW w:w="7740" w:type="dxa"/>
            <w:vAlign w:val="bottom"/>
            <w:gridSpan w:val="4"/>
          </w:tcPr>
          <w:p>
            <w:pPr>
              <w:ind w:left="940"/>
              <w:spacing w:after="0"/>
              <w:rPr>
                <w:sz w:val="20"/>
                <w:szCs w:val="20"/>
                <w:color w:val="auto"/>
              </w:rPr>
            </w:pPr>
            <w:r>
              <w:rPr>
                <w:rFonts w:ascii="Arial" w:cs="Arial" w:eastAsia="Arial" w:hAnsi="Arial"/>
                <w:sz w:val="18"/>
                <w:szCs w:val="18"/>
                <w:color w:val="auto"/>
                <w:w w:val="91"/>
              </w:rPr>
              <w:t>We will issue the Notes in denominations of $2,000 and integral multiples of $1,000 in excess</w:t>
            </w:r>
          </w:p>
        </w:tc>
      </w:tr>
      <w:tr>
        <w:trPr>
          <w:trHeight w:val="230"/>
        </w:trPr>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980" w:type="dxa"/>
            <w:vAlign w:val="bottom"/>
          </w:tcPr>
          <w:p>
            <w:pPr>
              <w:ind w:left="940"/>
              <w:spacing w:after="0"/>
              <w:rPr>
                <w:sz w:val="20"/>
                <w:szCs w:val="20"/>
                <w:color w:val="auto"/>
              </w:rPr>
            </w:pPr>
            <w:r>
              <w:rPr>
                <w:rFonts w:ascii="Arial" w:cs="Arial" w:eastAsia="Arial" w:hAnsi="Arial"/>
                <w:sz w:val="18"/>
                <w:szCs w:val="18"/>
                <w:color w:val="auto"/>
              </w:rPr>
              <w:t>thereof.</w:t>
            </w:r>
          </w:p>
        </w:tc>
        <w:tc>
          <w:tcPr>
            <w:tcW w:w="10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445"/>
        </w:trPr>
        <w:tc>
          <w:tcPr>
            <w:tcW w:w="3360" w:type="dxa"/>
            <w:vAlign w:val="bottom"/>
            <w:gridSpan w:val="2"/>
          </w:tcPr>
          <w:p>
            <w:pPr>
              <w:ind w:left="120"/>
              <w:spacing w:after="0"/>
              <w:rPr>
                <w:sz w:val="20"/>
                <w:szCs w:val="20"/>
                <w:color w:val="auto"/>
              </w:rPr>
            </w:pPr>
            <w:r>
              <w:rPr>
                <w:rFonts w:ascii="Arial" w:cs="Arial" w:eastAsia="Arial" w:hAnsi="Arial"/>
                <w:sz w:val="18"/>
                <w:szCs w:val="18"/>
                <w:color w:val="auto"/>
              </w:rPr>
              <w:t>Business day</w:t>
            </w:r>
          </w:p>
        </w:tc>
        <w:tc>
          <w:tcPr>
            <w:tcW w:w="7740" w:type="dxa"/>
            <w:vAlign w:val="bottom"/>
            <w:gridSpan w:val="4"/>
          </w:tcPr>
          <w:p>
            <w:pPr>
              <w:ind w:left="940"/>
              <w:spacing w:after="0"/>
              <w:rPr>
                <w:sz w:val="20"/>
                <w:szCs w:val="20"/>
                <w:color w:val="auto"/>
              </w:rPr>
            </w:pPr>
            <w:r>
              <w:rPr>
                <w:rFonts w:ascii="Arial" w:cs="Arial" w:eastAsia="Arial" w:hAnsi="Arial"/>
                <w:sz w:val="18"/>
                <w:szCs w:val="18"/>
                <w:color w:val="auto"/>
                <w:w w:val="92"/>
              </w:rPr>
              <w:t>Any day other than a Saturday, a Sunday or a day on which banking institutions in New York</w:t>
            </w:r>
          </w:p>
        </w:tc>
      </w:tr>
      <w:tr>
        <w:trPr>
          <w:trHeight w:val="216"/>
        </w:trPr>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40" w:type="dxa"/>
            <w:vAlign w:val="bottom"/>
            <w:gridSpan w:val="4"/>
          </w:tcPr>
          <w:p>
            <w:pPr>
              <w:ind w:left="940"/>
              <w:spacing w:after="0"/>
              <w:rPr>
                <w:sz w:val="20"/>
                <w:szCs w:val="20"/>
                <w:color w:val="auto"/>
              </w:rPr>
            </w:pPr>
            <w:r>
              <w:rPr>
                <w:rFonts w:ascii="Arial" w:cs="Arial" w:eastAsia="Arial" w:hAnsi="Arial"/>
                <w:sz w:val="18"/>
                <w:szCs w:val="18"/>
                <w:color w:val="auto"/>
                <w:w w:val="99"/>
              </w:rPr>
              <w:t>or the city in which the corporate trust office of the trustee is located are authorized or</w:t>
            </w:r>
          </w:p>
        </w:tc>
      </w:tr>
      <w:tr>
        <w:trPr>
          <w:trHeight w:val="230"/>
        </w:trPr>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660" w:type="dxa"/>
            <w:vAlign w:val="bottom"/>
            <w:gridSpan w:val="3"/>
          </w:tcPr>
          <w:p>
            <w:pPr>
              <w:ind w:left="940"/>
              <w:spacing w:after="0"/>
              <w:rPr>
                <w:sz w:val="20"/>
                <w:szCs w:val="20"/>
                <w:color w:val="auto"/>
              </w:rPr>
            </w:pPr>
            <w:r>
              <w:rPr>
                <w:rFonts w:ascii="Arial" w:cs="Arial" w:eastAsia="Arial" w:hAnsi="Arial"/>
                <w:sz w:val="18"/>
                <w:szCs w:val="18"/>
                <w:color w:val="auto"/>
              </w:rPr>
              <w:t>obligated by law or executive order to close.</w:t>
            </w:r>
          </w:p>
        </w:tc>
        <w:tc>
          <w:tcPr>
            <w:tcW w:w="3080" w:type="dxa"/>
            <w:vAlign w:val="bottom"/>
          </w:tcPr>
          <w:p>
            <w:pPr>
              <w:spacing w:after="0"/>
              <w:rPr>
                <w:sz w:val="20"/>
                <w:szCs w:val="20"/>
                <w:color w:val="auto"/>
              </w:rPr>
            </w:pPr>
          </w:p>
        </w:tc>
      </w:tr>
      <w:tr>
        <w:trPr>
          <w:trHeight w:val="445"/>
        </w:trPr>
        <w:tc>
          <w:tcPr>
            <w:tcW w:w="3360" w:type="dxa"/>
            <w:vAlign w:val="bottom"/>
            <w:gridSpan w:val="2"/>
          </w:tcPr>
          <w:p>
            <w:pPr>
              <w:ind w:left="120"/>
              <w:spacing w:after="0"/>
              <w:rPr>
                <w:sz w:val="20"/>
                <w:szCs w:val="20"/>
                <w:color w:val="auto"/>
              </w:rPr>
            </w:pPr>
            <w:r>
              <w:rPr>
                <w:rFonts w:ascii="Arial" w:cs="Arial" w:eastAsia="Arial" w:hAnsi="Arial"/>
                <w:sz w:val="18"/>
                <w:szCs w:val="18"/>
                <w:color w:val="auto"/>
              </w:rPr>
              <w:t>Optional redemption</w:t>
            </w:r>
          </w:p>
        </w:tc>
        <w:tc>
          <w:tcPr>
            <w:tcW w:w="7740" w:type="dxa"/>
            <w:vAlign w:val="bottom"/>
            <w:gridSpan w:val="4"/>
          </w:tcPr>
          <w:p>
            <w:pPr>
              <w:ind w:left="940"/>
              <w:spacing w:after="0"/>
              <w:rPr>
                <w:sz w:val="20"/>
                <w:szCs w:val="20"/>
                <w:color w:val="auto"/>
              </w:rPr>
            </w:pPr>
            <w:r>
              <w:rPr>
                <w:rFonts w:ascii="Arial" w:cs="Arial" w:eastAsia="Arial" w:hAnsi="Arial"/>
                <w:sz w:val="18"/>
                <w:szCs w:val="18"/>
                <w:color w:val="auto"/>
                <w:w w:val="91"/>
              </w:rPr>
              <w:t>We may redeem some or all of the Notes at any time, or from time to time, upon not less than</w:t>
            </w:r>
          </w:p>
        </w:tc>
      </w:tr>
      <w:tr>
        <w:trPr>
          <w:trHeight w:val="216"/>
        </w:trPr>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740" w:type="dxa"/>
            <w:vAlign w:val="bottom"/>
            <w:gridSpan w:val="4"/>
          </w:tcPr>
          <w:p>
            <w:pPr>
              <w:ind w:left="940"/>
              <w:spacing w:after="0"/>
              <w:rPr>
                <w:sz w:val="20"/>
                <w:szCs w:val="20"/>
                <w:color w:val="auto"/>
              </w:rPr>
            </w:pPr>
            <w:r>
              <w:rPr>
                <w:rFonts w:ascii="Arial" w:cs="Arial" w:eastAsia="Arial" w:hAnsi="Arial"/>
                <w:sz w:val="18"/>
                <w:szCs w:val="18"/>
                <w:color w:val="auto"/>
                <w:w w:val="93"/>
              </w:rPr>
              <w:t>30 days’ nor more than 60 days’ written notice prior to the date fixed for redemption thereof,</w:t>
            </w:r>
          </w:p>
        </w:tc>
      </w:tr>
      <w:tr>
        <w:trPr>
          <w:trHeight w:val="230"/>
        </w:trPr>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740" w:type="dxa"/>
            <w:vAlign w:val="bottom"/>
            <w:gridSpan w:val="4"/>
          </w:tcPr>
          <w:p>
            <w:pPr>
              <w:ind w:left="940"/>
              <w:spacing w:after="0"/>
              <w:rPr>
                <w:sz w:val="20"/>
                <w:szCs w:val="20"/>
                <w:color w:val="auto"/>
              </w:rPr>
            </w:pPr>
            <w:r>
              <w:rPr>
                <w:rFonts w:ascii="Arial" w:cs="Arial" w:eastAsia="Arial" w:hAnsi="Arial"/>
                <w:sz w:val="18"/>
                <w:szCs w:val="18"/>
                <w:color w:val="auto"/>
              </w:rPr>
              <w:t>at a redemption price equal to the greater of (1) 100% of the principal amount of the</w:t>
            </w:r>
          </w:p>
        </w:tc>
      </w:tr>
      <w:tr>
        <w:trPr>
          <w:trHeight w:val="365"/>
        </w:trPr>
        <w:tc>
          <w:tcPr>
            <w:tcW w:w="1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60" w:type="dxa"/>
            <w:vAlign w:val="bottom"/>
          </w:tcPr>
          <w:p>
            <w:pPr>
              <w:ind w:left="160"/>
              <w:spacing w:after="0"/>
              <w:rPr>
                <w:sz w:val="20"/>
                <w:szCs w:val="20"/>
                <w:color w:val="auto"/>
              </w:rPr>
            </w:pPr>
            <w:r>
              <w:rPr>
                <w:rFonts w:ascii="Arial" w:cs="Arial" w:eastAsia="Arial" w:hAnsi="Arial"/>
                <w:sz w:val="18"/>
                <w:szCs w:val="18"/>
                <w:color w:val="auto"/>
              </w:rPr>
              <w:t>S-3</w:t>
            </w:r>
          </w:p>
        </w:tc>
        <w:tc>
          <w:tcPr>
            <w:tcW w:w="1620" w:type="dxa"/>
            <w:vAlign w:val="bottom"/>
          </w:tcPr>
          <w:p>
            <w:pPr>
              <w:spacing w:after="0"/>
              <w:rPr>
                <w:sz w:val="24"/>
                <w:szCs w:val="24"/>
                <w:color w:val="auto"/>
              </w:rPr>
            </w:pPr>
          </w:p>
        </w:tc>
        <w:tc>
          <w:tcPr>
            <w:tcW w:w="3080" w:type="dxa"/>
            <w:vAlign w:val="bottom"/>
          </w:tcPr>
          <w:p>
            <w:pPr>
              <w:spacing w:after="0"/>
              <w:rPr>
                <w:sz w:val="24"/>
                <w:szCs w:val="24"/>
                <w:color w:val="auto"/>
              </w:rPr>
            </w:pPr>
          </w:p>
        </w:tc>
      </w:tr>
    </w:tbl>
    <w:p>
      <w:pPr>
        <w:sectPr>
          <w:pgSz w:w="11900" w:h="16838" w:orient="portrait"/>
          <w:cols w:equalWidth="0" w:num="1">
            <w:col w:w="11100"/>
          </w:cols>
          <w:pgMar w:left="320" w:top="446"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300" w:right="40"/>
        <w:spacing w:after="0" w:line="286" w:lineRule="auto"/>
        <w:rPr>
          <w:sz w:val="20"/>
          <w:szCs w:val="20"/>
          <w:color w:val="auto"/>
        </w:rPr>
      </w:pPr>
      <w:r>
        <w:rPr>
          <w:rFonts w:ascii="Arial" w:cs="Arial" w:eastAsia="Arial" w:hAnsi="Arial"/>
          <w:sz w:val="16"/>
          <w:szCs w:val="16"/>
          <w:color w:val="auto"/>
        </w:rPr>
        <w:t>Notes to be redeemed or (2) the sum of the present values of the remaining scheduled payments of principal and interest (exclusive of accrued and unpaid interest to the date of redemption) on the Notes to be redeemed, discounted to the redemption date on a semi-annual basis (assuming a 360-day year consisting of twelve 30-day months) using the applicable</w:t>
      </w:r>
    </w:p>
    <w:p>
      <w:pPr>
        <w:spacing w:after="0" w:line="1" w:lineRule="exact"/>
        <w:rPr>
          <w:sz w:val="20"/>
          <w:szCs w:val="20"/>
          <w:color w:val="auto"/>
        </w:rPr>
      </w:pPr>
    </w:p>
    <w:p>
      <w:pPr>
        <w:ind w:left="4300" w:right="20"/>
        <w:spacing w:after="0" w:line="265" w:lineRule="auto"/>
        <w:rPr>
          <w:sz w:val="20"/>
          <w:szCs w:val="20"/>
          <w:color w:val="auto"/>
        </w:rPr>
      </w:pPr>
      <w:r>
        <w:rPr>
          <w:rFonts w:ascii="Arial" w:cs="Arial" w:eastAsia="Arial" w:hAnsi="Arial"/>
          <w:sz w:val="17"/>
          <w:szCs w:val="17"/>
          <w:color w:val="auto"/>
        </w:rPr>
        <w:t xml:space="preserve">Treasury Rate plus basis points, plus, in each case, accrued and unpaid interest to the redemption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we redeem any Notes on or after , 2026 (the date falling months prior to the maturity date of the Notes), the redemption price</w:t>
      </w:r>
    </w:p>
    <w:p>
      <w:pPr>
        <w:ind w:left="4300" w:right="60"/>
        <w:spacing w:after="0" w:line="290" w:lineRule="auto"/>
        <w:rPr>
          <w:sz w:val="20"/>
          <w:szCs w:val="20"/>
          <w:color w:val="auto"/>
        </w:rPr>
      </w:pPr>
      <w:r>
        <w:rPr>
          <w:rFonts w:ascii="Arial" w:cs="Arial" w:eastAsia="Arial" w:hAnsi="Arial"/>
          <w:sz w:val="17"/>
          <w:szCs w:val="17"/>
          <w:color w:val="auto"/>
        </w:rPr>
        <w:t>for the Notes will be equal to 100% of the principal amount of the Notes to be redeemed, plus accrued and unpaid interest, if any, to, but excluding, the date of redemption.</w:t>
      </w:r>
    </w:p>
    <w:p>
      <w:pPr>
        <w:spacing w:after="0" w:line="202" w:lineRule="exact"/>
        <w:rPr>
          <w:sz w:val="20"/>
          <w:szCs w:val="20"/>
          <w:color w:val="auto"/>
        </w:rPr>
      </w:pPr>
    </w:p>
    <w:p>
      <w:pPr>
        <w:ind w:left="4300" w:right="60"/>
        <w:spacing w:after="0" w:line="308" w:lineRule="auto"/>
        <w:rPr>
          <w:sz w:val="20"/>
          <w:szCs w:val="20"/>
          <w:color w:val="auto"/>
        </w:rPr>
      </w:pPr>
      <w:r>
        <w:rPr>
          <w:rFonts w:ascii="Arial" w:cs="Arial" w:eastAsia="Arial" w:hAnsi="Arial"/>
          <w:sz w:val="17"/>
          <w:szCs w:val="17"/>
          <w:color w:val="auto"/>
        </w:rPr>
        <w:t>Any exercise of our option to redeem the Notes will be done in compliance with the 1940 Act and the related rules, regulations and interpretations, to the extent applicable.</w:t>
      </w:r>
    </w:p>
    <w:p>
      <w:pPr>
        <w:spacing w:after="0" w:line="173" w:lineRule="exact"/>
        <w:rPr>
          <w:sz w:val="20"/>
          <w:szCs w:val="20"/>
          <w:color w:val="auto"/>
        </w:rPr>
      </w:pPr>
    </w:p>
    <w:p>
      <w:pPr>
        <w:ind w:left="4300" w:right="60"/>
        <w:spacing w:after="0" w:line="301" w:lineRule="auto"/>
        <w:rPr>
          <w:sz w:val="20"/>
          <w:szCs w:val="20"/>
          <w:color w:val="auto"/>
        </w:rPr>
      </w:pPr>
      <w:r>
        <w:rPr>
          <w:rFonts w:ascii="Arial" w:cs="Arial" w:eastAsia="Arial" w:hAnsi="Arial"/>
          <w:sz w:val="16"/>
          <w:szCs w:val="16"/>
          <w:color w:val="auto"/>
        </w:rPr>
        <w:t>If we redeem only some of the Notes, the Trustee or DTC, as applicable, will determine the method for selection of the particular Notes to be redeemed, in accordance with the 1940 Act, to the extent applicable. Unless we default in payment of the redemption price, on and after the date of redemption interest will cease to accrue on the Notes called for redemption.</w:t>
      </w:r>
    </w:p>
    <w:p>
      <w:pPr>
        <w:spacing w:after="0" w:line="184" w:lineRule="exact"/>
        <w:rPr>
          <w:sz w:val="20"/>
          <w:szCs w:val="20"/>
          <w:color w:val="auto"/>
        </w:rPr>
      </w:pPr>
    </w:p>
    <w:p>
      <w:pPr>
        <w:ind w:left="120"/>
        <w:spacing w:after="0"/>
        <w:tabs>
          <w:tab w:leader="none" w:pos="4280" w:val="left"/>
        </w:tabs>
        <w:rPr>
          <w:sz w:val="20"/>
          <w:szCs w:val="20"/>
          <w:color w:val="auto"/>
        </w:rPr>
      </w:pPr>
      <w:r>
        <w:rPr>
          <w:rFonts w:ascii="Arial" w:cs="Arial" w:eastAsia="Arial" w:hAnsi="Arial"/>
          <w:sz w:val="18"/>
          <w:szCs w:val="18"/>
          <w:color w:val="auto"/>
        </w:rPr>
        <w:t>Sinking fund</w:t>
      </w:r>
      <w:r>
        <w:rPr>
          <w:sz w:val="20"/>
          <w:szCs w:val="20"/>
          <w:color w:val="auto"/>
        </w:rPr>
        <w:tab/>
      </w:r>
      <w:r>
        <w:rPr>
          <w:rFonts w:ascii="Arial" w:cs="Arial" w:eastAsia="Arial" w:hAnsi="Arial"/>
          <w:sz w:val="16"/>
          <w:szCs w:val="16"/>
          <w:color w:val="auto"/>
        </w:rPr>
        <w:t>The Notes will not be subject to any sinking fund.</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Offer to Purchase upon a Change of Control Repurchase  If a Change of Control Repurchase Event (as defined below) occurs prior to maturity, unless</w:t>
      </w:r>
    </w:p>
    <w:p>
      <w:pPr>
        <w:spacing w:after="0" w:line="46" w:lineRule="exact"/>
        <w:rPr>
          <w:sz w:val="20"/>
          <w:szCs w:val="20"/>
          <w:color w:val="auto"/>
        </w:rPr>
      </w:pPr>
    </w:p>
    <w:p>
      <w:pPr>
        <w:ind w:left="4300" w:right="140" w:hanging="4099"/>
        <w:spacing w:after="0" w:line="273" w:lineRule="auto"/>
        <w:tabs>
          <w:tab w:leader="none" w:pos="4280" w:val="left"/>
        </w:tabs>
        <w:rPr>
          <w:sz w:val="20"/>
          <w:szCs w:val="20"/>
          <w:color w:val="auto"/>
        </w:rPr>
      </w:pPr>
      <w:r>
        <w:rPr>
          <w:rFonts w:ascii="Arial" w:cs="Arial" w:eastAsia="Arial" w:hAnsi="Arial"/>
          <w:sz w:val="17"/>
          <w:szCs w:val="17"/>
          <w:color w:val="auto"/>
        </w:rPr>
        <w:t>Event</w:t>
      </w:r>
      <w:r>
        <w:rPr>
          <w:sz w:val="20"/>
          <w:szCs w:val="20"/>
          <w:color w:val="auto"/>
        </w:rPr>
        <w:tab/>
      </w:r>
      <w:r>
        <w:rPr>
          <w:rFonts w:ascii="Arial" w:cs="Arial" w:eastAsia="Arial" w:hAnsi="Arial"/>
          <w:sz w:val="17"/>
          <w:szCs w:val="17"/>
          <w:color w:val="auto"/>
        </w:rPr>
        <w:t>we have exercised our right to redeem the Notes in full, holders of the Notes will have the right, at their option, to require us to repurchase for cash some or all of the Notes at a repurchase price equal to 100% of the principal amount of the Notes being repurchased, plus accrued and unpaid interest to, but not including, the repurchase date.</w:t>
      </w:r>
    </w:p>
    <w:p>
      <w:pPr>
        <w:sectPr>
          <w:pgSz w:w="11900" w:h="16838" w:orient="portrait"/>
          <w:cols w:equalWidth="0" w:num="1">
            <w:col w:w="11120"/>
          </w:cols>
          <w:pgMar w:left="320" w:top="459" w:right="459" w:bottom="1440" w:gutter="0" w:footer="0" w:header="0"/>
        </w:sect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15"/>
          <w:szCs w:val="15"/>
          <w:color w:val="auto"/>
        </w:rPr>
        <w:t>Defeasance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The Notes are subject to defeasance by us.</w:t>
      </w:r>
    </w:p>
    <w:p>
      <w:pPr>
        <w:spacing w:after="0" w:line="200"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100" w:lineRule="exact"/>
        <w:rPr>
          <w:sz w:val="20"/>
          <w:szCs w:val="20"/>
          <w:color w:val="auto"/>
        </w:rPr>
      </w:pPr>
    </w:p>
    <w:p>
      <w:pPr>
        <w:ind w:left="120"/>
        <w:spacing w:after="0"/>
        <w:rPr>
          <w:sz w:val="20"/>
          <w:szCs w:val="20"/>
          <w:color w:val="auto"/>
        </w:rPr>
      </w:pPr>
      <w:r>
        <w:rPr>
          <w:rFonts w:ascii="Arial" w:cs="Arial" w:eastAsia="Arial" w:hAnsi="Arial"/>
          <w:sz w:val="15"/>
          <w:szCs w:val="15"/>
          <w:color w:val="auto"/>
        </w:rPr>
        <w:t>Covenant defeasance</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auto"/>
        </w:rPr>
        <w:t>The Notes are subject to covenant defeasance by us.</w:t>
      </w:r>
    </w:p>
    <w:p>
      <w:pPr>
        <w:spacing w:after="0" w:line="200"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10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Form of Notes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Notes will be represented by global securities that will be deposited and registered in the name of DTC or its nominee. This means that, except in limited circumstances, you will not receive certificates for the Notes. Beneficial interests in the Notes will be represented through book-entry accounts of financial institutions acting on behalf of beneficial owners as direct and indirect participants in DTC. Investors may elect to hold interests in the Notes through either DTC, if they are a participant, or indirectly through organizations that are participants in DTC.</w:t>
      </w:r>
    </w:p>
    <w:p>
      <w:pPr>
        <w:spacing w:after="0" w:line="200" w:lineRule="exact"/>
        <w:rPr>
          <w:sz w:val="20"/>
          <w:szCs w:val="20"/>
          <w:color w:val="auto"/>
        </w:rPr>
      </w:pPr>
    </w:p>
    <w:p>
      <w:pPr>
        <w:sectPr>
          <w:pgSz w:w="11900" w:h="16838" w:orient="portrait"/>
          <w:cols w:equalWidth="0" w:num="2">
            <w:col w:w="3580" w:space="720"/>
            <w:col w:w="6820"/>
          </w:cols>
          <w:pgMar w:left="320" w:top="459" w:right="459" w:bottom="1440" w:gutter="0" w:footer="0" w:header="0"/>
          <w:type w:val="continuous"/>
        </w:sectPr>
      </w:pPr>
    </w:p>
    <w:p>
      <w:pPr>
        <w:spacing w:after="0" w:line="2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Trustee, Paying Agent, Registrar and Transfer Agent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American Stock Transfer &amp; Trust Company, LLC</w:t>
      </w:r>
    </w:p>
    <w:p>
      <w:pPr>
        <w:spacing w:after="0" w:line="194" w:lineRule="exact"/>
        <w:rPr>
          <w:sz w:val="20"/>
          <w:szCs w:val="20"/>
          <w:color w:val="auto"/>
        </w:rPr>
      </w:pPr>
    </w:p>
    <w:p>
      <w:pPr>
        <w:sectPr>
          <w:pgSz w:w="11900" w:h="16838" w:orient="portrait"/>
          <w:cols w:equalWidth="0" w:num="2">
            <w:col w:w="3920" w:space="380"/>
            <w:col w:w="682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5"/>
          <w:szCs w:val="15"/>
          <w:color w:val="auto"/>
        </w:rPr>
        <w:t>S-4</w:t>
      </w:r>
    </w:p>
    <w:p>
      <w:pPr>
        <w:sectPr>
          <w:pgSz w:w="11900" w:h="16838" w:orient="portrait"/>
          <w:cols w:equalWidth="0" w:num="1">
            <w:col w:w="11120"/>
          </w:cols>
          <w:pgMar w:left="320" w:top="459" w:right="45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24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519"/>
        </w:trPr>
        <w:tc>
          <w:tcPr>
            <w:tcW w:w="3820" w:type="dxa"/>
            <w:vAlign w:val="bottom"/>
            <w:gridSpan w:val="2"/>
          </w:tcPr>
          <w:p>
            <w:pPr>
              <w:ind w:left="120"/>
              <w:spacing w:after="0"/>
              <w:rPr>
                <w:sz w:val="20"/>
                <w:szCs w:val="20"/>
                <w:color w:val="auto"/>
              </w:rPr>
            </w:pPr>
            <w:r>
              <w:rPr>
                <w:rFonts w:ascii="Arial" w:cs="Arial" w:eastAsia="Arial" w:hAnsi="Arial"/>
                <w:sz w:val="18"/>
                <w:szCs w:val="18"/>
                <w:color w:val="auto"/>
              </w:rPr>
              <w:t>Other covenants</w:t>
            </w:r>
          </w:p>
        </w:tc>
        <w:tc>
          <w:tcPr>
            <w:tcW w:w="7280" w:type="dxa"/>
            <w:vAlign w:val="bottom"/>
            <w:gridSpan w:val="2"/>
          </w:tcPr>
          <w:p>
            <w:pPr>
              <w:ind w:left="480"/>
              <w:spacing w:after="0"/>
              <w:rPr>
                <w:sz w:val="20"/>
                <w:szCs w:val="20"/>
                <w:color w:val="auto"/>
              </w:rPr>
            </w:pPr>
            <w:r>
              <w:rPr>
                <w:rFonts w:ascii="Arial" w:cs="Arial" w:eastAsia="Arial" w:hAnsi="Arial"/>
                <w:sz w:val="18"/>
                <w:szCs w:val="18"/>
                <w:color w:val="auto"/>
              </w:rPr>
              <w:t>In addition to the covenants described in the prospectus attached to this prospectus</w:t>
            </w:r>
          </w:p>
        </w:tc>
      </w:tr>
      <w:tr>
        <w:trPr>
          <w:trHeight w:val="230"/>
        </w:trPr>
        <w:tc>
          <w:tcPr>
            <w:tcW w:w="1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700" w:type="dxa"/>
            <w:vAlign w:val="bottom"/>
          </w:tcPr>
          <w:p>
            <w:pPr>
              <w:ind w:left="480"/>
              <w:spacing w:after="0"/>
              <w:rPr>
                <w:sz w:val="20"/>
                <w:szCs w:val="20"/>
                <w:color w:val="auto"/>
              </w:rPr>
            </w:pPr>
            <w:r>
              <w:rPr>
                <w:rFonts w:ascii="Arial" w:cs="Arial" w:eastAsia="Arial" w:hAnsi="Arial"/>
                <w:sz w:val="18"/>
                <w:szCs w:val="18"/>
                <w:color w:val="auto"/>
              </w:rPr>
              <w:t>supplement, the following covenants will apply to the Notes:</w:t>
            </w:r>
          </w:p>
        </w:tc>
        <w:tc>
          <w:tcPr>
            <w:tcW w:w="1580" w:type="dxa"/>
            <w:vAlign w:val="bottom"/>
          </w:tcPr>
          <w:p>
            <w:pPr>
              <w:spacing w:after="0"/>
              <w:rPr>
                <w:sz w:val="20"/>
                <w:szCs w:val="20"/>
                <w:color w:val="auto"/>
              </w:rPr>
            </w:pPr>
          </w:p>
        </w:tc>
      </w:tr>
      <w:tr>
        <w:trPr>
          <w:trHeight w:val="323"/>
        </w:trPr>
        <w:tc>
          <w:tcPr>
            <w:tcW w:w="1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280" w:type="dxa"/>
            <w:vAlign w:val="bottom"/>
            <w:gridSpan w:val="2"/>
          </w:tcPr>
          <w:p>
            <w:pPr>
              <w:ind w:left="520"/>
              <w:spacing w:after="0"/>
              <w:rPr>
                <w:sz w:val="20"/>
                <w:szCs w:val="20"/>
                <w:color w:val="auto"/>
              </w:rPr>
            </w:pPr>
            <w:r>
              <w:rPr>
                <w:rFonts w:ascii="Arial" w:cs="Arial" w:eastAsia="Arial" w:hAnsi="Arial"/>
                <w:sz w:val="18"/>
                <w:szCs w:val="18"/>
                <w:color w:val="auto"/>
                <w:w w:val="95"/>
              </w:rPr>
              <w:t>• We agree that for the period of time during which the Notes are outstanding, we will not</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w w:val="93"/>
              </w:rPr>
              <w:t>violate Section 18(a)(1)(A) of the 1940 Act as modified by Section 61(a)(1) and (2) of the</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w w:val="89"/>
              </w:rPr>
              <w:t>1940 Act or any successor provisions, as such obligations may be amended or superseded,</w:t>
            </w:r>
          </w:p>
        </w:tc>
      </w:tr>
      <w:tr>
        <w:trPr>
          <w:trHeight w:val="230"/>
        </w:trPr>
        <w:tc>
          <w:tcPr>
            <w:tcW w:w="1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700" w:type="dxa"/>
            <w:vAlign w:val="bottom"/>
          </w:tcPr>
          <w:p>
            <w:pPr>
              <w:ind w:left="700"/>
              <w:spacing w:after="0"/>
              <w:rPr>
                <w:sz w:val="20"/>
                <w:szCs w:val="20"/>
                <w:color w:val="auto"/>
              </w:rPr>
            </w:pPr>
            <w:r>
              <w:rPr>
                <w:rFonts w:ascii="Arial" w:cs="Arial" w:eastAsia="Arial" w:hAnsi="Arial"/>
                <w:sz w:val="18"/>
                <w:szCs w:val="18"/>
                <w:color w:val="auto"/>
              </w:rPr>
              <w:t>giving effect to any exemptive relief granted to us by the SEC.</w:t>
            </w:r>
          </w:p>
        </w:tc>
        <w:tc>
          <w:tcPr>
            <w:tcW w:w="1580" w:type="dxa"/>
            <w:vAlign w:val="bottom"/>
          </w:tcPr>
          <w:p>
            <w:pPr>
              <w:spacing w:after="0"/>
              <w:rPr>
                <w:sz w:val="20"/>
                <w:szCs w:val="20"/>
                <w:color w:val="auto"/>
              </w:rPr>
            </w:pPr>
          </w:p>
        </w:tc>
      </w:tr>
      <w:tr>
        <w:trPr>
          <w:trHeight w:val="323"/>
        </w:trPr>
        <w:tc>
          <w:tcPr>
            <w:tcW w:w="1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280" w:type="dxa"/>
            <w:vAlign w:val="bottom"/>
            <w:gridSpan w:val="2"/>
          </w:tcPr>
          <w:p>
            <w:pPr>
              <w:ind w:left="520"/>
              <w:spacing w:after="0"/>
              <w:rPr>
                <w:sz w:val="20"/>
                <w:szCs w:val="20"/>
                <w:color w:val="auto"/>
              </w:rPr>
            </w:pPr>
            <w:r>
              <w:rPr>
                <w:rFonts w:ascii="Arial" w:cs="Arial" w:eastAsia="Arial" w:hAnsi="Arial"/>
                <w:sz w:val="18"/>
                <w:szCs w:val="18"/>
                <w:color w:val="auto"/>
                <w:w w:val="93"/>
              </w:rPr>
              <w:t>• If, at any time, we are not subject to the reporting requirements of Sections 13 or 15(d) of</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w w:val="90"/>
              </w:rPr>
              <w:t>the Securities Exchange Act of 1934, as amended, or the Exchange Act, to file any periodic</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w w:val="93"/>
              </w:rPr>
              <w:t>reports with the SEC, we agree to publish on our website and to furnish to holders of the</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w w:val="92"/>
              </w:rPr>
              <w:t>Notes and the Trustee, for the period of time during which the Notes are outstanding, our</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w w:val="90"/>
              </w:rPr>
              <w:t>audited annual consolidated financial statements, within 90 days of our fiscal year end, and</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w w:val="94"/>
              </w:rPr>
              <w:t>unaudited interim consolidated financial statements, within 45 days of our fiscal quarter</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w w:val="92"/>
              </w:rPr>
              <w:t>end (other than our fourth fiscal quarter). All such financial statements will be prepared, in</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w w:val="94"/>
              </w:rPr>
              <w:t>all material respects, in accordance with applicable U.S. generally accepted accounting</w:t>
            </w:r>
          </w:p>
        </w:tc>
      </w:tr>
      <w:tr>
        <w:trPr>
          <w:trHeight w:val="230"/>
        </w:trPr>
        <w:tc>
          <w:tcPr>
            <w:tcW w:w="1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700" w:type="dxa"/>
            <w:vAlign w:val="bottom"/>
          </w:tcPr>
          <w:p>
            <w:pPr>
              <w:ind w:left="700"/>
              <w:spacing w:after="0"/>
              <w:rPr>
                <w:sz w:val="20"/>
                <w:szCs w:val="20"/>
                <w:color w:val="auto"/>
              </w:rPr>
            </w:pPr>
            <w:r>
              <w:rPr>
                <w:rFonts w:ascii="Arial" w:cs="Arial" w:eastAsia="Arial" w:hAnsi="Arial"/>
                <w:sz w:val="18"/>
                <w:szCs w:val="18"/>
                <w:color w:val="auto"/>
              </w:rPr>
              <w:t>principles, or GAAP.</w:t>
            </w:r>
          </w:p>
        </w:tc>
        <w:tc>
          <w:tcPr>
            <w:tcW w:w="1580" w:type="dxa"/>
            <w:vAlign w:val="bottom"/>
          </w:tcPr>
          <w:p>
            <w:pPr>
              <w:spacing w:after="0"/>
              <w:rPr>
                <w:sz w:val="20"/>
                <w:szCs w:val="20"/>
                <w:color w:val="auto"/>
              </w:rPr>
            </w:pPr>
          </w:p>
        </w:tc>
      </w:tr>
      <w:tr>
        <w:trPr>
          <w:trHeight w:val="338"/>
        </w:trPr>
        <w:tc>
          <w:tcPr>
            <w:tcW w:w="1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280" w:type="dxa"/>
            <w:vAlign w:val="bottom"/>
            <w:gridSpan w:val="2"/>
          </w:tcPr>
          <w:p>
            <w:pPr>
              <w:ind w:left="520"/>
              <w:spacing w:after="0"/>
              <w:rPr>
                <w:sz w:val="20"/>
                <w:szCs w:val="20"/>
                <w:color w:val="auto"/>
              </w:rPr>
            </w:pPr>
            <w:r>
              <w:rPr>
                <w:rFonts w:ascii="Arial" w:cs="Arial" w:eastAsia="Arial" w:hAnsi="Arial"/>
                <w:sz w:val="18"/>
                <w:szCs w:val="18"/>
                <w:color w:val="auto"/>
              </w:rPr>
              <w:t>• The lien covenant included in the form of indenture will not apply to the Notes.</w:t>
            </w:r>
          </w:p>
        </w:tc>
      </w:tr>
      <w:tr>
        <w:trPr>
          <w:trHeight w:val="445"/>
        </w:trPr>
        <w:tc>
          <w:tcPr>
            <w:tcW w:w="3820" w:type="dxa"/>
            <w:vAlign w:val="bottom"/>
            <w:gridSpan w:val="2"/>
          </w:tcPr>
          <w:p>
            <w:pPr>
              <w:ind w:left="120"/>
              <w:spacing w:after="0"/>
              <w:rPr>
                <w:sz w:val="20"/>
                <w:szCs w:val="20"/>
                <w:color w:val="auto"/>
              </w:rPr>
            </w:pPr>
            <w:r>
              <w:rPr>
                <w:rFonts w:ascii="Arial" w:cs="Arial" w:eastAsia="Arial" w:hAnsi="Arial"/>
                <w:sz w:val="18"/>
                <w:szCs w:val="18"/>
                <w:color w:val="auto"/>
              </w:rPr>
              <w:t>Events of Default</w:t>
            </w:r>
          </w:p>
        </w:tc>
        <w:tc>
          <w:tcPr>
            <w:tcW w:w="7280" w:type="dxa"/>
            <w:vAlign w:val="bottom"/>
            <w:gridSpan w:val="2"/>
          </w:tcPr>
          <w:p>
            <w:pPr>
              <w:ind w:left="480"/>
              <w:spacing w:after="0"/>
              <w:rPr>
                <w:sz w:val="20"/>
                <w:szCs w:val="20"/>
                <w:color w:val="auto"/>
              </w:rPr>
            </w:pPr>
            <w:r>
              <w:rPr>
                <w:rFonts w:ascii="Arial" w:cs="Arial" w:eastAsia="Arial" w:hAnsi="Arial"/>
                <w:sz w:val="18"/>
                <w:szCs w:val="18"/>
                <w:color w:val="auto"/>
                <w:w w:val="91"/>
              </w:rPr>
              <w:t>If an event of default (as described under “</w:t>
            </w:r>
            <w:r>
              <w:rPr>
                <w:rFonts w:ascii="Arial" w:cs="Arial" w:eastAsia="Arial" w:hAnsi="Arial"/>
                <w:sz w:val="18"/>
                <w:szCs w:val="18"/>
                <w:i w:val="1"/>
                <w:iCs w:val="1"/>
                <w:color w:val="auto"/>
                <w:w w:val="91"/>
              </w:rPr>
              <w:t>Description of the Notes</w:t>
            </w:r>
            <w:r>
              <w:rPr>
                <w:rFonts w:ascii="Arial" w:cs="Arial" w:eastAsia="Arial" w:hAnsi="Arial"/>
                <w:sz w:val="18"/>
                <w:szCs w:val="18"/>
                <w:color w:val="auto"/>
                <w:w w:val="91"/>
              </w:rPr>
              <w:t>”) on the Notes occurs, the</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480"/>
              <w:spacing w:after="0"/>
              <w:rPr>
                <w:sz w:val="20"/>
                <w:szCs w:val="20"/>
                <w:color w:val="auto"/>
              </w:rPr>
            </w:pPr>
            <w:r>
              <w:rPr>
                <w:rFonts w:ascii="Arial" w:cs="Arial" w:eastAsia="Arial" w:hAnsi="Arial"/>
                <w:sz w:val="18"/>
                <w:szCs w:val="18"/>
                <w:color w:val="auto"/>
                <w:w w:val="90"/>
              </w:rPr>
              <w:t>principal amount of the Notes, plus accrued and unpaid interest, may be declared immediately</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480"/>
              <w:spacing w:after="0"/>
              <w:rPr>
                <w:sz w:val="20"/>
                <w:szCs w:val="20"/>
                <w:color w:val="auto"/>
              </w:rPr>
            </w:pPr>
            <w:r>
              <w:rPr>
                <w:rFonts w:ascii="Arial" w:cs="Arial" w:eastAsia="Arial" w:hAnsi="Arial"/>
                <w:sz w:val="18"/>
                <w:szCs w:val="18"/>
                <w:color w:val="auto"/>
                <w:w w:val="90"/>
              </w:rPr>
              <w:t>due and payable, subject to conditions set forth in the indenture. These amounts automatically</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480"/>
              <w:spacing w:after="0"/>
              <w:rPr>
                <w:sz w:val="20"/>
                <w:szCs w:val="20"/>
                <w:color w:val="auto"/>
              </w:rPr>
            </w:pPr>
            <w:r>
              <w:rPr>
                <w:rFonts w:ascii="Arial" w:cs="Arial" w:eastAsia="Arial" w:hAnsi="Arial"/>
                <w:sz w:val="18"/>
                <w:szCs w:val="18"/>
                <w:color w:val="auto"/>
                <w:w w:val="96"/>
              </w:rPr>
              <w:t>become due and payable in the case of certain types of bankruptcy or insolvency events</w:t>
            </w:r>
          </w:p>
        </w:tc>
      </w:tr>
      <w:tr>
        <w:trPr>
          <w:trHeight w:val="230"/>
        </w:trPr>
        <w:tc>
          <w:tcPr>
            <w:tcW w:w="1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700" w:type="dxa"/>
            <w:vAlign w:val="bottom"/>
          </w:tcPr>
          <w:p>
            <w:pPr>
              <w:ind w:left="480"/>
              <w:spacing w:after="0"/>
              <w:rPr>
                <w:sz w:val="20"/>
                <w:szCs w:val="20"/>
                <w:color w:val="auto"/>
              </w:rPr>
            </w:pPr>
            <w:r>
              <w:rPr>
                <w:rFonts w:ascii="Arial" w:cs="Arial" w:eastAsia="Arial" w:hAnsi="Arial"/>
                <w:sz w:val="18"/>
                <w:szCs w:val="18"/>
                <w:color w:val="auto"/>
              </w:rPr>
              <w:t>involving the Company.</w:t>
            </w:r>
          </w:p>
        </w:tc>
        <w:tc>
          <w:tcPr>
            <w:tcW w:w="1580" w:type="dxa"/>
            <w:vAlign w:val="bottom"/>
          </w:tcPr>
          <w:p>
            <w:pPr>
              <w:spacing w:after="0"/>
              <w:rPr>
                <w:sz w:val="20"/>
                <w:szCs w:val="20"/>
                <w:color w:val="auto"/>
              </w:rPr>
            </w:pPr>
          </w:p>
        </w:tc>
      </w:tr>
      <w:tr>
        <w:trPr>
          <w:trHeight w:val="445"/>
        </w:trPr>
        <w:tc>
          <w:tcPr>
            <w:tcW w:w="3820" w:type="dxa"/>
            <w:vAlign w:val="bottom"/>
            <w:gridSpan w:val="2"/>
          </w:tcPr>
          <w:p>
            <w:pPr>
              <w:ind w:left="120"/>
              <w:spacing w:after="0"/>
              <w:rPr>
                <w:sz w:val="20"/>
                <w:szCs w:val="20"/>
                <w:color w:val="auto"/>
              </w:rPr>
            </w:pPr>
            <w:r>
              <w:rPr>
                <w:rFonts w:ascii="Arial" w:cs="Arial" w:eastAsia="Arial" w:hAnsi="Arial"/>
                <w:sz w:val="18"/>
                <w:szCs w:val="18"/>
                <w:color w:val="auto"/>
              </w:rPr>
              <w:t>Further Issuances</w:t>
            </w:r>
          </w:p>
        </w:tc>
        <w:tc>
          <w:tcPr>
            <w:tcW w:w="7280" w:type="dxa"/>
            <w:vAlign w:val="bottom"/>
            <w:gridSpan w:val="2"/>
          </w:tcPr>
          <w:p>
            <w:pPr>
              <w:ind w:left="480"/>
              <w:spacing w:after="0"/>
              <w:rPr>
                <w:sz w:val="20"/>
                <w:szCs w:val="20"/>
                <w:color w:val="auto"/>
              </w:rPr>
            </w:pPr>
            <w:r>
              <w:rPr>
                <w:rFonts w:ascii="Arial" w:cs="Arial" w:eastAsia="Arial" w:hAnsi="Arial"/>
                <w:sz w:val="18"/>
                <w:szCs w:val="18"/>
                <w:color w:val="auto"/>
                <w:w w:val="91"/>
              </w:rPr>
              <w:t>We have the ability to issue additional debt securities under the indenture with terms different</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480"/>
              <w:spacing w:after="0"/>
              <w:rPr>
                <w:sz w:val="20"/>
                <w:szCs w:val="20"/>
                <w:color w:val="auto"/>
              </w:rPr>
            </w:pPr>
            <w:r>
              <w:rPr>
                <w:rFonts w:ascii="Arial" w:cs="Arial" w:eastAsia="Arial" w:hAnsi="Arial"/>
                <w:sz w:val="18"/>
                <w:szCs w:val="18"/>
                <w:color w:val="auto"/>
                <w:w w:val="95"/>
              </w:rPr>
              <w:t>from the Notes and, without consent of the holders thereof, to reopen the Notes and issue</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480"/>
              <w:spacing w:after="0"/>
              <w:rPr>
                <w:sz w:val="20"/>
                <w:szCs w:val="20"/>
                <w:color w:val="auto"/>
              </w:rPr>
            </w:pPr>
            <w:r>
              <w:rPr>
                <w:rFonts w:ascii="Arial" w:cs="Arial" w:eastAsia="Arial" w:hAnsi="Arial"/>
                <w:sz w:val="18"/>
                <w:szCs w:val="18"/>
                <w:color w:val="auto"/>
                <w:w w:val="92"/>
              </w:rPr>
              <w:t>additional Notes. If we issue additional debt securities, these additional debt securities could</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480"/>
              <w:spacing w:after="0"/>
              <w:rPr>
                <w:sz w:val="20"/>
                <w:szCs w:val="20"/>
                <w:color w:val="auto"/>
              </w:rPr>
            </w:pPr>
            <w:r>
              <w:rPr>
                <w:rFonts w:ascii="Arial" w:cs="Arial" w:eastAsia="Arial" w:hAnsi="Arial"/>
                <w:sz w:val="18"/>
                <w:szCs w:val="18"/>
                <w:color w:val="auto"/>
                <w:w w:val="93"/>
              </w:rPr>
              <w:t>have a lien or other security interest greater than that accorded to the holders of the Notes,</w:t>
            </w:r>
          </w:p>
        </w:tc>
      </w:tr>
      <w:tr>
        <w:trPr>
          <w:trHeight w:val="230"/>
        </w:trPr>
        <w:tc>
          <w:tcPr>
            <w:tcW w:w="1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700" w:type="dxa"/>
            <w:vAlign w:val="bottom"/>
          </w:tcPr>
          <w:p>
            <w:pPr>
              <w:ind w:left="480"/>
              <w:spacing w:after="0"/>
              <w:rPr>
                <w:sz w:val="20"/>
                <w:szCs w:val="20"/>
                <w:color w:val="auto"/>
              </w:rPr>
            </w:pPr>
            <w:r>
              <w:rPr>
                <w:rFonts w:ascii="Arial" w:cs="Arial" w:eastAsia="Arial" w:hAnsi="Arial"/>
                <w:sz w:val="18"/>
                <w:szCs w:val="18"/>
                <w:color w:val="auto"/>
              </w:rPr>
              <w:t>which are unsecured.</w:t>
            </w:r>
          </w:p>
        </w:tc>
        <w:tc>
          <w:tcPr>
            <w:tcW w:w="1580" w:type="dxa"/>
            <w:vAlign w:val="bottom"/>
          </w:tcPr>
          <w:p>
            <w:pPr>
              <w:spacing w:after="0"/>
              <w:rPr>
                <w:sz w:val="20"/>
                <w:szCs w:val="20"/>
                <w:color w:val="auto"/>
              </w:rPr>
            </w:pPr>
          </w:p>
        </w:tc>
      </w:tr>
      <w:tr>
        <w:trPr>
          <w:trHeight w:val="445"/>
        </w:trPr>
        <w:tc>
          <w:tcPr>
            <w:tcW w:w="3820" w:type="dxa"/>
            <w:vAlign w:val="bottom"/>
            <w:gridSpan w:val="2"/>
          </w:tcPr>
          <w:p>
            <w:pPr>
              <w:ind w:left="120"/>
              <w:spacing w:after="0"/>
              <w:rPr>
                <w:sz w:val="20"/>
                <w:szCs w:val="20"/>
                <w:color w:val="auto"/>
              </w:rPr>
            </w:pPr>
            <w:r>
              <w:rPr>
                <w:rFonts w:ascii="Arial" w:cs="Arial" w:eastAsia="Arial" w:hAnsi="Arial"/>
                <w:sz w:val="18"/>
                <w:szCs w:val="18"/>
                <w:color w:val="auto"/>
              </w:rPr>
              <w:t>Global Clearance and Settlement Procedures</w:t>
            </w:r>
          </w:p>
        </w:tc>
        <w:tc>
          <w:tcPr>
            <w:tcW w:w="7280" w:type="dxa"/>
            <w:vAlign w:val="bottom"/>
            <w:gridSpan w:val="2"/>
          </w:tcPr>
          <w:p>
            <w:pPr>
              <w:ind w:left="480"/>
              <w:spacing w:after="0"/>
              <w:rPr>
                <w:sz w:val="20"/>
                <w:szCs w:val="20"/>
                <w:color w:val="auto"/>
              </w:rPr>
            </w:pPr>
            <w:r>
              <w:rPr>
                <w:rFonts w:ascii="Arial" w:cs="Arial" w:eastAsia="Arial" w:hAnsi="Arial"/>
                <w:sz w:val="18"/>
                <w:szCs w:val="18"/>
                <w:color w:val="auto"/>
                <w:w w:val="97"/>
              </w:rPr>
              <w:t>Interests in the Notes will trade in DTC’s Same Day Funds Settlement System, and any</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480"/>
              <w:spacing w:after="0"/>
              <w:rPr>
                <w:sz w:val="20"/>
                <w:szCs w:val="20"/>
                <w:color w:val="auto"/>
              </w:rPr>
            </w:pPr>
            <w:r>
              <w:rPr>
                <w:rFonts w:ascii="Arial" w:cs="Arial" w:eastAsia="Arial" w:hAnsi="Arial"/>
                <w:sz w:val="18"/>
                <w:szCs w:val="18"/>
                <w:color w:val="auto"/>
                <w:w w:val="92"/>
              </w:rPr>
              <w:t>permitted secondary market trading activity in such Notes will, therefore, be required by DTC</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480"/>
              <w:spacing w:after="0"/>
              <w:rPr>
                <w:sz w:val="20"/>
                <w:szCs w:val="20"/>
                <w:color w:val="auto"/>
              </w:rPr>
            </w:pPr>
            <w:r>
              <w:rPr>
                <w:rFonts w:ascii="Arial" w:cs="Arial" w:eastAsia="Arial" w:hAnsi="Arial"/>
                <w:sz w:val="18"/>
                <w:szCs w:val="18"/>
                <w:color w:val="auto"/>
                <w:w w:val="91"/>
              </w:rPr>
              <w:t>to be settled in immediately available funds. None of the Company, the Trustee or the Paying</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480"/>
              <w:spacing w:after="0"/>
              <w:rPr>
                <w:sz w:val="20"/>
                <w:szCs w:val="20"/>
                <w:color w:val="auto"/>
              </w:rPr>
            </w:pPr>
            <w:r>
              <w:rPr>
                <w:rFonts w:ascii="Arial" w:cs="Arial" w:eastAsia="Arial" w:hAnsi="Arial"/>
                <w:sz w:val="18"/>
                <w:szCs w:val="18"/>
                <w:color w:val="auto"/>
                <w:w w:val="94"/>
              </w:rPr>
              <w:t>Agent will have any responsibility for the performance by DTC or its participants or indirect</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480"/>
              <w:spacing w:after="0"/>
              <w:rPr>
                <w:sz w:val="20"/>
                <w:szCs w:val="20"/>
                <w:color w:val="auto"/>
              </w:rPr>
            </w:pPr>
            <w:r>
              <w:rPr>
                <w:rFonts w:ascii="Arial" w:cs="Arial" w:eastAsia="Arial" w:hAnsi="Arial"/>
                <w:sz w:val="18"/>
                <w:szCs w:val="18"/>
                <w:color w:val="auto"/>
                <w:w w:val="95"/>
              </w:rPr>
              <w:t>participants of their respective obligations under the rules and procedures governing their</w:t>
            </w:r>
          </w:p>
        </w:tc>
      </w:tr>
      <w:tr>
        <w:trPr>
          <w:trHeight w:val="230"/>
        </w:trPr>
        <w:tc>
          <w:tcPr>
            <w:tcW w:w="1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700" w:type="dxa"/>
            <w:vAlign w:val="bottom"/>
          </w:tcPr>
          <w:p>
            <w:pPr>
              <w:ind w:left="480"/>
              <w:spacing w:after="0"/>
              <w:rPr>
                <w:sz w:val="20"/>
                <w:szCs w:val="20"/>
                <w:color w:val="auto"/>
              </w:rPr>
            </w:pPr>
            <w:r>
              <w:rPr>
                <w:rFonts w:ascii="Arial" w:cs="Arial" w:eastAsia="Arial" w:hAnsi="Arial"/>
                <w:sz w:val="18"/>
                <w:szCs w:val="18"/>
                <w:color w:val="auto"/>
              </w:rPr>
              <w:t>operations.</w:t>
            </w:r>
          </w:p>
        </w:tc>
        <w:tc>
          <w:tcPr>
            <w:tcW w:w="1580" w:type="dxa"/>
            <w:vAlign w:val="bottom"/>
          </w:tcPr>
          <w:p>
            <w:pPr>
              <w:spacing w:after="0"/>
              <w:rPr>
                <w:sz w:val="20"/>
                <w:szCs w:val="20"/>
                <w:color w:val="auto"/>
              </w:rPr>
            </w:pPr>
          </w:p>
        </w:tc>
      </w:tr>
      <w:tr>
        <w:trPr>
          <w:trHeight w:val="445"/>
        </w:trPr>
        <w:tc>
          <w:tcPr>
            <w:tcW w:w="3820" w:type="dxa"/>
            <w:vAlign w:val="bottom"/>
            <w:gridSpan w:val="2"/>
          </w:tcPr>
          <w:p>
            <w:pPr>
              <w:ind w:left="120"/>
              <w:spacing w:after="0"/>
              <w:rPr>
                <w:sz w:val="20"/>
                <w:szCs w:val="20"/>
                <w:color w:val="auto"/>
              </w:rPr>
            </w:pPr>
            <w:r>
              <w:rPr>
                <w:rFonts w:ascii="Arial" w:cs="Arial" w:eastAsia="Arial" w:hAnsi="Arial"/>
                <w:sz w:val="18"/>
                <w:szCs w:val="18"/>
                <w:color w:val="auto"/>
              </w:rPr>
              <w:t>Use of Proceeds</w:t>
            </w:r>
          </w:p>
        </w:tc>
        <w:tc>
          <w:tcPr>
            <w:tcW w:w="5700" w:type="dxa"/>
            <w:vAlign w:val="bottom"/>
          </w:tcPr>
          <w:p>
            <w:pPr>
              <w:ind w:left="480"/>
              <w:spacing w:after="0"/>
              <w:rPr>
                <w:sz w:val="20"/>
                <w:szCs w:val="20"/>
                <w:color w:val="auto"/>
              </w:rPr>
            </w:pPr>
            <w:r>
              <w:rPr>
                <w:rFonts w:ascii="Arial" w:cs="Arial" w:eastAsia="Arial" w:hAnsi="Arial"/>
                <w:sz w:val="18"/>
                <w:szCs w:val="18"/>
                <w:color w:val="auto"/>
                <w:w w:val="96"/>
              </w:rPr>
              <w:t>We estimate that net proceeds we will receive from the sale of the $</w:t>
            </w:r>
          </w:p>
        </w:tc>
        <w:tc>
          <w:tcPr>
            <w:tcW w:w="1580" w:type="dxa"/>
            <w:vAlign w:val="bottom"/>
          </w:tcPr>
          <w:p>
            <w:pPr>
              <w:ind w:left="360"/>
              <w:spacing w:after="0"/>
              <w:rPr>
                <w:sz w:val="20"/>
                <w:szCs w:val="20"/>
                <w:color w:val="auto"/>
              </w:rPr>
            </w:pPr>
            <w:r>
              <w:rPr>
                <w:rFonts w:ascii="Arial" w:cs="Arial" w:eastAsia="Arial" w:hAnsi="Arial"/>
                <w:sz w:val="18"/>
                <w:szCs w:val="18"/>
                <w:color w:val="auto"/>
              </w:rPr>
              <w:t>million</w:t>
            </w:r>
          </w:p>
        </w:tc>
      </w:tr>
      <w:tr>
        <w:trPr>
          <w:trHeight w:val="216"/>
        </w:trPr>
        <w:tc>
          <w:tcPr>
            <w:tcW w:w="1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280" w:type="dxa"/>
            <w:vAlign w:val="bottom"/>
            <w:gridSpan w:val="2"/>
          </w:tcPr>
          <w:p>
            <w:pPr>
              <w:ind w:left="480"/>
              <w:spacing w:after="0"/>
              <w:rPr>
                <w:sz w:val="20"/>
                <w:szCs w:val="20"/>
                <w:color w:val="auto"/>
              </w:rPr>
            </w:pPr>
            <w:r>
              <w:rPr>
                <w:rFonts w:ascii="Arial" w:cs="Arial" w:eastAsia="Arial" w:hAnsi="Arial"/>
                <w:sz w:val="18"/>
                <w:szCs w:val="18"/>
                <w:color w:val="auto"/>
              </w:rPr>
              <w:t>aggregate principal amount of the Notes in this offering will be approximately $</w:t>
            </w:r>
          </w:p>
        </w:tc>
      </w:tr>
      <w:tr>
        <w:trPr>
          <w:trHeight w:val="230"/>
        </w:trPr>
        <w:tc>
          <w:tcPr>
            <w:tcW w:w="1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700" w:type="dxa"/>
            <w:vAlign w:val="bottom"/>
          </w:tcPr>
          <w:p>
            <w:pPr>
              <w:ind w:left="480"/>
              <w:spacing w:after="0"/>
              <w:rPr>
                <w:sz w:val="20"/>
                <w:szCs w:val="20"/>
                <w:color w:val="auto"/>
              </w:rPr>
            </w:pPr>
            <w:r>
              <w:rPr>
                <w:rFonts w:ascii="Arial" w:cs="Arial" w:eastAsia="Arial" w:hAnsi="Arial"/>
                <w:sz w:val="18"/>
                <w:szCs w:val="18"/>
                <w:color w:val="auto"/>
              </w:rPr>
              <w:t>million based on the</w:t>
            </w:r>
          </w:p>
        </w:tc>
        <w:tc>
          <w:tcPr>
            <w:tcW w:w="1580" w:type="dxa"/>
            <w:vAlign w:val="bottom"/>
          </w:tcPr>
          <w:p>
            <w:pPr>
              <w:spacing w:after="0"/>
              <w:rPr>
                <w:sz w:val="20"/>
                <w:szCs w:val="20"/>
                <w:color w:val="auto"/>
              </w:rPr>
            </w:pPr>
          </w:p>
        </w:tc>
      </w:tr>
      <w:tr>
        <w:trPr>
          <w:trHeight w:val="365"/>
        </w:trPr>
        <w:tc>
          <w:tcPr>
            <w:tcW w:w="1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700" w:type="dxa"/>
            <w:vAlign w:val="bottom"/>
          </w:tcPr>
          <w:p>
            <w:pPr>
              <w:ind w:left="1680"/>
              <w:spacing w:after="0"/>
              <w:rPr>
                <w:sz w:val="20"/>
                <w:szCs w:val="20"/>
                <w:color w:val="auto"/>
              </w:rPr>
            </w:pPr>
            <w:r>
              <w:rPr>
                <w:rFonts w:ascii="Arial" w:cs="Arial" w:eastAsia="Arial" w:hAnsi="Arial"/>
                <w:sz w:val="18"/>
                <w:szCs w:val="18"/>
                <w:color w:val="auto"/>
              </w:rPr>
              <w:t>S-5</w:t>
            </w:r>
          </w:p>
        </w:tc>
        <w:tc>
          <w:tcPr>
            <w:tcW w:w="15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00"/>
          </w:cols>
          <w:pgMar w:left="32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64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519"/>
        </w:trPr>
        <w:tc>
          <w:tcPr>
            <w:tcW w:w="1360" w:type="dxa"/>
            <w:vAlign w:val="bottom"/>
          </w:tcPr>
          <w:p>
            <w:pPr>
              <w:spacing w:after="0"/>
              <w:rPr>
                <w:sz w:val="24"/>
                <w:szCs w:val="24"/>
                <w:color w:val="auto"/>
              </w:rPr>
            </w:pPr>
          </w:p>
        </w:tc>
        <w:tc>
          <w:tcPr>
            <w:tcW w:w="6400" w:type="dxa"/>
            <w:vAlign w:val="bottom"/>
          </w:tcPr>
          <w:p>
            <w:pPr>
              <w:ind w:left="2940"/>
              <w:spacing w:after="0"/>
              <w:rPr>
                <w:sz w:val="20"/>
                <w:szCs w:val="20"/>
                <w:color w:val="auto"/>
              </w:rPr>
            </w:pPr>
            <w:r>
              <w:rPr>
                <w:rFonts w:ascii="Arial" w:cs="Arial" w:eastAsia="Arial" w:hAnsi="Arial"/>
                <w:sz w:val="18"/>
                <w:szCs w:val="18"/>
                <w:color w:val="auto"/>
                <w:w w:val="95"/>
              </w:rPr>
              <w:t>underwriters purchasing the Notes from us at</w:t>
            </w: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w w:val="93"/>
              </w:rPr>
              <w:t>% of the aggregate principal amount after</w:t>
            </w:r>
          </w:p>
        </w:tc>
      </w:tr>
      <w:tr>
        <w:trPr>
          <w:trHeight w:val="216"/>
        </w:trPr>
        <w:tc>
          <w:tcPr>
            <w:tcW w:w="1360" w:type="dxa"/>
            <w:vAlign w:val="bottom"/>
          </w:tcPr>
          <w:p>
            <w:pPr>
              <w:spacing w:after="0"/>
              <w:rPr>
                <w:sz w:val="18"/>
                <w:szCs w:val="18"/>
                <w:color w:val="auto"/>
              </w:rPr>
            </w:pPr>
          </w:p>
        </w:tc>
        <w:tc>
          <w:tcPr>
            <w:tcW w:w="8400" w:type="dxa"/>
            <w:vAlign w:val="bottom"/>
            <w:gridSpan w:val="2"/>
          </w:tcPr>
          <w:p>
            <w:pPr>
              <w:ind w:left="2940"/>
              <w:spacing w:after="0"/>
              <w:rPr>
                <w:sz w:val="20"/>
                <w:szCs w:val="20"/>
                <w:color w:val="auto"/>
              </w:rPr>
            </w:pPr>
            <w:r>
              <w:rPr>
                <w:rFonts w:ascii="Arial" w:cs="Arial" w:eastAsia="Arial" w:hAnsi="Arial"/>
                <w:sz w:val="18"/>
                <w:szCs w:val="18"/>
                <w:color w:val="auto"/>
                <w:w w:val="92"/>
              </w:rPr>
              <w:t>deducting the underwriting discounts and commissions of approximately $</w:t>
            </w:r>
          </w:p>
        </w:tc>
        <w:tc>
          <w:tcPr>
            <w:tcW w:w="1320" w:type="dxa"/>
            <w:vAlign w:val="bottom"/>
          </w:tcPr>
          <w:p>
            <w:pPr>
              <w:ind w:left="680"/>
              <w:spacing w:after="0"/>
              <w:rPr>
                <w:sz w:val="20"/>
                <w:szCs w:val="20"/>
                <w:color w:val="auto"/>
              </w:rPr>
            </w:pPr>
            <w:r>
              <w:rPr>
                <w:rFonts w:ascii="Arial" w:cs="Arial" w:eastAsia="Arial" w:hAnsi="Arial"/>
                <w:sz w:val="18"/>
                <w:szCs w:val="18"/>
                <w:color w:val="auto"/>
              </w:rPr>
              <w:t>million</w:t>
            </w:r>
          </w:p>
        </w:tc>
      </w:tr>
      <w:tr>
        <w:trPr>
          <w:trHeight w:val="216"/>
        </w:trPr>
        <w:tc>
          <w:tcPr>
            <w:tcW w:w="1360" w:type="dxa"/>
            <w:vAlign w:val="bottom"/>
          </w:tcPr>
          <w:p>
            <w:pPr>
              <w:spacing w:after="0"/>
              <w:rPr>
                <w:sz w:val="18"/>
                <w:szCs w:val="18"/>
                <w:color w:val="auto"/>
              </w:rPr>
            </w:pPr>
          </w:p>
        </w:tc>
        <w:tc>
          <w:tcPr>
            <w:tcW w:w="8400" w:type="dxa"/>
            <w:vAlign w:val="bottom"/>
            <w:gridSpan w:val="2"/>
          </w:tcPr>
          <w:p>
            <w:pPr>
              <w:ind w:left="2940"/>
              <w:spacing w:after="0"/>
              <w:rPr>
                <w:sz w:val="20"/>
                <w:szCs w:val="20"/>
                <w:color w:val="auto"/>
              </w:rPr>
            </w:pPr>
            <w:r>
              <w:rPr>
                <w:rFonts w:ascii="Arial" w:cs="Arial" w:eastAsia="Arial" w:hAnsi="Arial"/>
                <w:sz w:val="18"/>
                <w:szCs w:val="18"/>
                <w:color w:val="auto"/>
              </w:rPr>
              <w:t>payable by us and estimated offering expenses of approximately $</w:t>
            </w:r>
          </w:p>
        </w:tc>
        <w:tc>
          <w:tcPr>
            <w:tcW w:w="1320" w:type="dxa"/>
            <w:vAlign w:val="bottom"/>
          </w:tcPr>
          <w:p>
            <w:pPr>
              <w:ind w:left="60"/>
              <w:spacing w:after="0"/>
              <w:rPr>
                <w:sz w:val="20"/>
                <w:szCs w:val="20"/>
                <w:color w:val="auto"/>
              </w:rPr>
            </w:pPr>
            <w:r>
              <w:rPr>
                <w:rFonts w:ascii="Arial" w:cs="Arial" w:eastAsia="Arial" w:hAnsi="Arial"/>
                <w:sz w:val="18"/>
                <w:szCs w:val="18"/>
                <w:color w:val="auto"/>
              </w:rPr>
              <w:t>payable by us.</w:t>
            </w:r>
          </w:p>
        </w:tc>
      </w:tr>
      <w:tr>
        <w:trPr>
          <w:trHeight w:val="216"/>
        </w:trPr>
        <w:tc>
          <w:tcPr>
            <w:tcW w:w="1360" w:type="dxa"/>
            <w:vAlign w:val="bottom"/>
          </w:tcPr>
          <w:p>
            <w:pPr>
              <w:spacing w:after="0"/>
              <w:rPr>
                <w:sz w:val="18"/>
                <w:szCs w:val="18"/>
                <w:color w:val="auto"/>
              </w:rPr>
            </w:pPr>
          </w:p>
        </w:tc>
        <w:tc>
          <w:tcPr>
            <w:tcW w:w="9720" w:type="dxa"/>
            <w:vAlign w:val="bottom"/>
            <w:gridSpan w:val="3"/>
          </w:tcPr>
          <w:p>
            <w:pPr>
              <w:ind w:left="2940"/>
              <w:spacing w:after="0"/>
              <w:rPr>
                <w:sz w:val="20"/>
                <w:szCs w:val="20"/>
                <w:color w:val="auto"/>
              </w:rPr>
            </w:pPr>
            <w:r>
              <w:rPr>
                <w:rFonts w:ascii="Arial" w:cs="Arial" w:eastAsia="Arial" w:hAnsi="Arial"/>
                <w:sz w:val="18"/>
                <w:szCs w:val="18"/>
                <w:color w:val="auto"/>
                <w:w w:val="91"/>
              </w:rPr>
              <w:t>We expect to use the net proceeds from this offering to reduce outstanding obligations under</w:t>
            </w:r>
          </w:p>
        </w:tc>
      </w:tr>
      <w:tr>
        <w:trPr>
          <w:trHeight w:val="216"/>
        </w:trPr>
        <w:tc>
          <w:tcPr>
            <w:tcW w:w="1360" w:type="dxa"/>
            <w:vAlign w:val="bottom"/>
          </w:tcPr>
          <w:p>
            <w:pPr>
              <w:spacing w:after="0"/>
              <w:rPr>
                <w:sz w:val="18"/>
                <w:szCs w:val="18"/>
                <w:color w:val="auto"/>
              </w:rPr>
            </w:pPr>
          </w:p>
        </w:tc>
        <w:tc>
          <w:tcPr>
            <w:tcW w:w="9720" w:type="dxa"/>
            <w:vAlign w:val="bottom"/>
            <w:gridSpan w:val="3"/>
          </w:tcPr>
          <w:p>
            <w:pPr>
              <w:ind w:left="2940"/>
              <w:spacing w:after="0"/>
              <w:rPr>
                <w:sz w:val="20"/>
                <w:szCs w:val="20"/>
                <w:color w:val="auto"/>
              </w:rPr>
            </w:pPr>
            <w:r>
              <w:rPr>
                <w:rFonts w:ascii="Arial" w:cs="Arial" w:eastAsia="Arial" w:hAnsi="Arial"/>
                <w:sz w:val="18"/>
                <w:szCs w:val="18"/>
                <w:color w:val="auto"/>
                <w:w w:val="92"/>
              </w:rPr>
              <w:t>the Truist Credit Facility, to invest in new or existing portfolio companies or for other general</w:t>
            </w:r>
          </w:p>
        </w:tc>
      </w:tr>
      <w:tr>
        <w:trPr>
          <w:trHeight w:val="230"/>
        </w:trPr>
        <w:tc>
          <w:tcPr>
            <w:tcW w:w="1360" w:type="dxa"/>
            <w:vAlign w:val="bottom"/>
          </w:tcPr>
          <w:p>
            <w:pPr>
              <w:spacing w:after="0"/>
              <w:rPr>
                <w:sz w:val="20"/>
                <w:szCs w:val="20"/>
                <w:color w:val="auto"/>
              </w:rPr>
            </w:pPr>
          </w:p>
        </w:tc>
        <w:tc>
          <w:tcPr>
            <w:tcW w:w="6400" w:type="dxa"/>
            <w:vAlign w:val="bottom"/>
          </w:tcPr>
          <w:p>
            <w:pPr>
              <w:ind w:left="2940"/>
              <w:spacing w:after="0"/>
              <w:rPr>
                <w:sz w:val="20"/>
                <w:szCs w:val="20"/>
                <w:color w:val="auto"/>
              </w:rPr>
            </w:pPr>
            <w:r>
              <w:rPr>
                <w:rFonts w:ascii="Arial" w:cs="Arial" w:eastAsia="Arial" w:hAnsi="Arial"/>
                <w:sz w:val="18"/>
                <w:szCs w:val="18"/>
                <w:color w:val="auto"/>
              </w:rPr>
              <w:t>corporate or strategic purposes.</w:t>
            </w:r>
          </w:p>
        </w:tc>
        <w:tc>
          <w:tcPr>
            <w:tcW w:w="20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58"/>
        </w:trPr>
        <w:tc>
          <w:tcPr>
            <w:tcW w:w="1360" w:type="dxa"/>
            <w:vAlign w:val="bottom"/>
          </w:tcPr>
          <w:p>
            <w:pPr>
              <w:ind w:left="120"/>
              <w:spacing w:after="0"/>
              <w:rPr>
                <w:sz w:val="20"/>
                <w:szCs w:val="20"/>
                <w:color w:val="auto"/>
              </w:rPr>
            </w:pPr>
            <w:r>
              <w:rPr>
                <w:rFonts w:ascii="Arial" w:cs="Arial" w:eastAsia="Arial" w:hAnsi="Arial"/>
                <w:sz w:val="18"/>
                <w:szCs w:val="18"/>
                <w:color w:val="auto"/>
              </w:rPr>
              <w:t>Risk Factors</w:t>
            </w:r>
          </w:p>
        </w:tc>
        <w:tc>
          <w:tcPr>
            <w:tcW w:w="9720" w:type="dxa"/>
            <w:vAlign w:val="bottom"/>
            <w:gridSpan w:val="3"/>
          </w:tcPr>
          <w:p>
            <w:pPr>
              <w:ind w:left="2940"/>
              <w:spacing w:after="0"/>
              <w:rPr>
                <w:sz w:val="20"/>
                <w:szCs w:val="20"/>
                <w:color w:val="auto"/>
              </w:rPr>
            </w:pPr>
            <w:r>
              <w:rPr>
                <w:rFonts w:ascii="Arial" w:cs="Arial" w:eastAsia="Arial" w:hAnsi="Arial"/>
                <w:sz w:val="18"/>
                <w:szCs w:val="18"/>
                <w:color w:val="auto"/>
                <w:w w:val="92"/>
              </w:rPr>
              <w:t>See “</w:t>
            </w:r>
            <w:r>
              <w:rPr>
                <w:rFonts w:ascii="Arial" w:cs="Arial" w:eastAsia="Arial" w:hAnsi="Arial"/>
                <w:sz w:val="18"/>
                <w:szCs w:val="18"/>
                <w:i w:val="1"/>
                <w:iCs w:val="1"/>
                <w:color w:val="auto"/>
                <w:w w:val="92"/>
              </w:rPr>
              <w:t>Risk Factors</w:t>
            </w:r>
            <w:r>
              <w:rPr>
                <w:rFonts w:ascii="Arial" w:cs="Arial" w:eastAsia="Arial" w:hAnsi="Arial"/>
                <w:sz w:val="18"/>
                <w:szCs w:val="18"/>
                <w:color w:val="auto"/>
                <w:w w:val="92"/>
              </w:rPr>
              <w:t>” beginning on page S-12 of this prospectus supplement and beginning on</w:t>
            </w:r>
          </w:p>
        </w:tc>
      </w:tr>
      <w:tr>
        <w:trPr>
          <w:trHeight w:val="216"/>
        </w:trPr>
        <w:tc>
          <w:tcPr>
            <w:tcW w:w="1360" w:type="dxa"/>
            <w:vAlign w:val="bottom"/>
          </w:tcPr>
          <w:p>
            <w:pPr>
              <w:spacing w:after="0"/>
              <w:rPr>
                <w:sz w:val="18"/>
                <w:szCs w:val="18"/>
                <w:color w:val="auto"/>
              </w:rPr>
            </w:pPr>
          </w:p>
        </w:tc>
        <w:tc>
          <w:tcPr>
            <w:tcW w:w="9720" w:type="dxa"/>
            <w:vAlign w:val="bottom"/>
            <w:gridSpan w:val="3"/>
          </w:tcPr>
          <w:p>
            <w:pPr>
              <w:ind w:left="2940"/>
              <w:spacing w:after="0"/>
              <w:rPr>
                <w:sz w:val="20"/>
                <w:szCs w:val="20"/>
                <w:color w:val="auto"/>
              </w:rPr>
            </w:pPr>
            <w:r>
              <w:rPr>
                <w:rFonts w:ascii="Arial" w:cs="Arial" w:eastAsia="Arial" w:hAnsi="Arial"/>
                <w:sz w:val="18"/>
                <w:szCs w:val="18"/>
                <w:color w:val="auto"/>
                <w:w w:val="90"/>
              </w:rPr>
              <w:t>page 7 of the accompanying prospectus for a discussion of risks you should carefully consider</w:t>
            </w:r>
          </w:p>
        </w:tc>
      </w:tr>
      <w:tr>
        <w:trPr>
          <w:trHeight w:val="230"/>
        </w:trPr>
        <w:tc>
          <w:tcPr>
            <w:tcW w:w="1360" w:type="dxa"/>
            <w:vAlign w:val="bottom"/>
          </w:tcPr>
          <w:p>
            <w:pPr>
              <w:spacing w:after="0"/>
              <w:rPr>
                <w:sz w:val="20"/>
                <w:szCs w:val="20"/>
                <w:color w:val="auto"/>
              </w:rPr>
            </w:pPr>
          </w:p>
        </w:tc>
        <w:tc>
          <w:tcPr>
            <w:tcW w:w="6400" w:type="dxa"/>
            <w:vAlign w:val="bottom"/>
          </w:tcPr>
          <w:p>
            <w:pPr>
              <w:ind w:left="2940"/>
              <w:spacing w:after="0"/>
              <w:rPr>
                <w:sz w:val="20"/>
                <w:szCs w:val="20"/>
                <w:color w:val="auto"/>
              </w:rPr>
            </w:pPr>
            <w:r>
              <w:rPr>
                <w:rFonts w:ascii="Arial" w:cs="Arial" w:eastAsia="Arial" w:hAnsi="Arial"/>
                <w:sz w:val="18"/>
                <w:szCs w:val="18"/>
                <w:color w:val="auto"/>
              </w:rPr>
              <w:t>before deciding to invest in the Notes.</w:t>
            </w:r>
          </w:p>
        </w:tc>
        <w:tc>
          <w:tcPr>
            <w:tcW w:w="20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64"/>
        </w:trPr>
        <w:tc>
          <w:tcPr>
            <w:tcW w:w="1360" w:type="dxa"/>
            <w:vAlign w:val="bottom"/>
          </w:tcPr>
          <w:p>
            <w:pPr>
              <w:spacing w:after="0"/>
              <w:rPr>
                <w:sz w:val="24"/>
                <w:szCs w:val="24"/>
                <w:color w:val="auto"/>
              </w:rPr>
            </w:pPr>
          </w:p>
        </w:tc>
        <w:tc>
          <w:tcPr>
            <w:tcW w:w="6400" w:type="dxa"/>
            <w:vAlign w:val="bottom"/>
          </w:tcPr>
          <w:p>
            <w:pPr>
              <w:ind w:left="4140"/>
              <w:spacing w:after="0"/>
              <w:rPr>
                <w:sz w:val="20"/>
                <w:szCs w:val="20"/>
                <w:color w:val="auto"/>
              </w:rPr>
            </w:pPr>
            <w:r>
              <w:rPr>
                <w:rFonts w:ascii="Arial" w:cs="Arial" w:eastAsia="Arial" w:hAnsi="Arial"/>
                <w:sz w:val="18"/>
                <w:szCs w:val="18"/>
                <w:color w:val="auto"/>
              </w:rPr>
              <w:t>S-6</w:t>
            </w:r>
          </w:p>
        </w:tc>
        <w:tc>
          <w:tcPr>
            <w:tcW w:w="20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120" w:right="160"/>
        <w:spacing w:after="0" w:line="271" w:lineRule="auto"/>
        <w:rPr>
          <w:sz w:val="20"/>
          <w:szCs w:val="20"/>
          <w:color w:val="auto"/>
        </w:rPr>
      </w:pPr>
      <w:r>
        <w:rPr>
          <w:rFonts w:ascii="Arial" w:cs="Arial" w:eastAsia="Arial" w:hAnsi="Arial"/>
          <w:sz w:val="17"/>
          <w:szCs w:val="17"/>
          <w:i w:val="1"/>
          <w:iCs w:val="1"/>
          <w:color w:val="auto"/>
        </w:rPr>
        <w:t>This summary highlights some of the information in this prospectus supplement and the accompanying prospectus. It is not complete and may not contain all of the information that you may want to consider in making an investment decision. References to our portfolio and investments include investments we make through our consolidated subsidiaries. Some of the statements in this prospectus supplement and accompanying prospectus constitute forward-looking statements which apply to us and our consolidated subsidiaries,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and accompanying prospectus. You should read carefully the more detailed information set forth under “Risk Factors” and the other information included in this prospectus supplement and accompanying prospectus.</w:t>
      </w:r>
    </w:p>
    <w:p>
      <w:pPr>
        <w:spacing w:after="0" w:line="178" w:lineRule="exact"/>
        <w:rPr>
          <w:sz w:val="20"/>
          <w:szCs w:val="20"/>
          <w:color w:val="auto"/>
        </w:rPr>
      </w:pPr>
    </w:p>
    <w:p>
      <w:pPr>
        <w:ind w:left="120" w:right="140"/>
        <w:spacing w:after="0" w:line="269" w:lineRule="auto"/>
        <w:rPr>
          <w:sz w:val="20"/>
          <w:szCs w:val="20"/>
          <w:color w:val="auto"/>
        </w:rPr>
      </w:pPr>
      <w:r>
        <w:rPr>
          <w:rFonts w:ascii="Arial" w:cs="Arial" w:eastAsia="Arial" w:hAnsi="Arial"/>
          <w:sz w:val="17"/>
          <w:szCs w:val="17"/>
          <w:i w:val="1"/>
          <w:iCs w:val="1"/>
          <w:color w:val="auto"/>
        </w:rPr>
        <w:t>In this prospectus supplement and the accompanying prospectus, except where the context suggests otherwise, the terms “Company,” “we,” “our” or “us” refers to PennantPark Investment Corporation and its consolidated subsidiaries; “PennantPark Investment” refers to only PennantPark Investment Corporation; “SBIC II” refers to our consolidated subsidiary, PennantPark SBIC II LP; “Taxable Subsidiaries” refers to PNNT Cascade Environmental Holdings, LLC, PNNT CI (Galls) Prime Investment Holdings, LLC, PNNT ecoserve, LLC, PNNT Investment Holdings, LLC and PNNT New Gulf Resources, LLC; “PSLF” refers to PennantPark Senior Loan Fund, LLC, an unconsolidated joint venture; “Investment Adviser” refers to PennantPark Investment Advisers, LLC; “Administrator” refers to PennantPark Investment Administration, LLC; “SBA” refers to the Small Business Administration; “SBIC” refers to a small business investment company under the Small Business Investment Act of 1958, as amended, or the “1958 Act”; “Truist Credit Facility” refers to our multi-currency, senior secured revolving credit facility with Truist Bank (formerly SunTrust Bank), as amended and restated; “2024 Notes” refers to our 5.50% Notes due 2024; “BDC” refers to a business development company under the Investment Company Act of 1940, as amended, or the “1940 Act”; “Code” refers to the Internal Revenue Code of 1986, as amended; and “RIC” refers to a regulated investment company under the Code. References to our portfolio, our investments and our business include investments we make through SBIC II and other consolidated subsidiaries.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121"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to a lesser extent, equity investments.</w:t>
      </w:r>
    </w:p>
    <w:p>
      <w:pPr>
        <w:spacing w:after="0" w:line="184"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We believe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8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Certain biographical information about our directors and officers is set forth in our proxy statement on Schedule 14A filed with the SEC on December 8, 2020, which is incorporated by reference herein. In addition, Samuel Katz, one of our independent directors, serves as the Chief Executive Officer and director of TZP Strategies Acquisition Corp. (Nasdaq: TZPS), a special purpose acquisition company incorporated in the Cayman Islands.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PennantPark Investment Corporation was organized as a Maryland corporation in January 2007. We are a closed-end, externally managed, non-diversified investment company that has elected to be treated as a BDC under the 1940 Act. Our investment objectives are to generate both current income and capital appreciation while seeking to preserve capital through debt and equity investments. We invest primarily in U.S. middle-market companies in the form of first lien secured debt, second lien secured debt, subordinated debt and, to a lesser extent, equity investments. On April 24, 2007, we closed our initial public offering, and our common stock trades on the Nasdaq Global Select Market under the symbol “PNNT”.</w:t>
      </w:r>
    </w:p>
    <w:p>
      <w:pPr>
        <w:spacing w:after="0" w:line="161"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color w:val="auto"/>
        </w:rPr>
        <w:t>SBIC II, our wholly owned subsidiary,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4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On July 31, 2020, we and certain entities and managed accounts of the private credit investment manager of Pantheon Ventures (UK) LLP entered into a limited liability company agreement to co-manage PSLF, a newly formed unconsolidated joint venture. PSLF invests primarily in middle-market and other corporate debt securities consistent with our strategy.</w:t>
      </w:r>
    </w:p>
    <w:p>
      <w:pPr>
        <w:spacing w:after="0" w:line="18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have formed and expect to continue to form certain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We utilize the investing experience and contacts of our Investment Adviser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$11.4 billion across 588 transactions with approximately 190 different financial sponsors through its managed funds.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w:t>
      </w:r>
      <w:r>
        <w:rPr>
          <w:rFonts w:ascii="Arial" w:cs="Arial" w:eastAsia="Arial" w:hAnsi="Arial"/>
          <w:sz w:val="18"/>
          <w:szCs w:val="18"/>
          <w:i w:val="1"/>
          <w:iCs w:val="1"/>
          <w:color w:val="auto"/>
        </w:rPr>
        <w:t>Risk Factors—Risks Relating to our Business and</w:t>
      </w:r>
      <w:r>
        <w:rPr>
          <w:rFonts w:ascii="Arial" w:cs="Arial" w:eastAsia="Arial" w:hAnsi="Arial"/>
          <w:sz w:val="18"/>
          <w:szCs w:val="18"/>
          <w:color w:val="auto"/>
        </w:rPr>
        <w:t xml:space="preserve"> </w:t>
      </w:r>
      <w:r>
        <w:rPr>
          <w:rFonts w:ascii="Arial" w:cs="Arial" w:eastAsia="Arial" w:hAnsi="Arial"/>
          <w:sz w:val="18"/>
          <w:szCs w:val="18"/>
          <w:i w:val="1"/>
          <w:iCs w:val="1"/>
          <w:color w:val="auto"/>
        </w:rPr>
        <w:t>Structure—There are significant potential conflicts of interest which could impact our investment returns</w:t>
      </w:r>
      <w:r>
        <w:rPr>
          <w:rFonts w:ascii="Arial" w:cs="Arial" w:eastAsia="Arial" w:hAnsi="Arial"/>
          <w:sz w:val="18"/>
          <w:szCs w:val="18"/>
          <w:color w:val="auto"/>
        </w:rPr>
        <w:t>” in our most recent Annual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for more information.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 xml:space="preserve">Our administrative and principal executive offices are located at 590 Madison Avenue, 15th Floor, New York, NY 10022. Our common stock and 2024 Notes are quoted on The Nasdaq Global Select Market under the symbols “PNNT” and “PNNTG”, respectively. Our phone number is (212) 905-1000, and our Internet website address is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xml:space="preserve">. Except for the documents incorporated by reference into this prospectus supplement and the accompanying prospectus, the information on our website is not part of this prospectus supplement or the accompanying prospectus. We file periodic reports, proxy statements and other information with the SEC and make such reports available on our website free of charge as soon as reasonably practicable. In addition, the SEC maintains an Internet website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that contains reports, proxy and information statements, and other information regarding issuers that file electronically with the SEC.</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Preliminary Estimates of Certain Financial Highlights</w:t>
      </w:r>
    </w:p>
    <w:p>
      <w:pPr>
        <w:spacing w:after="0" w:line="131" w:lineRule="exact"/>
        <w:rPr>
          <w:sz w:val="20"/>
          <w:szCs w:val="20"/>
          <w:color w:val="auto"/>
        </w:rPr>
      </w:pPr>
    </w:p>
    <w:p>
      <w:pPr>
        <w:ind w:left="1080" w:right="20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GAAP net asset value per share is estimated to be between $9.15 and $9.25 per common share as of March 31, 2021. This compares to a GAAP net asset value per common share of $8.78 as of December 31, 2020.</w:t>
      </w:r>
    </w:p>
    <w:p>
      <w:pPr>
        <w:spacing w:after="0" w:line="75" w:lineRule="exact"/>
        <w:rPr>
          <w:rFonts w:ascii="Arial" w:cs="Arial" w:eastAsia="Arial" w:hAnsi="Arial"/>
          <w:sz w:val="18"/>
          <w:szCs w:val="18"/>
          <w:color w:val="auto"/>
        </w:rPr>
      </w:pPr>
    </w:p>
    <w:p>
      <w:pPr>
        <w:ind w:left="1080" w:right="700" w:hanging="424"/>
        <w:spacing w:after="0" w:line="308" w:lineRule="auto"/>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Net investment income is estimated to be between $0.12 and $0.14 per common share for the quarter ended March 31, 2021. This compares to net investment income of $0.12 per common share for the quarter ended December 31, 2020.</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loans were on non-accrual status as of March 31, 2021.</w:t>
      </w:r>
    </w:p>
    <w:p>
      <w:pPr>
        <w:spacing w:after="0" w:line="130" w:lineRule="exact"/>
        <w:rPr>
          <w:rFonts w:ascii="Arial" w:cs="Arial" w:eastAsia="Arial" w:hAnsi="Arial"/>
          <w:sz w:val="18"/>
          <w:szCs w:val="18"/>
          <w:color w:val="auto"/>
        </w:rPr>
      </w:pPr>
    </w:p>
    <w:p>
      <w:pPr>
        <w:ind w:left="1080" w:right="360" w:hanging="424"/>
        <w:spacing w:after="0" w:line="263"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of March 31, 2021, at cost, we had approximately $375.5 million of borrowings outstanding under the Truist Credit Facility, approximately $86.3 million in aggregate principal amount of 2024 Notes outstanding and $108.5 million of indebtedness outstanding under the SBA debentures.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of March 31, 2021, we had approximately $33.9 million in cash and cash equivalents.</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These estimates are subject to the completion of our financial closing procedures and are not a comprehensive statement of our financial position, results of operations or cash flows for the quarter ended March 31, 2021. Final results may differ materially from these estimates as a result of the completion of our financial closing procedures, as well as any subsequent events, including the discovery of information affecting fair values of our portfolio investments as of March 31, 2021, arising between the date hereof and the completion of our financial statements and the filing of our Form 10-Q for the quarter then ended.</w:t>
      </w:r>
    </w:p>
    <w:p>
      <w:pPr>
        <w:spacing w:after="0" w:line="188" w:lineRule="exact"/>
        <w:rPr>
          <w:sz w:val="20"/>
          <w:szCs w:val="20"/>
          <w:color w:val="auto"/>
        </w:rPr>
      </w:pPr>
    </w:p>
    <w:p>
      <w:pPr>
        <w:ind w:left="120" w:right="360"/>
        <w:spacing w:after="0" w:line="311" w:lineRule="auto"/>
        <w:rPr>
          <w:sz w:val="20"/>
          <w:szCs w:val="20"/>
          <w:color w:val="auto"/>
        </w:rPr>
      </w:pPr>
      <w:r>
        <w:rPr>
          <w:rFonts w:ascii="Arial" w:cs="Arial" w:eastAsia="Arial" w:hAnsi="Arial"/>
          <w:sz w:val="16"/>
          <w:szCs w:val="16"/>
          <w:color w:val="auto"/>
        </w:rPr>
        <w:t>The preliminary financial estimates provided herein have been prepared by, and are the responsibility of our management. RSM US LLP, our independent registered public accounting firm, has not audited, reviewed, compiled, or performed any procedures with respect to the accompanying preliminary financial data. Accordingly, RSM US LLP does not express an opinion or any other form of assurance with respect thereto.</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This prospectus supplement, including the documents we incorporate by reference herein, and the accompanying prospectus and any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supplement, including the documents we incorporate by reference herein, and the accompanying prospectus and any free writing prospectus, including the documents we incorporate by reference therein, involve risks and uncertainties, including statements as to:</w:t>
      </w:r>
    </w:p>
    <w:p>
      <w:pPr>
        <w:spacing w:after="0" w:line="83"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 including as a result of the current pandemic caused by COVID-19;</w:t>
      </w:r>
    </w:p>
    <w:p>
      <w:pPr>
        <w:spacing w:after="0" w:line="7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continue to effectively manage our business due to the significant disruptions caused by the current COVID-19 pandemic;</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United Kingdom’s withdrawal from the European Union (commonly known as “Brexit”) and other world economic and political issues.</w:t>
      </w:r>
    </w:p>
    <w:p>
      <w:pPr>
        <w:spacing w:after="0" w:line="170"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statements for any reason, including the factors in “</w:t>
      </w:r>
      <w:r>
        <w:rPr>
          <w:rFonts w:ascii="Arial" w:cs="Arial" w:eastAsia="Arial" w:hAnsi="Arial"/>
          <w:sz w:val="18"/>
          <w:szCs w:val="18"/>
          <w:i w:val="1"/>
          <w:iCs w:val="1"/>
          <w:color w:val="auto"/>
        </w:rPr>
        <w:t>Risk Factors</w:t>
      </w:r>
      <w:r>
        <w:rPr>
          <w:rFonts w:ascii="Arial" w:cs="Arial" w:eastAsia="Arial" w:hAnsi="Arial"/>
          <w:sz w:val="18"/>
          <w:szCs w:val="18"/>
          <w:color w:val="auto"/>
        </w:rPr>
        <w:t>” in this prospectus supplement and the accompanying prospectus, in the documents incorporated by reference, and elsewhere in this prospectus supplement and the accompanying prospectus.</w:t>
      </w:r>
    </w:p>
    <w:p>
      <w:pPr>
        <w:spacing w:after="0" w:line="17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including the documents we incorporate by reference herein, and the accompanying prospectus and any free writing prospectus, including the documents we incorporate by reference therein, should not be regarded as a representation by us that our plans and objectives will be achieved. We have based the forward-looking statements included in this prospectus supplement on information available to us on the date of this prospectus supplement,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w:t>
      </w:r>
    </w:p>
    <w:p>
      <w:pPr>
        <w:spacing w:after="0" w:line="182"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supplement or in periodic reports we file under the Exchange Act.</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i w:val="1"/>
          <w:iCs w:val="1"/>
          <w:color w:val="auto"/>
        </w:rPr>
        <w:t>Before you invest in our securities, you should be aware of various risks. In addition to the other information contained in this prospectus supplement, the accompanying prospectus, and any free writing prospectus, you should consider carefully the following information and the risk factors incorporated by reference in our most recent Annual Report on Form 10-K, our most recent Quarterly Report on Form 10-Q or any Current Reports on Form 8-K we file after the date of this prospectus supplement, and all other information contained or incorporated by reference into this prospectus supplement, the accompanying prospectus, and any free writing prospectus, as updated by our subsequent filings under the Exchange Act, before making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NAV and the trading price of or value of the Notes may decline, and you may lose all or part of your investment.</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THE NOTES</w:t>
      </w:r>
    </w:p>
    <w:p>
      <w:pPr>
        <w:spacing w:after="0" w:line="225" w:lineRule="exact"/>
        <w:rPr>
          <w:sz w:val="20"/>
          <w:szCs w:val="20"/>
          <w:color w:val="auto"/>
        </w:rPr>
      </w:pPr>
    </w:p>
    <w:p>
      <w:pPr>
        <w:ind w:left="120" w:right="420"/>
        <w:spacing w:after="0" w:line="282" w:lineRule="auto"/>
        <w:rPr>
          <w:sz w:val="20"/>
          <w:szCs w:val="20"/>
          <w:color w:val="auto"/>
        </w:rPr>
      </w:pPr>
      <w:r>
        <w:rPr>
          <w:rFonts w:ascii="Arial" w:cs="Arial" w:eastAsia="Arial" w:hAnsi="Arial"/>
          <w:sz w:val="18"/>
          <w:szCs w:val="18"/>
          <w:b w:val="1"/>
          <w:bCs w:val="1"/>
          <w:color w:val="auto"/>
        </w:rPr>
        <w:t>The Notes will be unsecured and therefore will be effectively subordinated to any secured indebtedness we have currently incurred or may incur in the future.</w:t>
      </w:r>
    </w:p>
    <w:p>
      <w:pPr>
        <w:spacing w:after="0" w:line="5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Notes will not be secured by any of our assets or any of the assets of our subsidiaries. As a result, the Notes will be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December 31, 2020, we had approximately $355.5 million in outstanding borrowings under the Truist Credit Facility. The Truist Credit Facility is secured by substantially all of our assets excluding assets held by SBIC II. The indebtedness under the Truist Credit Facility is therefore effectively senior to the Notes to the extent of the value of such assets.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Notes will be structurally subordinated to the indebtedness and other liabilities of our subsidiaries.</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Notes are obligations exclusively of PennantPark Investment Corporation and not of any of our subsidiaries. None of our subsidiaries is or acts as a guarantor of the Notes, and the Notes are not required to be guaranteed by any subsidiaries we may acquire or create in the future. Our secured indebtedness with respect to the SBA debentures is held through SBIC II. The assets of any such subsidiaries are not directly available to satisfy the claims of our creditors, including holders of the Notes.</w:t>
      </w:r>
    </w:p>
    <w:p>
      <w:pPr>
        <w:spacing w:after="0" w:line="18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subordinated to any security interests in the assets of any such subsidiary and to any indebtedness or other liabilities of any such subsidiary senior to our claims. Consequently, the Notes will be structurally subordinated to all indebtedness and other liabilities (including trade payables) of our subsidiaries and any subsidiaries that we may in the future acquire or establish as financing vehicles or otherwise. As of December 31, 2020, SBIC II had $118.5 million of indebtedness outstanding under the SBA debentures. All of such indebtedness would be structurally senior to the Notes. In addition, our subsidiaries may incur substantial additional indebtedness in the future, all of which would be structurally senior to the Notes.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indenture under which the Notes will be issued contains limited protection for holders of the Notes.</w:t>
      </w:r>
    </w:p>
    <w:p>
      <w:pPr>
        <w:spacing w:after="0" w:line="121" w:lineRule="exact"/>
        <w:rPr>
          <w:sz w:val="20"/>
          <w:szCs w:val="20"/>
          <w:color w:val="auto"/>
        </w:rPr>
      </w:pPr>
    </w:p>
    <w:p>
      <w:pPr>
        <w:jc w:val="both"/>
        <w:ind w:left="120" w:right="180"/>
        <w:spacing w:after="0" w:line="259" w:lineRule="auto"/>
        <w:rPr>
          <w:sz w:val="20"/>
          <w:szCs w:val="20"/>
          <w:color w:val="auto"/>
        </w:rPr>
      </w:pPr>
      <w:r>
        <w:rPr>
          <w:rFonts w:ascii="Arial" w:cs="Arial" w:eastAsia="Arial" w:hAnsi="Arial"/>
          <w:sz w:val="18"/>
          <w:szCs w:val="18"/>
          <w:color w:val="auto"/>
        </w:rPr>
        <w:t>The indenture under which the Notes will be issued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will not place any restrictions on our or our subsidiaries’ ability to:</w:t>
      </w:r>
    </w:p>
    <w:p>
      <w:pPr>
        <w:spacing w:after="0" w:line="92" w:lineRule="exact"/>
        <w:rPr>
          <w:sz w:val="20"/>
          <w:szCs w:val="20"/>
          <w:color w:val="auto"/>
        </w:rPr>
      </w:pPr>
    </w:p>
    <w:p>
      <w:pPr>
        <w:ind w:left="1080" w:hanging="424"/>
        <w:spacing w:after="0" w:line="284"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or other obligations of ours that are guaranteed by one or more of our subsidiaries and which therefore would rank structurally senior to the Notes and (4) securities, indebtedness or other obligations issued or incurred by our subsidiaries that would be senior in right of payment to our equity interests in our subsidiaries and therefore would rank structurally senior in right of payment to the Notes with respect to the assets of our subsidiaries, in each case other than an incurrence of indebtedness or other obligation that would cause a violation of Section 18(a)(1)</w:t>
      </w:r>
    </w:p>
    <w:p>
      <w:pPr>
        <w:spacing w:after="0" w:line="2" w:lineRule="exact"/>
        <w:rPr>
          <w:rFonts w:ascii="Arial" w:cs="Arial" w:eastAsia="Arial" w:hAnsi="Arial"/>
          <w:sz w:val="16"/>
          <w:szCs w:val="16"/>
          <w:color w:val="auto"/>
        </w:rPr>
      </w:pPr>
    </w:p>
    <w:p>
      <w:pPr>
        <w:ind w:left="1080" w:right="500"/>
        <w:spacing w:after="0" w:line="260" w:lineRule="auto"/>
        <w:rPr>
          <w:rFonts w:ascii="Arial" w:cs="Arial" w:eastAsia="Arial" w:hAnsi="Arial"/>
          <w:sz w:val="16"/>
          <w:szCs w:val="16"/>
          <w:color w:val="auto"/>
        </w:rPr>
      </w:pPr>
      <w:r>
        <w:rPr>
          <w:rFonts w:ascii="Arial" w:cs="Arial" w:eastAsia="Arial" w:hAnsi="Arial"/>
          <w:sz w:val="18"/>
          <w:szCs w:val="18"/>
          <w:color w:val="auto"/>
        </w:rPr>
        <w:t>(A) of the 1940 Act as modified by Section 61(a)(1) and (2) of the 1940 Act or any successor provisions, as such obligations may be amended or superseded, giving effect to any exemptive relief granted to us by the SEC;</w:t>
      </w:r>
    </w:p>
    <w:p>
      <w:pPr>
        <w:spacing w:after="0" w:line="90" w:lineRule="exact"/>
        <w:rPr>
          <w:rFonts w:ascii="Arial" w:cs="Arial" w:eastAsia="Arial" w:hAnsi="Arial"/>
          <w:sz w:val="16"/>
          <w:szCs w:val="16"/>
          <w:color w:val="auto"/>
        </w:rPr>
      </w:pPr>
    </w:p>
    <w:p>
      <w:pPr>
        <w:ind w:left="1080" w:right="34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ranking junior in right of payment to the Notes;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sell assets (other than certain limited restrictions on our ability to consolidate, merge or sell all or substantially all of our assets);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In addition, the indenture will not require us to offer to purchase the Notes in connection with a change of control other than in connection with a Change of Control Repurchase Event (as defined below).</w:t>
      </w:r>
    </w:p>
    <w:p>
      <w:pPr>
        <w:spacing w:after="0" w:line="170"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4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Notes may have important consequences for you as a holder of the Notes, including negatively affecting the trading value of the Notes or making it more difficult for us to satisfy our obligations with respect to the Notes.</w:t>
      </w:r>
    </w:p>
    <w:p>
      <w:pPr>
        <w:spacing w:after="0" w:line="184"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Certain of our current debt instruments include more protections for their holders than the indenture and the Notes. See “</w:t>
      </w:r>
      <w:r>
        <w:rPr>
          <w:rFonts w:ascii="Arial" w:cs="Arial" w:eastAsia="Arial" w:hAnsi="Arial"/>
          <w:sz w:val="18"/>
          <w:szCs w:val="18"/>
          <w:i w:val="1"/>
          <w:iCs w:val="1"/>
          <w:color w:val="auto"/>
        </w:rPr>
        <w:t>Risk Factors—Risks Relating to</w:t>
      </w:r>
      <w:r>
        <w:rPr>
          <w:rFonts w:ascii="Arial" w:cs="Arial" w:eastAsia="Arial" w:hAnsi="Arial"/>
          <w:sz w:val="18"/>
          <w:szCs w:val="18"/>
          <w:color w:val="auto"/>
        </w:rPr>
        <w:t xml:space="preserve"> </w:t>
      </w:r>
      <w:r>
        <w:rPr>
          <w:rFonts w:ascii="Arial" w:cs="Arial" w:eastAsia="Arial" w:hAnsi="Arial"/>
          <w:sz w:val="18"/>
          <w:szCs w:val="18"/>
          <w:i w:val="1"/>
          <w:iCs w:val="1"/>
          <w:color w:val="auto"/>
        </w:rPr>
        <w:t>Our Business and Structure</w:t>
      </w:r>
      <w:r>
        <w:rPr>
          <w:rFonts w:ascii="Arial" w:cs="Arial" w:eastAsia="Arial" w:hAnsi="Arial"/>
          <w:sz w:val="18"/>
          <w:szCs w:val="18"/>
          <w:color w:val="auto"/>
        </w:rPr>
        <w:t>” including “</w:t>
      </w:r>
      <w:r>
        <w:rPr>
          <w:rFonts w:ascii="Arial" w:cs="Arial" w:eastAsia="Arial" w:hAnsi="Arial"/>
          <w:sz w:val="18"/>
          <w:szCs w:val="18"/>
          <w:i w:val="1"/>
          <w:iCs w:val="1"/>
          <w:color w:val="auto"/>
        </w:rPr>
        <w:t>Risk Factors—Risks Relating to Our Business and Structure—We are subject to various covenants under our Credit Facility which, if not complied with, could result in reduced availability and/or mandatory prepayments under our Credit Facility and SBA debentures</w:t>
      </w:r>
      <w:r>
        <w:rPr>
          <w:rFonts w:ascii="Arial" w:cs="Arial" w:eastAsia="Arial" w:hAnsi="Arial"/>
          <w:sz w:val="18"/>
          <w:szCs w:val="18"/>
          <w:color w:val="auto"/>
        </w:rPr>
        <w:t>” in our most recent Annual Report on Form 10-K for more information. In addition, other debt we issue or incur in the future could contain</w:t>
      </w:r>
      <w:r>
        <w:rPr>
          <w:rFonts w:ascii="Arial" w:cs="Arial" w:eastAsia="Arial" w:hAnsi="Arial"/>
          <w:sz w:val="18"/>
          <w:szCs w:val="18"/>
          <w:i w:val="1"/>
          <w:iCs w:val="1"/>
          <w:color w:val="auto"/>
        </w:rPr>
        <w:t xml:space="preserve"> </w:t>
      </w:r>
      <w:r>
        <w:rPr>
          <w:rFonts w:ascii="Arial" w:cs="Arial" w:eastAsia="Arial" w:hAnsi="Arial"/>
          <w:sz w:val="18"/>
          <w:szCs w:val="18"/>
          <w:color w:val="auto"/>
        </w:rPr>
        <w:t>more protections for its holders than the indenture and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Notes, including additional covenants and events of default. The issuance or incurrence of any such debt with incremental protections could affect the market for and trading levels and prices of the Notes.</w:t>
      </w:r>
    </w:p>
    <w:p>
      <w:pPr>
        <w:spacing w:after="0" w:line="274" w:lineRule="exact"/>
        <w:rPr>
          <w:sz w:val="20"/>
          <w:szCs w:val="20"/>
          <w:color w:val="auto"/>
        </w:rPr>
      </w:pPr>
    </w:p>
    <w:p>
      <w:pPr>
        <w:ind w:left="120" w:right="640"/>
        <w:spacing w:after="0" w:line="347" w:lineRule="auto"/>
        <w:rPr>
          <w:sz w:val="20"/>
          <w:szCs w:val="20"/>
          <w:color w:val="auto"/>
        </w:rPr>
      </w:pPr>
      <w:r>
        <w:rPr>
          <w:rFonts w:ascii="Arial" w:cs="Arial" w:eastAsia="Arial" w:hAnsi="Arial"/>
          <w:sz w:val="16"/>
          <w:szCs w:val="16"/>
          <w:b w:val="1"/>
          <w:bCs w:val="1"/>
          <w:color w:val="auto"/>
        </w:rPr>
        <w:t>Our amount of debt outstanding may increase as a result of this offering. Our current indebtedness could adversely affect our business, financial condition and results of operations and our ability to meet our payment obligations under the Notes and our other debt.</w:t>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use of debt could have significant consequences on our future operations, including:</w:t>
      </w:r>
    </w:p>
    <w:p>
      <w:pPr>
        <w:spacing w:after="0" w:line="131"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making it more difficult for us to meet our payment and other obligations under the Notes and our other outstanding debt;</w:t>
      </w:r>
    </w:p>
    <w:p>
      <w:pPr>
        <w:spacing w:after="0" w:line="130" w:lineRule="exact"/>
        <w:rPr>
          <w:rFonts w:ascii="Arial" w:cs="Arial" w:eastAsia="Arial" w:hAnsi="Arial"/>
          <w:sz w:val="18"/>
          <w:szCs w:val="18"/>
          <w:color w:val="auto"/>
        </w:rPr>
      </w:pPr>
    </w:p>
    <w:p>
      <w:pPr>
        <w:ind w:left="1080" w:right="880" w:hanging="424"/>
        <w:spacing w:after="0" w:line="34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resulting in an event of default if we fail to comply with the financial and other restrictive covenants contained in our financing arrangements, which event of default could result in substantially all of our debt becoming immediately due and payable;</w:t>
      </w:r>
    </w:p>
    <w:p>
      <w:pPr>
        <w:spacing w:after="0" w:line="29"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reducing the availability of our cash flow to fund investments, acquisitions and other general corporate purposes, and limiting our ability to obtain additional financing for these purposes;</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subjecting us to the risk of increased sensitivity to interest rate increases on our indebtedness with variable interest rates, including borrowings under our financing arrangements; and</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and increasing our vulnerability to, changes in our business, the industry in which we operate and the general economy.</w:t>
      </w:r>
    </w:p>
    <w:p>
      <w:pPr>
        <w:spacing w:after="0" w:line="17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Any of the above-listed factors could have an adverse effect on our business, financial condition and results of operations and our ability to meet our payment obligations under the Notes and our other debt.</w:t>
      </w:r>
    </w:p>
    <w:p>
      <w:pPr>
        <w:spacing w:after="0" w:line="170"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Our ability to meet our payment and other obligations under our financing arrangements depends on our ability to generate significant cash flow in the future. This, to some extent, is subject to general economic, financial, competitive, legislative and regulatory factors as well as other factors that are beyond our control. We cannot assure you that our business will generate cash flow from operations, or that future borrowings will be available to us under our financing arrangements or otherwise, in an amount sufficient to enable us to meet our payment obligations under the Notes and our other debt and to fund other liquidity needs. If we are not able to generate sufficient cash flow to service our debt obligations, we may need to refinance or restructure our debt, including the Notes, sell assets, reduce or delay capital investments, or seek to raise additional capital. If we are unable to implement one or more of these alternatives, we may not be able to meet our payment obligations under the Notes and our other debt, including the obligation to repurchase the Notes at maturity.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optional redemption provision may materially adversely affect your return on the Notes.</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Notes will be redeemable in whole or in part upon certain conditions at any time, or from time to time, at our option, as described in “</w:t>
      </w:r>
      <w:r>
        <w:rPr>
          <w:rFonts w:ascii="Arial" w:cs="Arial" w:eastAsia="Arial" w:hAnsi="Arial"/>
          <w:sz w:val="18"/>
          <w:szCs w:val="18"/>
          <w:i w:val="1"/>
          <w:iCs w:val="1"/>
          <w:color w:val="auto"/>
        </w:rPr>
        <w:t>Description of</w:t>
      </w:r>
      <w:r>
        <w:rPr>
          <w:rFonts w:ascii="Arial" w:cs="Arial" w:eastAsia="Arial" w:hAnsi="Arial"/>
          <w:sz w:val="18"/>
          <w:szCs w:val="18"/>
          <w:color w:val="auto"/>
        </w:rPr>
        <w:t xml:space="preserve"> </w:t>
      </w:r>
      <w:r>
        <w:rPr>
          <w:rFonts w:ascii="Arial" w:cs="Arial" w:eastAsia="Arial" w:hAnsi="Arial"/>
          <w:sz w:val="18"/>
          <w:szCs w:val="18"/>
          <w:i w:val="1"/>
          <w:iCs w:val="1"/>
          <w:color w:val="auto"/>
        </w:rPr>
        <w:t>the Notes—Optional Redemption</w:t>
      </w:r>
      <w:r>
        <w:rPr>
          <w:rFonts w:ascii="Arial" w:cs="Arial" w:eastAsia="Arial" w:hAnsi="Arial"/>
          <w:sz w:val="18"/>
          <w:szCs w:val="18"/>
          <w:color w:val="auto"/>
        </w:rPr>
        <w:t>.” We may choose to redeem the Notes at times when prevailing interest rates are lower than the interest rate paid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Notes. In this circumstance, you may not be able to reinvest the redemption proceeds in a comparable security at an effective interest rate as high as the Notes being redeemed.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may not be able to repurchase the Notes upon a Change of Control Repurchase Event.</w:t>
      </w:r>
    </w:p>
    <w:p>
      <w:pPr>
        <w:spacing w:after="0" w:line="121"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Upon the occurrence of a Change of Control Repurchase Event, as defined in the indenture that governs the Notes, subject to certain conditions, we will be required to offer to repurchase all outstanding Notes at 100% of their principal amount, plus accrued and unpaid interest. The source of funds for that purchase of Notes will be our available cash or cash generated from our operations or other potential sources, including borrowings, investment repayments, sales of assets or sales of equity. We cannot assure you that sufficient funds from such</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sources will be available at the time of any Change of Control Repurchase Event to make required repurchases of Notes tendered. Before making any such repurchase of Notes, we may have to comply with certain requirements under our then existing financing arrangements, such as the Truist Credit Facility, the 2024 Notes and the SBA debentures. Our future debt instruments may also contain similar restrictions and provisions. If the holders of the Notes exercise their right to require us to repurchase the Notes upon a Change of Control Repurchase Event, the financial effect of this repurchase could cause a default under our existing or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w:t>
      </w:r>
      <w:r>
        <w:rPr>
          <w:rFonts w:ascii="Arial" w:cs="Arial" w:eastAsia="Arial" w:hAnsi="Arial"/>
          <w:sz w:val="16"/>
          <w:szCs w:val="16"/>
          <w:i w:val="1"/>
          <w:iCs w:val="1"/>
          <w:color w:val="auto"/>
        </w:rPr>
        <w:t>Description of the Notes—Offer to Repurchase Upon a Change of Control Repurchase Event</w:t>
      </w:r>
      <w:r>
        <w:rPr>
          <w:rFonts w:ascii="Arial" w:cs="Arial" w:eastAsia="Arial" w:hAnsi="Arial"/>
          <w:sz w:val="16"/>
          <w:szCs w:val="16"/>
          <w:color w:val="auto"/>
        </w:rPr>
        <w: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There is no active trading market for the Notes. If an active trading market does not develop for the Notes, you may not be able to sell them.</w:t>
      </w:r>
    </w:p>
    <w:p>
      <w:pPr>
        <w:spacing w:after="0" w:line="144"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Notes are a new issue of debt securities for which currently there is no trading market. We do not intend to list the Notes on any securities exchange or for quotation of the Notes on any automated dealer quotation system. If the Notes are traded after their initial issuance, they may trade at a discount from their initial offering price depending on prevailing interest rates, the market for similar securities, our credit ratings, general economic conditions, including the impact of COVID-19, our financial condition, performance and prospects and other factors. The underwriters have advised us that they intend to make a market in the Notes, but they are not obligated to do so. The underwriters may discontinue any market-making in the Notes at any time at their sole discretion. Accordingly, we cannot assure you that a liquid trading market will develop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r>
        <w:rPr>
          <w:rFonts w:ascii="Arial" w:cs="Arial" w:eastAsia="Arial" w:hAnsi="Arial"/>
          <w:sz w:val="17"/>
          <w:szCs w:val="17"/>
          <w:b w:val="1"/>
          <w:bCs w:val="1"/>
          <w:color w:val="auto"/>
        </w:rPr>
        <w: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 we default on our obligations to pay our other indebtedness, we may not be able to make payments on the Notes.</w:t>
      </w:r>
    </w:p>
    <w:p>
      <w:pPr>
        <w:spacing w:after="0" w:line="121"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color w:val="auto"/>
        </w:rPr>
        <w:t>Any default under the agreements governing our indebtedness, including a default under the Truist Credit Facility, the 2024 Notes, the SBA debentures or under other indebtedness to which we may be a party that is not waived by the required lenders or holders, and the remedies sought by the holders of such indebtedness could make us unable to pay principal, premium, if any, and interest on the Notes and substantially decrease the market value of the Notes.</w:t>
      </w:r>
    </w:p>
    <w:p>
      <w:pPr>
        <w:spacing w:after="0" w:line="187"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or holders under the Truist Credit Facility, the 2024 Notes, the SBA debentures or other debt we may incur in the future could elect to terminate their commitments, cease making further loans and institute foreclosure proceedings against our assets, and we could be forced into bankruptcy or liquidation.</w:t>
      </w:r>
    </w:p>
    <w:p>
      <w:pPr>
        <w:spacing w:after="0" w:line="17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If our operating performance declines, we may in the future need to seek to obtain waivers from the required lenders or holders under the agreements relating to the Truist Credit Facility, the 2024 Notes, the SBA debentures or other debt that we may incur in the future to avoid being in default. If we breach our covenants under the Truist Credit Facility, the 2024 Notes, the SBA debentures or other debt and seek a waiver, we may not be able to obtain a waiver from the required lenders or holders. If this occurs, we would be in default and our lenders or holders could exercise their rights as described above, and we could be forced into bankruptcy or liquidation. If</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we are unable to repay debt, lenders having secured obligations, including the lenders under the Truist Credit Facility and the SBA debentures, could proceed against the collateral securing such debt. Because the Truist Credit Facility, the 2024 Notes and the SBA debentures have, and any future debt will likely have, customary cross-default provisions, if the indebtedness thereunder or under any future credit facility is accelerated, we may be unable to repay or finance the amounts due.</w:t>
      </w:r>
    </w:p>
    <w:p>
      <w:pPr>
        <w:spacing w:after="0" w:line="291" w:lineRule="exact"/>
        <w:rPr>
          <w:sz w:val="20"/>
          <w:szCs w:val="20"/>
          <w:color w:val="auto"/>
        </w:rPr>
      </w:pPr>
    </w:p>
    <w:p>
      <w:pPr>
        <w:ind w:left="120" w:right="580"/>
        <w:spacing w:after="0" w:line="282" w:lineRule="auto"/>
        <w:rPr>
          <w:sz w:val="20"/>
          <w:szCs w:val="20"/>
          <w:color w:val="auto"/>
        </w:rPr>
      </w:pPr>
      <w:r>
        <w:rPr>
          <w:rFonts w:ascii="Arial" w:cs="Arial" w:eastAsia="Arial" w:hAnsi="Arial"/>
          <w:sz w:val="18"/>
          <w:szCs w:val="18"/>
          <w:b w:val="1"/>
          <w:bCs w:val="1"/>
          <w:color w:val="auto"/>
        </w:rPr>
        <w:t>A downgrade, suspension or withdrawal of a credit rating assigned by a rating agency to us or our unsecured debt or change in the debt markets could cause the liquidity or market value of the Notes to decline significantly.</w:t>
      </w:r>
    </w:p>
    <w:p>
      <w:pPr>
        <w:spacing w:after="0" w:line="5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credit ratings are an assessment by a rating agency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the Notes of any changes in our credit ratings. There can be no assurance that our credit ratings will remain for any given period of time or that such credit ratings will not be lowered or withdrawn entirely by a rating agency if in its judgment future circumstances relating to the basis of the credit ratings, such as adverse changes in our Company, so warrant. An increase in the competitive environment, inability to cover distributions, or increase in leverage could lead to a downgrade in our credit ratings and limit our access to the debt and equity markets capability impairing our ability to grow the business. The conditions of the financial markets and prevailing interest rates have fluctuated in the past and are likely to fluctuate in the future, which could have an adverse effect on the market prices of the Notes.</w:t>
      </w:r>
    </w:p>
    <w:p>
      <w:pPr>
        <w:spacing w:after="0" w:line="289" w:lineRule="exact"/>
        <w:rPr>
          <w:sz w:val="20"/>
          <w:szCs w:val="20"/>
          <w:color w:val="auto"/>
        </w:rPr>
      </w:pPr>
    </w:p>
    <w:p>
      <w:pPr>
        <w:ind w:left="120" w:right="60"/>
        <w:spacing w:after="0" w:line="282" w:lineRule="auto"/>
        <w:rPr>
          <w:sz w:val="20"/>
          <w:szCs w:val="20"/>
          <w:color w:val="auto"/>
        </w:rPr>
      </w:pPr>
      <w:r>
        <w:rPr>
          <w:rFonts w:ascii="Arial" w:cs="Arial" w:eastAsia="Arial" w:hAnsi="Arial"/>
          <w:sz w:val="18"/>
          <w:szCs w:val="18"/>
          <w:b w:val="1"/>
          <w:bCs w:val="1"/>
          <w:color w:val="auto"/>
        </w:rPr>
        <w:t>There are material limitations with making available preliminary estimates of our financial results for the quarter ended March 31, 2021 prior to the completion of our and our auditors’ financial review procedures for such period.</w:t>
      </w:r>
    </w:p>
    <w:p>
      <w:pPr>
        <w:spacing w:after="0" w:line="58"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The preliminary financial estimates contained in “</w:t>
      </w:r>
      <w:r>
        <w:rPr>
          <w:rFonts w:ascii="Arial" w:cs="Arial" w:eastAsia="Arial" w:hAnsi="Arial"/>
          <w:sz w:val="17"/>
          <w:szCs w:val="17"/>
          <w:i w:val="1"/>
          <w:iCs w:val="1"/>
          <w:color w:val="auto"/>
        </w:rPr>
        <w:t>Prospectus Supplement Summary — Recent Developments</w:t>
      </w:r>
      <w:r>
        <w:rPr>
          <w:rFonts w:ascii="Arial" w:cs="Arial" w:eastAsia="Arial" w:hAnsi="Arial"/>
          <w:sz w:val="17"/>
          <w:szCs w:val="17"/>
          <w:color w:val="auto"/>
        </w:rPr>
        <w:t>” are not a comprehensive statement of our financial results for the quarter ended March 31, 2021 and have not been audited, reviewed, compiled, examined or subject to any procedures by our independent registered public accounting firm or any other independent accountants. Our consolidated financial statements for the quarter ended March 31, 2021 will not be available until after this offering is completed and, consequently, will not be available to you prior to making an investment decision. Our actual financial results for the quarter ended March 31, 2021 could differ materially from the preliminary financial estimates we have provided as a result of the completion of our financial closing procedures and related internal controls over financial reporting, final adjustments, execution of our disclosures and procedures and other developments arising between now and the time that our financial results for the quarter ended March 31, 2021 are finalized. The preliminary financial data included herein has been prepared by, and is the responsibility of, management. Our independent registered public accounting firm has not audited, reviewed, compiled, examined or performed any procedures with respect to such preliminary estimates, and, accordingly, does not express an opinion or any other form of assurance with respect thereto. Our final results of operations will include financial information not included in this prospectus supplement, including, for example, a schedule of investments and industry information on our portfolio.</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00"/>
          </w:cols>
          <w:pgMar w:left="320" w:top="459" w:right="47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3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000" w:type="dxa"/>
            <w:vAlign w:val="bottom"/>
          </w:tcPr>
          <w:p>
            <w:pPr>
              <w:spacing w:after="0"/>
              <w:rPr>
                <w:sz w:val="17"/>
                <w:szCs w:val="17"/>
                <w:color w:val="auto"/>
              </w:rPr>
            </w:pPr>
          </w:p>
        </w:tc>
      </w:tr>
      <w:tr>
        <w:trPr>
          <w:trHeight w:val="534"/>
        </w:trPr>
        <w:tc>
          <w:tcPr>
            <w:tcW w:w="1360" w:type="dxa"/>
            <w:vAlign w:val="bottom"/>
          </w:tcPr>
          <w:p>
            <w:pPr>
              <w:spacing w:after="0"/>
              <w:rPr>
                <w:sz w:val="24"/>
                <w:szCs w:val="24"/>
                <w:color w:val="auto"/>
              </w:rPr>
            </w:pPr>
          </w:p>
        </w:tc>
        <w:tc>
          <w:tcPr>
            <w:tcW w:w="5700" w:type="dxa"/>
            <w:vAlign w:val="bottom"/>
            <w:gridSpan w:val="2"/>
          </w:tcPr>
          <w:p>
            <w:pPr>
              <w:ind w:left="3420"/>
              <w:spacing w:after="0"/>
              <w:rPr>
                <w:sz w:val="20"/>
                <w:szCs w:val="20"/>
                <w:color w:val="auto"/>
              </w:rPr>
            </w:pPr>
            <w:r>
              <w:rPr>
                <w:rFonts w:ascii="Arial" w:cs="Arial" w:eastAsia="Arial" w:hAnsi="Arial"/>
                <w:sz w:val="18"/>
                <w:szCs w:val="18"/>
                <w:b w:val="1"/>
                <w:bCs w:val="1"/>
                <w:color w:val="auto"/>
              </w:rPr>
              <w:t>USE OF PROCEEDS</w:t>
            </w:r>
          </w:p>
        </w:tc>
        <w:tc>
          <w:tcPr>
            <w:tcW w:w="4000" w:type="dxa"/>
            <w:vAlign w:val="bottom"/>
          </w:tcPr>
          <w:p>
            <w:pPr>
              <w:spacing w:after="0"/>
              <w:rPr>
                <w:sz w:val="24"/>
                <w:szCs w:val="24"/>
                <w:color w:val="auto"/>
              </w:rPr>
            </w:pPr>
          </w:p>
        </w:tc>
      </w:tr>
      <w:tr>
        <w:trPr>
          <w:trHeight w:val="418"/>
        </w:trPr>
        <w:tc>
          <w:tcPr>
            <w:tcW w:w="5240" w:type="dxa"/>
            <w:vAlign w:val="bottom"/>
            <w:gridSpan w:val="2"/>
          </w:tcPr>
          <w:p>
            <w:pPr>
              <w:ind w:left="120"/>
              <w:spacing w:after="0"/>
              <w:rPr>
                <w:sz w:val="20"/>
                <w:szCs w:val="20"/>
                <w:color w:val="auto"/>
              </w:rPr>
            </w:pPr>
            <w:r>
              <w:rPr>
                <w:rFonts w:ascii="Arial" w:cs="Arial" w:eastAsia="Arial" w:hAnsi="Arial"/>
                <w:sz w:val="18"/>
                <w:szCs w:val="18"/>
                <w:color w:val="auto"/>
                <w:w w:val="94"/>
              </w:rPr>
              <w:t>We estimate that the net proceeds we will receive from the sale of $</w:t>
            </w:r>
          </w:p>
        </w:tc>
        <w:tc>
          <w:tcPr>
            <w:tcW w:w="5820" w:type="dxa"/>
            <w:vAlign w:val="bottom"/>
            <w:gridSpan w:val="2"/>
          </w:tcPr>
          <w:p>
            <w:pPr>
              <w:ind w:left="500"/>
              <w:spacing w:after="0"/>
              <w:rPr>
                <w:sz w:val="20"/>
                <w:szCs w:val="20"/>
                <w:color w:val="auto"/>
              </w:rPr>
            </w:pPr>
            <w:r>
              <w:rPr>
                <w:rFonts w:ascii="Arial" w:cs="Arial" w:eastAsia="Arial" w:hAnsi="Arial"/>
                <w:sz w:val="18"/>
                <w:szCs w:val="18"/>
                <w:color w:val="auto"/>
                <w:w w:val="96"/>
              </w:rPr>
              <w:t>million aggregate principal amount of the Notes in this offering will be</w:t>
            </w:r>
          </w:p>
        </w:tc>
      </w:tr>
      <w:tr>
        <w:trPr>
          <w:trHeight w:val="216"/>
        </w:trPr>
        <w:tc>
          <w:tcPr>
            <w:tcW w:w="1360" w:type="dxa"/>
            <w:vAlign w:val="bottom"/>
          </w:tcPr>
          <w:p>
            <w:pPr>
              <w:ind w:left="120"/>
              <w:spacing w:after="0"/>
              <w:rPr>
                <w:sz w:val="20"/>
                <w:szCs w:val="20"/>
                <w:color w:val="auto"/>
              </w:rPr>
            </w:pPr>
            <w:r>
              <w:rPr>
                <w:rFonts w:ascii="Arial" w:cs="Arial" w:eastAsia="Arial" w:hAnsi="Arial"/>
                <w:sz w:val="18"/>
                <w:szCs w:val="18"/>
                <w:color w:val="auto"/>
                <w:w w:val="95"/>
              </w:rPr>
              <w:t>approximately $</w:t>
            </w:r>
          </w:p>
        </w:tc>
        <w:tc>
          <w:tcPr>
            <w:tcW w:w="5700" w:type="dxa"/>
            <w:vAlign w:val="bottom"/>
            <w:gridSpan w:val="2"/>
          </w:tcPr>
          <w:p>
            <w:pPr>
              <w:ind w:left="700"/>
              <w:spacing w:after="0"/>
              <w:rPr>
                <w:sz w:val="20"/>
                <w:szCs w:val="20"/>
                <w:color w:val="auto"/>
              </w:rPr>
            </w:pPr>
            <w:r>
              <w:rPr>
                <w:rFonts w:ascii="Arial" w:cs="Arial" w:eastAsia="Arial" w:hAnsi="Arial"/>
                <w:sz w:val="18"/>
                <w:szCs w:val="18"/>
                <w:color w:val="auto"/>
                <w:w w:val="94"/>
              </w:rPr>
              <w:t>million, based on the underwriters purchasing the Notes from us at</w:t>
            </w:r>
          </w:p>
        </w:tc>
        <w:tc>
          <w:tcPr>
            <w:tcW w:w="4000" w:type="dxa"/>
            <w:vAlign w:val="bottom"/>
          </w:tcPr>
          <w:p>
            <w:pPr>
              <w:ind w:left="200"/>
              <w:spacing w:after="0"/>
              <w:rPr>
                <w:sz w:val="20"/>
                <w:szCs w:val="20"/>
                <w:color w:val="auto"/>
              </w:rPr>
            </w:pPr>
            <w:r>
              <w:rPr>
                <w:rFonts w:ascii="Arial" w:cs="Arial" w:eastAsia="Arial" w:hAnsi="Arial"/>
                <w:sz w:val="18"/>
                <w:szCs w:val="18"/>
                <w:color w:val="auto"/>
                <w:w w:val="90"/>
              </w:rPr>
              <w:t>% of the aggregate principal amount, after deducting</w:t>
            </w:r>
          </w:p>
        </w:tc>
      </w:tr>
      <w:tr>
        <w:trPr>
          <w:trHeight w:val="230"/>
        </w:trPr>
        <w:tc>
          <w:tcPr>
            <w:tcW w:w="5240" w:type="dxa"/>
            <w:vAlign w:val="bottom"/>
            <w:gridSpan w:val="2"/>
          </w:tcPr>
          <w:p>
            <w:pPr>
              <w:ind w:left="120"/>
              <w:spacing w:after="0"/>
              <w:rPr>
                <w:sz w:val="20"/>
                <w:szCs w:val="20"/>
                <w:color w:val="auto"/>
              </w:rPr>
            </w:pPr>
            <w:r>
              <w:rPr>
                <w:rFonts w:ascii="Arial" w:cs="Arial" w:eastAsia="Arial" w:hAnsi="Arial"/>
                <w:sz w:val="18"/>
                <w:szCs w:val="18"/>
                <w:color w:val="auto"/>
              </w:rPr>
              <w:t>the underwriting discounts and commissions of approximately $</w:t>
            </w:r>
          </w:p>
        </w:tc>
        <w:tc>
          <w:tcPr>
            <w:tcW w:w="5820" w:type="dxa"/>
            <w:vAlign w:val="bottom"/>
            <w:gridSpan w:val="2"/>
          </w:tcPr>
          <w:p>
            <w:pPr>
              <w:ind w:left="260"/>
              <w:spacing w:after="0"/>
              <w:rPr>
                <w:sz w:val="20"/>
                <w:szCs w:val="20"/>
                <w:color w:val="auto"/>
              </w:rPr>
            </w:pPr>
            <w:r>
              <w:rPr>
                <w:rFonts w:ascii="Arial" w:cs="Arial" w:eastAsia="Arial" w:hAnsi="Arial"/>
                <w:sz w:val="18"/>
                <w:szCs w:val="18"/>
                <w:color w:val="auto"/>
                <w:w w:val="97"/>
              </w:rPr>
              <w:t>million payable by us and estimated offering expenses of approximately</w:t>
            </w:r>
          </w:p>
        </w:tc>
      </w:tr>
    </w:tbl>
    <w:p>
      <w:pPr>
        <w:ind w:left="980" w:hanging="86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payable by us.</w:t>
      </w:r>
    </w:p>
    <w:p>
      <w:pPr>
        <w:spacing w:after="0" w:line="21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expect to use the net proceeds from this offering to reduce outstanding obligations under the Truist Credit Facility, to invest in new or existing portfolio companies or for other general corporate or strategic purposes. Affiliates of certain of the underwriters serve as lenders under the Truist Credit Facility. Accordingly, affiliates of certain of the underwriters are expected to receive proceeds from this offering that are used to reduce our outstanding obligations under the Truist Credit Facility.</w:t>
      </w:r>
    </w:p>
    <w:p>
      <w:pPr>
        <w:spacing w:after="0" w:line="18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As of December 31, 2020, we had approximately $355.5 million in outstanding borrowings under the Truist Credit Facility. The Truist Credit Facility had a weighted average interest rate of 2.4%, exclusive of the fee on undrawn commitments as of December 31, 2020. The Truist Credit Facility has a stated maturity date of September 4, 2024 ($40.0 million of the $475 million commitment will mature May 25, 2022), a one-year term-out period on September 4, 2023 ($40.0 million of the $475 million commitment has a one year term-out period on May 25, 2021) and bear interest at an annual rate equal to LIBOR (or an alternative risk-free interest rate index) plus 225 basis points. The Truist Credit Facility is secured by substantially all of our assets excluding assets held by SBIC II.</w:t>
      </w:r>
    </w:p>
    <w:p>
      <w:pPr>
        <w:spacing w:after="0" w:line="19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 our most recent Quarterly Report on Form 10-Q for more information.</w:t>
      </w:r>
    </w:p>
    <w:p>
      <w:pPr>
        <w:spacing w:after="0" w:line="170"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may invest the net proceeds from this offering in new or existing portfolio companies, and such investments may take up to a year from the closing of this offering, in part because privately negotiated investments in illiquid securities or private middle-market companies require substantial due diligence and structuring. During this period, we may use the net proceeds from this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w:t>
      </w:r>
      <w:r>
        <w:rPr>
          <w:rFonts w:ascii="Arial" w:cs="Arial" w:eastAsia="Arial" w:hAnsi="Arial"/>
          <w:sz w:val="17"/>
          <w:szCs w:val="17"/>
          <w:i w:val="1"/>
          <w:iCs w:val="1"/>
          <w:color w:val="auto"/>
        </w:rPr>
        <w:t>Business—Regulation—Temporary Investments</w:t>
      </w:r>
      <w:r>
        <w:rPr>
          <w:rFonts w:ascii="Arial" w:cs="Arial" w:eastAsia="Arial" w:hAnsi="Arial"/>
          <w:sz w:val="17"/>
          <w:szCs w:val="17"/>
          <w:color w:val="auto"/>
        </w:rPr>
        <w:t>” in our most recently filed Annual Report on Form 10- K for more information.</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060"/>
          </w:cols>
          <w:pgMar w:left="320" w:top="446" w:right="5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Information about our senior securities is shown in the following tables for the fiscal years ended September 30, 2020, 2019, 2018, 2017, 2016, 2015, 2014, 2013, 2012 and 2011. The annual information has been derived from our audited financial statements for each respective period, which have been audited by RSM US LLP, our independent registered public accounting firm. RSM US LLP’s report on the senior securities table as of September 30, 2020 is attached as Exhibit 99.5 to our Annual Report on Form 10-K for the fiscal year ended September 30, 2020. The information as of December 31, 2020 has been derived from our unaudited financial statements for such period and was not audited by RSM US LLP.</w:t>
      </w:r>
    </w:p>
    <w:p>
      <w:pPr>
        <w:spacing w:after="0" w:line="16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Total Amount</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91"/>
              <w:spacing w:after="0"/>
              <w:rPr>
                <w:sz w:val="20"/>
                <w:szCs w:val="20"/>
                <w:color w:val="auto"/>
              </w:rPr>
            </w:pPr>
            <w:r>
              <w:rPr>
                <w:rFonts w:ascii="Arial" w:cs="Arial" w:eastAsia="Arial" w:hAnsi="Arial"/>
                <w:sz w:val="14"/>
                <w:szCs w:val="14"/>
                <w:b w:val="1"/>
                <w:bCs w:val="1"/>
                <w:color w:val="auto"/>
              </w:rPr>
              <w:t>Asset</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148"/>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3600" w:type="dxa"/>
            <w:vAlign w:val="bottom"/>
            <w:vMerge w:val="restart"/>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51"/>
              <w:spacing w:after="0" w:line="149" w:lineRule="exact"/>
              <w:rPr>
                <w:sz w:val="20"/>
                <w:szCs w:val="20"/>
                <w:color w:val="auto"/>
              </w:rPr>
            </w:pPr>
            <w:r>
              <w:rPr>
                <w:rFonts w:ascii="Arial" w:cs="Arial" w:eastAsia="Arial" w:hAnsi="Arial"/>
                <w:sz w:val="14"/>
                <w:szCs w:val="14"/>
                <w:b w:val="1"/>
                <w:bCs w:val="1"/>
                <w:color w:val="auto"/>
                <w:w w:val="93"/>
              </w:rPr>
              <w:t>Coverage</w:t>
            </w:r>
          </w:p>
        </w:tc>
        <w:tc>
          <w:tcPr>
            <w:tcW w:w="1700" w:type="dxa"/>
            <w:vAlign w:val="bottom"/>
            <w:gridSpan w:val="4"/>
          </w:tcPr>
          <w:p>
            <w:pPr>
              <w:jc w:val="right"/>
              <w:ind w:right="280"/>
              <w:spacing w:after="0" w:line="149" w:lineRule="exact"/>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178"/>
        </w:trPr>
        <w:tc>
          <w:tcPr>
            <w:tcW w:w="940" w:type="dxa"/>
            <w:vAlign w:val="bottom"/>
            <w:tcBorders>
              <w:bottom w:val="single" w:sz="8" w:color="auto"/>
            </w:tcBorders>
            <w:vMerge w:val="continue"/>
          </w:tcPr>
          <w:p>
            <w:pPr>
              <w:spacing w:after="0"/>
              <w:rPr>
                <w:sz w:val="15"/>
                <w:szCs w:val="15"/>
                <w:color w:val="auto"/>
              </w:rPr>
            </w:pPr>
          </w:p>
        </w:tc>
        <w:tc>
          <w:tcPr>
            <w:tcW w:w="3600" w:type="dxa"/>
            <w:vAlign w:val="bottom"/>
            <w:vMerge w:val="continue"/>
          </w:tcPr>
          <w:p>
            <w:pPr>
              <w:spacing w:after="0"/>
              <w:rPr>
                <w:sz w:val="15"/>
                <w:szCs w:val="15"/>
                <w:color w:val="auto"/>
              </w:rPr>
            </w:pPr>
          </w:p>
        </w:tc>
        <w:tc>
          <w:tcPr>
            <w:tcW w:w="1560" w:type="dxa"/>
            <w:vAlign w:val="bottom"/>
            <w:gridSpan w:val="3"/>
          </w:tcPr>
          <w:p>
            <w:pPr>
              <w:ind w:left="640"/>
              <w:spacing w:after="0" w:line="158" w:lineRule="exact"/>
              <w:rPr>
                <w:sz w:val="20"/>
                <w:szCs w:val="20"/>
                <w:color w:val="auto"/>
              </w:rPr>
            </w:pPr>
            <w:r>
              <w:rPr>
                <w:rFonts w:ascii="Arial" w:cs="Arial" w:eastAsia="Arial" w:hAnsi="Arial"/>
                <w:sz w:val="14"/>
                <w:szCs w:val="14"/>
                <w:b w:val="1"/>
                <w:bCs w:val="1"/>
                <w:color w:val="auto"/>
                <w:w w:val="92"/>
              </w:rPr>
              <w:t>Outstanding</w:t>
            </w:r>
            <w:r>
              <w:rPr>
                <w:rFonts w:ascii="Arial" w:cs="Arial" w:eastAsia="Arial" w:hAnsi="Arial"/>
                <w:sz w:val="12"/>
                <w:szCs w:val="12"/>
                <w:b w:val="1"/>
                <w:bCs w:val="1"/>
                <w:color w:val="auto"/>
                <w:w w:val="92"/>
              </w:rPr>
              <w:t>(1)</w:t>
            </w:r>
          </w:p>
        </w:tc>
        <w:tc>
          <w:tcPr>
            <w:tcW w:w="146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Per Unit</w:t>
            </w:r>
            <w:r>
              <w:rPr>
                <w:rFonts w:ascii="Arial" w:cs="Arial" w:eastAsia="Arial" w:hAnsi="Arial"/>
                <w:sz w:val="12"/>
                <w:szCs w:val="12"/>
                <w:b w:val="1"/>
                <w:bCs w:val="1"/>
                <w:color w:val="auto"/>
              </w:rPr>
              <w:t>(2), (3)</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rPr>
              <w:t>Per Unit</w:t>
            </w:r>
          </w:p>
        </w:tc>
        <w:tc>
          <w:tcPr>
            <w:tcW w:w="0" w:type="dxa"/>
            <w:vAlign w:val="bottom"/>
          </w:tcPr>
          <w:p>
            <w:pPr>
              <w:spacing w:after="0"/>
              <w:rPr>
                <w:sz w:val="1"/>
                <w:szCs w:val="1"/>
                <w:color w:val="auto"/>
              </w:rPr>
            </w:pPr>
          </w:p>
        </w:tc>
      </w:tr>
      <w:tr>
        <w:trPr>
          <w:trHeight w:val="190"/>
        </w:trPr>
        <w:tc>
          <w:tcPr>
            <w:tcW w:w="45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Truist Credit Facility</w:t>
            </w:r>
          </w:p>
        </w:tc>
        <w:tc>
          <w:tcPr>
            <w:tcW w:w="6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Fiscal 2021 (through December 31, 2020) (unaudited)</w:t>
            </w:r>
          </w:p>
        </w:tc>
        <w:tc>
          <w:tcPr>
            <w:tcW w:w="8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355,545</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2,320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2020</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388,252</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Fiscal 2019</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301,636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2,066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80,520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Fiscal 2017</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79,393</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2,998</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136,864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2,586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Fiscal 2013</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145,500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4,205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240,900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BNP Credit Facility</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Fiscal 2019</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171,000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2,066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2019 Notes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Fiscal 2018</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250,000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2017</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Fiscal 2016</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250,000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2015</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Fiscal 2014</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250,000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3,215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2024 Notes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Fiscal 2021 (through December 31, 2020) (unaudited)</w:t>
            </w:r>
          </w:p>
        </w:tc>
        <w:tc>
          <w:tcPr>
            <w:tcW w:w="8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86,250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2,320</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24.32(4)</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2020</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23.47(4)</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Fiscal 2019</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75,000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2,066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24.87(4)</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2025 Notes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Fiscal 2016</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71,250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24.68(5)</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2015</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25.13(5)</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Fiscal 2014</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71,250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3,215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24.51(5)</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2013</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23" w:lineRule="exact"/>
        <w:rPr>
          <w:rFonts w:ascii="Arial" w:cs="Arial" w:eastAsia="Arial" w:hAnsi="Arial"/>
          <w:sz w:val="18"/>
          <w:szCs w:val="18"/>
          <w:b w:val="1"/>
          <w:bCs w:val="1"/>
          <w:color w:val="auto"/>
        </w:rPr>
      </w:pPr>
    </w:p>
    <w:p>
      <w:pPr>
        <w:ind w:left="540" w:right="180" w:hanging="424"/>
        <w:spacing w:after="0" w:line="250" w:lineRule="auto"/>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1" w:lineRule="exact"/>
        <w:rPr>
          <w:rFonts w:ascii="Arial" w:cs="Arial" w:eastAsia="Arial" w:hAnsi="Arial"/>
          <w:sz w:val="18"/>
          <w:szCs w:val="18"/>
          <w:b w:val="1"/>
          <w:bCs w:val="1"/>
          <w:color w:val="auto"/>
        </w:rPr>
      </w:pPr>
    </w:p>
    <w:p>
      <w:pPr>
        <w:ind w:left="540" w:right="300" w:hanging="424"/>
        <w:spacing w:after="0" w:line="260" w:lineRule="auto"/>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These amounts exclude SBA debentures from our total amount outstanding and asset coverage per unit computation pursuant to an exemptive relief letter provided by the SEC in June 2011.</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060"/>
          </w:cols>
          <w:pgMar w:left="320" w:top="459" w:right="5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60" w:hanging="424"/>
        <w:spacing w:after="0" w:line="342" w:lineRule="auto"/>
        <w:tabs>
          <w:tab w:leader="none" w:pos="54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The average market value per unit is derived based on the daily closing price of the 2024 Notes trading on The Nasdaq Global Select Market under the symbol “PNNTG.” The 2024 Notes were issued in increments of $25 per unit and commenced trading on September 30, 2019.</w:t>
      </w:r>
    </w:p>
    <w:p>
      <w:pPr>
        <w:spacing w:after="0" w:line="29" w:lineRule="exact"/>
        <w:rPr>
          <w:rFonts w:ascii="Arial" w:cs="Arial" w:eastAsia="Arial" w:hAnsi="Arial"/>
          <w:sz w:val="16"/>
          <w:szCs w:val="16"/>
          <w:b w:val="1"/>
          <w:bCs w:val="1"/>
          <w:color w:val="auto"/>
        </w:rPr>
      </w:pPr>
    </w:p>
    <w:p>
      <w:pPr>
        <w:ind w:left="540" w:hanging="424"/>
        <w:spacing w:after="0" w:line="263" w:lineRule="auto"/>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average market value per unit is derived based on the monthly average closing price of the 2025 Notes, which were traded on the New York Stock Exchange, or NYSE, under the symbol “PNTA” since issuance. The 2025 Notes were issued in increments of $25 per unit. On June 29, 2017, the 2025 Notes were redeemed in full.</w:t>
      </w:r>
    </w:p>
    <w:p>
      <w:pPr>
        <w:spacing w:after="0" w:line="1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our cash and capitalization on December 31, 2020 (1) on an actual basis and (2) on an as-adjusted basis to reflect the</w:t>
      </w:r>
    </w:p>
    <w:p>
      <w:pPr>
        <w:spacing w:after="0" w:line="46" w:lineRule="exact"/>
        <w:rPr>
          <w:sz w:val="20"/>
          <w:szCs w:val="20"/>
          <w:color w:val="auto"/>
        </w:rPr>
      </w:pPr>
    </w:p>
    <w:p>
      <w:pPr>
        <w:ind w:left="120" w:right="20"/>
        <w:spacing w:after="0" w:line="265" w:lineRule="auto"/>
        <w:rPr>
          <w:sz w:val="20"/>
          <w:szCs w:val="20"/>
          <w:color w:val="auto"/>
        </w:rPr>
      </w:pPr>
      <w:r>
        <w:rPr>
          <w:rFonts w:ascii="Arial" w:cs="Arial" w:eastAsia="Arial" w:hAnsi="Arial"/>
          <w:sz w:val="17"/>
          <w:szCs w:val="17"/>
          <w:color w:val="auto"/>
        </w:rPr>
        <w:t>effects of the sale of $ million aggregate principal amount of Notes in this offering based on the underwriters purchasing the Notes from us at % of the aggregate principal amount, after deducting the underwriting discounts and commissions of $ million payable by us and estimated offering expenses of approximately $ payable by us. The as-adjusted information is illustrative only; our capitalization following the</w:t>
      </w:r>
    </w:p>
    <w:p>
      <w:pPr>
        <w:ind w:left="120" w:right="140"/>
        <w:spacing w:after="0" w:line="253" w:lineRule="auto"/>
        <w:rPr>
          <w:sz w:val="20"/>
          <w:szCs w:val="20"/>
          <w:color w:val="auto"/>
        </w:rPr>
      </w:pPr>
      <w:r>
        <w:rPr>
          <w:rFonts w:ascii="Arial" w:cs="Arial" w:eastAsia="Arial" w:hAnsi="Arial"/>
          <w:sz w:val="18"/>
          <w:szCs w:val="18"/>
          <w:color w:val="auto"/>
        </w:rPr>
        <w:t>completion of this offering is subject to further adjustments, such as the potential repayment of certain of the amounts borrowed under the Truist Credit Facility. You should read this table together with “</w:t>
      </w:r>
      <w:r>
        <w:rPr>
          <w:rFonts w:ascii="Arial" w:cs="Arial" w:eastAsia="Arial" w:hAnsi="Arial"/>
          <w:sz w:val="18"/>
          <w:szCs w:val="18"/>
          <w:i w:val="1"/>
          <w:iCs w:val="1"/>
          <w:color w:val="auto"/>
        </w:rPr>
        <w:t>Use of Proceeds</w:t>
      </w:r>
      <w:r>
        <w:rPr>
          <w:rFonts w:ascii="Arial" w:cs="Arial" w:eastAsia="Arial" w:hAnsi="Arial"/>
          <w:sz w:val="18"/>
          <w:szCs w:val="18"/>
          <w:color w:val="auto"/>
        </w:rPr>
        <w:t>” set forth in this prospectus supplement. You should also read this table with our Consolidated Financial Statements and related notes thereto, in conjunction with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w:t>
      </w:r>
      <w:r>
        <w:rPr>
          <w:rFonts w:ascii="Arial" w:cs="Arial" w:eastAsia="Arial" w:hAnsi="Arial"/>
          <w:sz w:val="18"/>
          <w:szCs w:val="18"/>
          <w:color w:val="auto"/>
        </w:rPr>
        <w:t>” in our most recent Quarterly Report on Form 10-Q for more information.</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4"/>
          </w:tcPr>
          <w:p>
            <w:pPr>
              <w:ind w:left="180"/>
              <w:spacing w:after="0"/>
              <w:rPr>
                <w:sz w:val="20"/>
                <w:szCs w:val="20"/>
                <w:color w:val="auto"/>
              </w:rPr>
            </w:pPr>
            <w:r>
              <w:rPr>
                <w:rFonts w:ascii="Arial" w:cs="Arial" w:eastAsia="Arial" w:hAnsi="Arial"/>
                <w:sz w:val="18"/>
                <w:szCs w:val="18"/>
                <w:b w:val="1"/>
                <w:bCs w:val="1"/>
                <w:color w:val="auto"/>
              </w:rPr>
              <w:t>As of December 31, 2020</w:t>
            </w:r>
          </w:p>
        </w:tc>
      </w:tr>
      <w:tr>
        <w:trPr>
          <w:trHeight w:val="234"/>
        </w:trPr>
        <w:tc>
          <w:tcPr>
            <w:tcW w:w="1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4"/>
          </w:tcPr>
          <w:p>
            <w:pPr>
              <w:ind w:left="680"/>
              <w:spacing w:after="0"/>
              <w:rPr>
                <w:sz w:val="20"/>
                <w:szCs w:val="20"/>
                <w:color w:val="auto"/>
              </w:rPr>
            </w:pPr>
            <w:r>
              <w:rPr>
                <w:rFonts w:ascii="Arial" w:cs="Arial" w:eastAsia="Arial" w:hAnsi="Arial"/>
                <w:sz w:val="18"/>
                <w:szCs w:val="18"/>
                <w:b w:val="1"/>
                <w:bCs w:val="1"/>
                <w:color w:val="auto"/>
              </w:rPr>
              <w:t>(unaudited)</w:t>
            </w:r>
          </w:p>
        </w:tc>
      </w:tr>
      <w:tr>
        <w:trPr>
          <w:trHeight w:val="209"/>
        </w:trPr>
        <w:tc>
          <w:tcPr>
            <w:tcW w:w="14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Actual</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As adjusted</w:t>
            </w:r>
          </w:p>
        </w:tc>
        <w:tc>
          <w:tcPr>
            <w:tcW w:w="80" w:type="dxa"/>
            <w:vAlign w:val="bottom"/>
          </w:tcPr>
          <w:p>
            <w:pPr>
              <w:spacing w:after="0"/>
              <w:rPr>
                <w:sz w:val="18"/>
                <w:szCs w:val="18"/>
                <w:color w:val="auto"/>
              </w:rPr>
            </w:pPr>
          </w:p>
        </w:tc>
      </w:tr>
      <w:tr>
        <w:trPr>
          <w:trHeight w:val="210"/>
        </w:trPr>
        <w:tc>
          <w:tcPr>
            <w:tcW w:w="4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6"/>
              </w:rPr>
              <w:t>Cash and cash equivalents (cost—$20,114,225 and $</w:t>
            </w:r>
          </w:p>
        </w:tc>
        <w:tc>
          <w:tcPr>
            <w:tcW w:w="40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respectively)</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20,157,299</w:t>
            </w:r>
          </w:p>
        </w:tc>
        <w:tc>
          <w:tcPr>
            <w:tcW w:w="4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b w:val="1"/>
                <w:bCs w:val="1"/>
                <w:color w:val="auto"/>
              </w:rPr>
              <w:t>Debt</w:t>
            </w:r>
          </w:p>
        </w:tc>
        <w:tc>
          <w:tcPr>
            <w:tcW w:w="27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Truist Credit Facility payable, at fair value (cost—$355,544,900)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349,104,144</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2024 Notes payable, net (par—$86,250,000)</w:t>
            </w:r>
          </w:p>
        </w:tc>
        <w:tc>
          <w:tcPr>
            <w:tcW w:w="4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84,003,935</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SBA debentures payable, net (par—$118,500,000)</w:t>
            </w:r>
          </w:p>
        </w:tc>
        <w:tc>
          <w:tcPr>
            <w:tcW w:w="4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115,862,617</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Notes (par—$</w:t>
            </w:r>
          </w:p>
        </w:tc>
        <w:tc>
          <w:tcPr>
            <w:tcW w:w="2700" w:type="dxa"/>
            <w:vAlign w:val="bottom"/>
          </w:tcPr>
          <w:p>
            <w:pPr>
              <w:jc w:val="right"/>
              <w:ind w:right="2270"/>
              <w:spacing w:after="0"/>
              <w:rPr>
                <w:sz w:val="20"/>
                <w:szCs w:val="20"/>
                <w:color w:val="auto"/>
              </w:rPr>
            </w:pPr>
            <w:r>
              <w:rPr>
                <w:rFonts w:ascii="Arial" w:cs="Arial" w:eastAsia="Arial" w:hAnsi="Arial"/>
                <w:sz w:val="18"/>
                <w:szCs w:val="18"/>
                <w:color w:val="auto"/>
              </w:rPr>
              <w:t>)</w:t>
            </w:r>
          </w:p>
        </w:tc>
        <w:tc>
          <w:tcPr>
            <w:tcW w:w="4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w:t>
            </w:r>
          </w:p>
        </w:tc>
        <w:tc>
          <w:tcPr>
            <w:tcW w:w="270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180" w:type="dxa"/>
            <w:vAlign w:val="bottom"/>
            <w:gridSpan w:val="3"/>
          </w:tcPr>
          <w:p>
            <w:pPr>
              <w:spacing w:after="0" w:line="201" w:lineRule="exact"/>
              <w:rPr>
                <w:sz w:val="20"/>
                <w:szCs w:val="20"/>
                <w:color w:val="auto"/>
              </w:rPr>
            </w:pPr>
            <w:r>
              <w:rPr>
                <w:rFonts w:ascii="Arial" w:cs="Arial" w:eastAsia="Arial" w:hAnsi="Arial"/>
                <w:sz w:val="18"/>
                <w:szCs w:val="18"/>
                <w:color w:val="auto"/>
                <w:w w:val="91"/>
              </w:rPr>
              <w:t>Common stock, 67,045,105 shares issued and outstanding, Par value $0.001 per share and 100,000,000 shares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460" w:type="dxa"/>
            <w:vAlign w:val="bottom"/>
          </w:tcPr>
          <w:p>
            <w:pPr>
              <w:ind w:left="180"/>
              <w:spacing w:after="0"/>
              <w:rPr>
                <w:sz w:val="20"/>
                <w:szCs w:val="20"/>
                <w:color w:val="auto"/>
              </w:rPr>
            </w:pPr>
            <w:r>
              <w:rPr>
                <w:rFonts w:ascii="Arial" w:cs="Arial" w:eastAsia="Arial" w:hAnsi="Arial"/>
                <w:sz w:val="18"/>
                <w:szCs w:val="18"/>
                <w:color w:val="auto"/>
              </w:rPr>
              <w:t>authorized</w:t>
            </w:r>
          </w:p>
        </w:tc>
        <w:tc>
          <w:tcPr>
            <w:tcW w:w="27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67,045</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4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787,625,031</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Accumulated distributable net loss</w:t>
            </w:r>
          </w:p>
        </w:tc>
        <w:tc>
          <w:tcPr>
            <w:tcW w:w="4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(198,894,886)</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270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588,797,190</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r>
      <w:tr>
        <w:trPr>
          <w:trHeight w:val="365"/>
        </w:trPr>
        <w:tc>
          <w:tcPr>
            <w:tcW w:w="14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020" w:type="dxa"/>
            <w:vAlign w:val="bottom"/>
          </w:tcPr>
          <w:p>
            <w:pPr>
              <w:ind w:left="1180"/>
              <w:spacing w:after="0"/>
              <w:rPr>
                <w:sz w:val="20"/>
                <w:szCs w:val="20"/>
                <w:color w:val="auto"/>
              </w:rPr>
            </w:pPr>
            <w:r>
              <w:rPr>
                <w:rFonts w:ascii="Arial" w:cs="Arial" w:eastAsia="Arial" w:hAnsi="Arial"/>
                <w:sz w:val="18"/>
                <w:szCs w:val="18"/>
                <w:color w:val="auto"/>
              </w:rPr>
              <w:t>S-20</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ind w:left="120" w:right="840"/>
        <w:spacing w:after="0" w:line="308" w:lineRule="auto"/>
        <w:rPr>
          <w:sz w:val="20"/>
          <w:szCs w:val="20"/>
          <w:color w:val="auto"/>
        </w:rPr>
      </w:pPr>
      <w:r>
        <w:rPr>
          <w:rFonts w:ascii="Arial" w:cs="Arial" w:eastAsia="Arial" w:hAnsi="Arial"/>
          <w:sz w:val="17"/>
          <w:szCs w:val="17"/>
          <w:i w:val="1"/>
          <w:iCs w:val="1"/>
          <w:color w:val="auto"/>
        </w:rPr>
        <w:t>We will issue the Notes under that certain base indenture, dated as of January 22, 2013, or the base indenture, as supplemented by the fourth supplemental indenture, or the supplemental indenture, to be dated as of the settlement date for the offering of the Notes.</w:t>
      </w:r>
    </w:p>
    <w:p>
      <w:pPr>
        <w:spacing w:after="0" w:line="146"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i w:val="1"/>
          <w:iCs w:val="1"/>
          <w:color w:val="auto"/>
        </w:rPr>
        <w:t>As used in this section, all references to the indenture mean the base indenture as supplemented by the supplemental indenture. The terms of the Notes include those expressly set forth in the indenture and those made part of the indenture by reference to the Trust Indenture Act of 1939, as amended, or the TIA.</w:t>
      </w:r>
    </w:p>
    <w:p>
      <w:pPr>
        <w:spacing w:after="0" w:line="184"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i w:val="1"/>
          <w:iCs w:val="1"/>
          <w:color w:val="auto"/>
        </w:rPr>
        <w:t>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w:t>
      </w:r>
    </w:p>
    <w:p>
      <w:pPr>
        <w:spacing w:after="0" w:line="165"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i w:val="1"/>
          <w:iCs w:val="1"/>
          <w:color w:val="auto"/>
        </w:rPr>
        <w:t>For purposes of this description, references to the “Company,” “we,” “our” or “us” refer only to PennantPark Investment Corporation and not to any of its current or future subsidiaries and references to “subsidiaries” refer only to the Company’s consolidated subsidiaries and exclude any investments held by the Company in the ordinary course of business which are not, under GAAP, consolidated on the financial statements of the Company and its subsidiaries.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w:t>
      </w:r>
    </w:p>
    <w:p>
      <w:pPr>
        <w:spacing w:after="0" w:line="131"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 be the Company’s direct, general, unsecured, unsubordinated obligations;</w:t>
      </w:r>
    </w:p>
    <w:p>
      <w:pPr>
        <w:spacing w:after="0" w:line="131" w:lineRule="exact"/>
        <w:rPr>
          <w:sz w:val="20"/>
          <w:szCs w:val="20"/>
          <w:color w:val="auto"/>
        </w:rPr>
      </w:pPr>
    </w:p>
    <w:p>
      <w:pPr>
        <w:ind w:left="660"/>
        <w:spacing w:after="0"/>
        <w:tabs>
          <w:tab w:leader="none" w:pos="1060" w:val="left"/>
          <w:tab w:leader="none" w:pos="6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will initially be issued in an aggregate principal amount of $</w:t>
      </w:r>
      <w:r>
        <w:rPr>
          <w:sz w:val="20"/>
          <w:szCs w:val="20"/>
          <w:color w:val="auto"/>
        </w:rPr>
        <w:tab/>
      </w:r>
      <w:r>
        <w:rPr>
          <w:rFonts w:ascii="Arial" w:cs="Arial" w:eastAsia="Arial" w:hAnsi="Arial"/>
          <w:sz w:val="13"/>
          <w:szCs w:val="13"/>
          <w:color w:val="auto"/>
        </w:rPr>
        <w:t>;</w:t>
      </w:r>
    </w:p>
    <w:p>
      <w:pPr>
        <w:spacing w:after="0" w:line="131" w:lineRule="exact"/>
        <w:rPr>
          <w:sz w:val="20"/>
          <w:szCs w:val="20"/>
          <w:color w:val="auto"/>
        </w:rPr>
      </w:pPr>
    </w:p>
    <w:p>
      <w:pPr>
        <w:ind w:left="660"/>
        <w:spacing w:after="0"/>
        <w:tabs>
          <w:tab w:leader="none" w:pos="1060" w:val="left"/>
          <w:tab w:leader="none" w:pos="2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will mature on</w:t>
      </w:r>
      <w:r>
        <w:rPr>
          <w:sz w:val="20"/>
          <w:szCs w:val="20"/>
          <w:color w:val="auto"/>
        </w:rPr>
        <w:tab/>
      </w:r>
      <w:r>
        <w:rPr>
          <w:rFonts w:ascii="Arial" w:cs="Arial" w:eastAsia="Arial" w:hAnsi="Arial"/>
          <w:sz w:val="15"/>
          <w:szCs w:val="15"/>
          <w:color w:val="auto"/>
        </w:rPr>
        <w:t>, 2026, unless earlier redeemed or repurchased, as discussed below;</w:t>
      </w:r>
    </w:p>
    <w:p>
      <w:pPr>
        <w:sectPr>
          <w:pgSz w:w="11900" w:h="16838" w:orient="portrait"/>
          <w:cols w:equalWidth="0" w:num="1">
            <w:col w:w="11120"/>
          </w:cols>
          <w:pgMar w:left="320" w:top="459" w:right="459" w:bottom="1440" w:gutter="0" w:footer="0" w:header="0"/>
        </w:sectPr>
      </w:pPr>
    </w:p>
    <w:p>
      <w:pPr>
        <w:spacing w:after="0" w:line="131" w:lineRule="exact"/>
        <w:rPr>
          <w:sz w:val="20"/>
          <w:szCs w:val="20"/>
          <w:color w:val="auto"/>
        </w:rPr>
      </w:pPr>
    </w:p>
    <w:p>
      <w:pPr>
        <w:ind w:left="1080" w:hanging="424"/>
        <w:spacing w:after="0" w:line="34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will bear cash interest from each year, beginning on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260"/>
        <w:spacing w:after="0"/>
        <w:tabs>
          <w:tab w:leader="none" w:pos="2520" w:val="left"/>
          <w:tab w:leader="none" w:pos="6040" w:val="left"/>
          <w:tab w:leader="none" w:pos="7080" w:val="left"/>
        </w:tabs>
        <w:rPr>
          <w:sz w:val="20"/>
          <w:szCs w:val="20"/>
          <w:color w:val="auto"/>
        </w:rPr>
      </w:pPr>
      <w:r>
        <w:rPr>
          <w:rFonts w:ascii="Arial" w:cs="Arial" w:eastAsia="Arial" w:hAnsi="Arial"/>
          <w:sz w:val="18"/>
          <w:szCs w:val="18"/>
          <w:color w:val="auto"/>
        </w:rPr>
        <w:t>, 2021 at an annual rate of</w:t>
      </w:r>
      <w:r>
        <w:rPr>
          <w:sz w:val="20"/>
          <w:szCs w:val="20"/>
          <w:color w:val="auto"/>
        </w:rPr>
        <w:tab/>
      </w:r>
      <w:r>
        <w:rPr>
          <w:rFonts w:ascii="Arial" w:cs="Arial" w:eastAsia="Arial" w:hAnsi="Arial"/>
          <w:sz w:val="18"/>
          <w:szCs w:val="18"/>
          <w:color w:val="auto"/>
        </w:rPr>
        <w:t>% payable semi-annually in arrears on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2021;</w:t>
      </w:r>
    </w:p>
    <w:p>
      <w:pPr>
        <w:spacing w:after="0" w:line="116" w:lineRule="exact"/>
        <w:rPr>
          <w:sz w:val="20"/>
          <w:szCs w:val="20"/>
          <w:color w:val="auto"/>
        </w:rPr>
      </w:pPr>
    </w:p>
    <w:p>
      <w:pPr>
        <w:sectPr>
          <w:pgSz w:w="11900" w:h="16838" w:orient="portrait"/>
          <w:cols w:equalWidth="0" w:num="2">
            <w:col w:w="3060" w:space="500"/>
            <w:col w:w="7560"/>
          </w:cols>
          <w:pgMar w:left="320" w:top="459" w:right="459" w:bottom="1440" w:gutter="0" w:footer="0" w:header="0"/>
          <w:type w:val="continuous"/>
        </w:sect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will be subject to redemption at the Company’s option as described under “ </w:t>
      </w:r>
      <w:r>
        <w:rPr>
          <w:rFonts w:ascii="Arial" w:cs="Arial" w:eastAsia="Arial" w:hAnsi="Arial"/>
          <w:sz w:val="18"/>
          <w:szCs w:val="18"/>
          <w:i w:val="1"/>
          <w:iCs w:val="1"/>
          <w:color w:val="auto"/>
        </w:rPr>
        <w:t>—Optional Redemption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100" w:hanging="424"/>
        <w:spacing w:after="0" w:line="286"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will be subject to repurchase by the Company at the option of the holders following a Change of Control Repurchase Event (as defined below under “ </w:t>
      </w:r>
      <w:r>
        <w:rPr>
          <w:rFonts w:ascii="Arial" w:cs="Arial" w:eastAsia="Arial" w:hAnsi="Arial"/>
          <w:sz w:val="17"/>
          <w:szCs w:val="17"/>
          <w:i w:val="1"/>
          <w:iCs w:val="1"/>
          <w:color w:val="auto"/>
        </w:rPr>
        <w:t>—Offer to Repurchase Upon a Change of Control Repurchase Event</w:t>
      </w:r>
      <w:r>
        <w:rPr>
          <w:rFonts w:ascii="Arial" w:cs="Arial" w:eastAsia="Arial" w:hAnsi="Arial"/>
          <w:sz w:val="17"/>
          <w:szCs w:val="17"/>
          <w:color w:val="auto"/>
        </w:rPr>
        <w:t xml:space="preserve">”), at a repurchase price equal to 100% of the principal amount of the Notes to be repurchased,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and unpaid interest to, but excluding, the date of repurchase;</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be issued in denominations of $2,000 and integral multiples of $1,000 in excess thereof; and</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will be represented by one or more registered Notes in global form, but in certain limited circumstances may be represented by Notes in definitive form. See “ </w:t>
      </w:r>
      <w:r>
        <w:rPr>
          <w:rFonts w:ascii="Arial" w:cs="Arial" w:eastAsia="Arial" w:hAnsi="Arial"/>
          <w:sz w:val="18"/>
          <w:szCs w:val="18"/>
          <w:i w:val="1"/>
          <w:iCs w:val="1"/>
          <w:color w:val="auto"/>
        </w:rPr>
        <w:t>—Book-Entry, Settlement and Clearance</w:t>
      </w:r>
      <w:r>
        <w:rPr>
          <w:rFonts w:ascii="Arial" w:cs="Arial" w:eastAsia="Arial" w:hAnsi="Arial"/>
          <w:sz w:val="18"/>
          <w:szCs w:val="18"/>
          <w:color w:val="auto"/>
        </w:rPr>
        <w:t>”.</w:t>
      </w:r>
    </w:p>
    <w:p>
      <w:pPr>
        <w:spacing w:after="0" w:line="170"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 xml:space="preserve">The indenture does not limit the amount of debt that may be issued by the Company or its subsidiaries under the indenture or otherwise. The indenture does not contain any financial covenants and does not restrict us from paying dividends or issuing or repurchasing its other securities. Other than restrictions described under “ </w:t>
      </w:r>
      <w:r>
        <w:rPr>
          <w:rFonts w:ascii="Arial" w:cs="Arial" w:eastAsia="Arial" w:hAnsi="Arial"/>
          <w:sz w:val="17"/>
          <w:szCs w:val="17"/>
          <w:i w:val="1"/>
          <w:iCs w:val="1"/>
          <w:color w:val="auto"/>
        </w:rPr>
        <w:t>—Offer to Repurchase Upon a Change of Control Repurchase Event</w:t>
      </w:r>
      <w:r>
        <w:rPr>
          <w:rFonts w:ascii="Arial" w:cs="Arial" w:eastAsia="Arial" w:hAnsi="Arial"/>
          <w:sz w:val="17"/>
          <w:szCs w:val="17"/>
          <w:color w:val="auto"/>
        </w:rPr>
        <w:t xml:space="preserve">” and “ </w:t>
      </w:r>
      <w:r>
        <w:rPr>
          <w:rFonts w:ascii="Arial" w:cs="Arial" w:eastAsia="Arial" w:hAnsi="Arial"/>
          <w:sz w:val="17"/>
          <w:szCs w:val="17"/>
          <w:i w:val="1"/>
          <w:iCs w:val="1"/>
          <w:color w:val="auto"/>
        </w:rPr>
        <w:t>—Merger, Consolidation or Sale of Assets</w:t>
      </w:r>
      <w:r>
        <w:rPr>
          <w:rFonts w:ascii="Arial" w:cs="Arial" w:eastAsia="Arial" w:hAnsi="Arial"/>
          <w:sz w:val="17"/>
          <w:szCs w:val="17"/>
          <w:color w:val="auto"/>
        </w:rPr>
        <w:t>” below, the indenture does not contain any covenants or other provisions designed to afford holders of the Notes protection in the event of a highly leveraged transaction involving the Company or in the event of a decline in our credit rating as the result of a takeover, recapitalization, highly leveraged transaction or similar restructuring involving the Company that could adversely affect such holders. We may, without the consent of the holders, issue additional Notes under the indenture with the same terms (except that the offering price, the first payment date and the date from which interest may accrue may be different) in an unlimited aggregate principal amount;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9" w:right="45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such additional Notes must be part of the same issue as the Notes offered hereby for U.S. federal income tax purposes if represented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CUSIP number as the Notes offered hereby.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do not intend to list the Notes on any securities exchange or any automated dealer quotation system.</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Payments on the Notes; Paying Agent and Registrar; Transfer and Exchange</w:t>
      </w:r>
    </w:p>
    <w:p>
      <w:pPr>
        <w:spacing w:after="0" w:line="121"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We will pay the principal of, and interest on, Notes in global form registered in the name of or held by DTC or its nominee in immediately available funds to DTC or its nominee, as the case may be, as the registered holder of such Global Note (as defined below).</w:t>
      </w:r>
    </w:p>
    <w:p>
      <w:pPr>
        <w:spacing w:after="0" w:line="146"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 xml:space="preserve">Payment of principal of (and premium, if any) and any such interest on the Notes will be made at the corporate trust office of the paying agent, which initially will be the trustee, in such coin or currency of the United States of America as at the time of payment is legal tender for payment of public and private debts;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case of Notes that are not in global form, at our option, payment of interest may be made by check mailed to the address of the person entitled thereto as such address will appear in the security register.</w:t>
      </w:r>
    </w:p>
    <w:p>
      <w:pPr>
        <w:spacing w:after="0" w:line="17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 holder of Notes may transfer or exchange Notes at the office of the registrar in accordance with the indenture. A holder may be required, among other things, to furnish appropriate endorsements and transfer documents. No service charge will be imposed by us, the trustee or the registrar for any registration of transfer or exchange of Notes, but we may require a holder to pay a sum sufficient to cover any transfer tax or other similar governmental charge required by law or permitted by the indenture.</w:t>
      </w:r>
    </w:p>
    <w:p>
      <w:pPr>
        <w:spacing w:after="0" w:line="187"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The transferor will provide to the trustee all information reasonably requested by the trustee that is necessary to allow the trustee to comply with any applicable tax reporting obligations, including without limitation any cost basis reporting obligations under Section 6045 of the Code. The trustee may rely on the information provided to it and will have no responsibility to verify or ensure the accuracy of such information.</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registered holder of the Notes will be treated as its owner for all purposes.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w:t>
      </w:r>
    </w:p>
    <w:p>
      <w:pPr>
        <w:sectPr>
          <w:pgSz w:w="11900" w:h="16838" w:orient="portrait"/>
          <w:cols w:equalWidth="0" w:num="1">
            <w:col w:w="11120"/>
          </w:cols>
          <w:pgMar w:left="320" w:top="459" w:right="459" w:bottom="1440" w:gutter="0" w:footer="0" w:header="0"/>
        </w:sectPr>
      </w:pP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Notes will bear cash interest at a rate of % per year until maturity. Interest on the Notes will accrue from recent date on which interest has been paid or duly provided for. Interest will be payable semiannually in arrears on beginning on , 2021.</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 2021 or from the most</w:t>
      </w:r>
    </w:p>
    <w:p>
      <w:pPr>
        <w:spacing w:after="0" w:line="23" w:lineRule="exact"/>
        <w:rPr>
          <w:sz w:val="20"/>
          <w:szCs w:val="20"/>
          <w:color w:val="auto"/>
        </w:rPr>
      </w:pPr>
    </w:p>
    <w:p>
      <w:pPr>
        <w:ind w:left="100"/>
        <w:spacing w:after="0"/>
        <w:tabs>
          <w:tab w:leader="none" w:pos="1100" w:val="left"/>
        </w:tabs>
        <w:rPr>
          <w:sz w:val="20"/>
          <w:szCs w:val="20"/>
          <w:color w:val="auto"/>
        </w:rPr>
      </w:pPr>
      <w:r>
        <w:rPr>
          <w:rFonts w:ascii="Arial" w:cs="Arial" w:eastAsia="Arial" w:hAnsi="Arial"/>
          <w:sz w:val="15"/>
          <w:szCs w:val="15"/>
          <w:color w:val="auto"/>
        </w:rPr>
        <w:t>and</w:t>
      </w:r>
      <w:r>
        <w:rPr>
          <w:sz w:val="20"/>
          <w:szCs w:val="20"/>
          <w:color w:val="auto"/>
        </w:rPr>
        <w:tab/>
      </w:r>
      <w:r>
        <w:rPr>
          <w:rFonts w:ascii="Arial" w:cs="Arial" w:eastAsia="Arial" w:hAnsi="Arial"/>
          <w:sz w:val="15"/>
          <w:szCs w:val="15"/>
          <w:color w:val="auto"/>
        </w:rPr>
        <w:t>of each year,</w:t>
      </w:r>
    </w:p>
    <w:p>
      <w:pPr>
        <w:spacing w:after="0" w:line="461" w:lineRule="exact"/>
        <w:rPr>
          <w:sz w:val="20"/>
          <w:szCs w:val="20"/>
          <w:color w:val="auto"/>
        </w:rPr>
      </w:pPr>
    </w:p>
    <w:p>
      <w:pPr>
        <w:sectPr>
          <w:pgSz w:w="11900" w:h="16838" w:orient="portrait"/>
          <w:cols w:equalWidth="0" w:num="2">
            <w:col w:w="8420" w:space="660"/>
            <w:col w:w="2040"/>
          </w:cols>
          <w:pgMar w:left="320" w:top="459" w:right="459" w:bottom="1440" w:gutter="0" w:footer="0" w:header="0"/>
          <w:type w:val="continuous"/>
        </w:sectPr>
      </w:pPr>
    </w:p>
    <w:p>
      <w:pPr>
        <w:ind w:left="120" w:right="20"/>
        <w:spacing w:after="0" w:line="263" w:lineRule="auto"/>
        <w:rPr>
          <w:sz w:val="20"/>
          <w:szCs w:val="20"/>
          <w:color w:val="auto"/>
        </w:rPr>
      </w:pPr>
      <w:r>
        <w:rPr>
          <w:rFonts w:ascii="Arial" w:cs="Arial" w:eastAsia="Arial" w:hAnsi="Arial"/>
          <w:sz w:val="18"/>
          <w:szCs w:val="18"/>
          <w:color w:val="auto"/>
        </w:rPr>
        <w:t>Interest will be paid to the person in whose name the Notes is registered at 5:00 p.m. New York City time, or the close of business, on or (whether or not a business day), as the case may be, immediately preceding the relevant interest payment date. Interest on the Notes will be computed on the basis of a 360-day year composed of twelve 30-day months.</w:t>
      </w:r>
    </w:p>
    <w:p>
      <w:pPr>
        <w:spacing w:after="0" w:line="184" w:lineRule="exact"/>
        <w:rPr>
          <w:sz w:val="20"/>
          <w:szCs w:val="20"/>
          <w:color w:val="auto"/>
        </w:rPr>
      </w:pPr>
    </w:p>
    <w:p>
      <w:pPr>
        <w:ind w:left="120" w:right="320"/>
        <w:spacing w:after="0" w:line="257" w:lineRule="auto"/>
        <w:rPr>
          <w:sz w:val="20"/>
          <w:szCs w:val="20"/>
          <w:color w:val="auto"/>
        </w:rPr>
      </w:pPr>
      <w:r>
        <w:rPr>
          <w:rFonts w:ascii="Arial" w:cs="Arial" w:eastAsia="Arial" w:hAnsi="Arial"/>
          <w:sz w:val="18"/>
          <w:szCs w:val="18"/>
          <w:color w:val="auto"/>
        </w:rPr>
        <w:t>If any interest payment date, redemption date, the maturity date or any earlier required repurchase date upon a Change of Control Repurchase Event (defined below) of the Notes falls on a day that is not a business day, the required payment will be made on the next succeeding business day and no interest on such payment will accrue in respect of the delay. The term “business day” means, with respect to any of the Notes, any day other than a Saturday, a Sunday or a day on which banking institutions in New York or the city in which the corporate trust office of the trustee is located are authorized or obligated by law or executive order to close.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 will be the Company’s direct, general unsecured obligations that will rank:</w:t>
      </w:r>
    </w:p>
    <w:p>
      <w:pPr>
        <w:spacing w:after="0" w:line="252" w:lineRule="exact"/>
        <w:rPr>
          <w:sz w:val="20"/>
          <w:szCs w:val="20"/>
          <w:color w:val="auto"/>
        </w:rPr>
      </w:pPr>
    </w:p>
    <w:p>
      <w:pPr>
        <w:ind w:left="1080" w:right="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 right of payment with any existing and future unsecured unsubordinated indebtedness, including approximately $86.3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principal outstanding under our 2024 Notes, as of December 31, 2020;</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9" w:right="45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senior to any of our future indebtedness that expressly states it is subordinated in right of payment to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senior to any series of preferred stock that we may issue in the future;</w:t>
      </w:r>
    </w:p>
    <w:p>
      <w:pPr>
        <w:spacing w:after="0" w:line="130" w:lineRule="exact"/>
        <w:rPr>
          <w:rFonts w:ascii="Arial" w:cs="Arial" w:eastAsia="Arial" w:hAnsi="Arial"/>
          <w:sz w:val="18"/>
          <w:szCs w:val="18"/>
          <w:color w:val="auto"/>
        </w:rPr>
      </w:pPr>
    </w:p>
    <w:p>
      <w:pPr>
        <w:ind w:left="1080" w:right="160" w:hanging="424"/>
        <w:spacing w:after="0" w:line="279"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effectively subordinated in right of payment to all of our existing and future secured indebtedness (including indebtedness that is initially unsecured, but to which we subsequently grant security), to the extent of the value of the assets securing such indebtedness, including approximately $355.5 million aggregate principal amount of borrowings outstanding under the Truist Credit Facility, to the extent of the value of the assets securing the Truist Credit Facility, as of December 31, 2020; and</w:t>
      </w:r>
    </w:p>
    <w:p>
      <w:pPr>
        <w:spacing w:after="0" w:line="76" w:lineRule="exact"/>
        <w:rPr>
          <w:rFonts w:ascii="Arial" w:cs="Arial" w:eastAsia="Arial" w:hAnsi="Arial"/>
          <w:sz w:val="17"/>
          <w:szCs w:val="17"/>
          <w:color w:val="auto"/>
        </w:rPr>
      </w:pPr>
    </w:p>
    <w:p>
      <w:pPr>
        <w:ind w:left="1080" w:right="420" w:hanging="424"/>
        <w:spacing w:after="0" w:line="34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structurally subordinated to all existing and future indebtedness and other obligations of any of our subsidiaries, financing vehicles or similar facilities, including $118.5 million of indebtedness outstanding under our SBA debentures as of December 31, 2020.</w:t>
      </w:r>
    </w:p>
    <w:p>
      <w:pPr>
        <w:spacing w:after="0" w:line="124" w:lineRule="exact"/>
        <w:rPr>
          <w:sz w:val="20"/>
          <w:szCs w:val="20"/>
          <w:color w:val="auto"/>
        </w:rPr>
      </w:pPr>
    </w:p>
    <w:p>
      <w:pPr>
        <w:ind w:left="120" w:right="140"/>
        <w:spacing w:after="0" w:line="287" w:lineRule="auto"/>
        <w:rPr>
          <w:sz w:val="20"/>
          <w:szCs w:val="20"/>
          <w:color w:val="auto"/>
        </w:rPr>
      </w:pPr>
      <w:r>
        <w:rPr>
          <w:rFonts w:ascii="Arial" w:cs="Arial" w:eastAsia="Arial" w:hAnsi="Arial"/>
          <w:sz w:val="16"/>
          <w:szCs w:val="16"/>
          <w:color w:val="auto"/>
        </w:rPr>
        <w:t>As of December 31, 2020, we had approximately $560.3 million of debt outstanding, of which approximately $86.3 million was unsecured and unsubordinated indebtedness, approximately $355.5 million was indebtedness secured by substantially all of our assets (excluding assets held by SBIC II) and $118.5 million was indebtedness secured by all the investment portfolio assets of SBIC II. After giving effect to the issuance of the Notes,</w:t>
      </w:r>
    </w:p>
    <w:p>
      <w:pPr>
        <w:spacing w:after="0" w:line="2" w:lineRule="exact"/>
        <w:rPr>
          <w:sz w:val="20"/>
          <w:szCs w:val="20"/>
          <w:color w:val="auto"/>
        </w:rPr>
      </w:pPr>
    </w:p>
    <w:p>
      <w:pPr>
        <w:ind w:left="120" w:right="300"/>
        <w:spacing w:after="0" w:line="260" w:lineRule="auto"/>
        <w:rPr>
          <w:sz w:val="20"/>
          <w:szCs w:val="20"/>
          <w:color w:val="auto"/>
        </w:rPr>
      </w:pPr>
      <w:r>
        <w:rPr>
          <w:rFonts w:ascii="Arial" w:cs="Arial" w:eastAsia="Arial" w:hAnsi="Arial"/>
          <w:sz w:val="18"/>
          <w:szCs w:val="18"/>
          <w:color w:val="auto"/>
        </w:rPr>
        <w:t>assuming no repayment of amounts owed under the Truist Credit Facility, our total indebtedness would have been approximately $ million aggregate principal amount outstanding as of December 31, 2020.</w:t>
      </w:r>
    </w:p>
    <w:p>
      <w:pPr>
        <w:spacing w:after="0" w:line="185"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As of March 31, 2021, we had approximately $570.3 million of debt outstanding, of which approximately $86.3 million was unsecured and unsubordinated indebtedness, approximately $375.5 million was indebtedness secured by substantially all of our assets (excluding assets held by SBIC II) and $108.5 million was indebtedness secured by all the investment portfolio assets of SBIC II.</w:t>
      </w:r>
    </w:p>
    <w:p>
      <w:pPr>
        <w:spacing w:after="0" w:line="184"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 the event of the Company’s bankruptcy, liquidation, reorganization or other winding up, its assets that secure secured debt will be available to pay obligations on the Notes only after all indebtedness under such secured debt has been repaid in full from such assets. We advise you that there may not be sufficient assets remaining to pay amounts due on any or all the Notes then outstanding.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120" w:right="400"/>
        <w:spacing w:after="0" w:line="308" w:lineRule="auto"/>
        <w:rPr>
          <w:sz w:val="20"/>
          <w:szCs w:val="20"/>
          <w:color w:val="auto"/>
        </w:rPr>
      </w:pPr>
      <w:r>
        <w:rPr>
          <w:rFonts w:ascii="Arial" w:cs="Arial" w:eastAsia="Arial" w:hAnsi="Arial"/>
          <w:sz w:val="17"/>
          <w:szCs w:val="17"/>
          <w:color w:val="auto"/>
        </w:rPr>
        <w:t>We may redeem some or all of the Notes at any time, or from time to time. If we choose to redeem any of the Notes prior to maturity, we will pay a redemption price equal to the greater of the following amounts, plus, in each case, accrued and unpaid interest to the redemption date:</w:t>
      </w:r>
    </w:p>
    <w:p>
      <w:pPr>
        <w:spacing w:after="0" w:line="52"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(exclusive of accrued and unpaid interest to the</w:t>
      </w:r>
    </w:p>
    <w:p>
      <w:pPr>
        <w:spacing w:after="0" w:line="4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date of redemption) on the Notes to be redeemed, discounted to the redemption date on a semi-annual basis (assuming a 360-day year</w:t>
      </w:r>
    </w:p>
    <w:p>
      <w:pPr>
        <w:sectPr>
          <w:pgSz w:w="11900" w:h="16838" w:orient="portrait"/>
          <w:cols w:equalWidth="0" w:num="1">
            <w:col w:w="11120"/>
          </w:cols>
          <w:pgMar w:left="320" w:top="459" w:right="459" w:bottom="1440" w:gutter="0" w:footer="0" w:header="0"/>
        </w:sectPr>
      </w:pPr>
    </w:p>
    <w:p>
      <w:pPr>
        <w:spacing w:after="0" w:line="32" w:lineRule="exact"/>
        <w:rPr>
          <w:sz w:val="20"/>
          <w:szCs w:val="20"/>
          <w:color w:val="auto"/>
        </w:rPr>
      </w:pPr>
    </w:p>
    <w:p>
      <w:pPr>
        <w:ind w:left="1080"/>
        <w:spacing w:after="0"/>
        <w:tabs>
          <w:tab w:leader="none" w:pos="7340" w:val="left"/>
        </w:tabs>
        <w:rPr>
          <w:sz w:val="20"/>
          <w:szCs w:val="20"/>
          <w:color w:val="auto"/>
        </w:rPr>
      </w:pPr>
      <w:r>
        <w:rPr>
          <w:rFonts w:ascii="Arial" w:cs="Arial" w:eastAsia="Arial" w:hAnsi="Arial"/>
          <w:sz w:val="18"/>
          <w:szCs w:val="18"/>
          <w:color w:val="auto"/>
        </w:rPr>
        <w:t>consisting of twelve 30-day months) using the applicable Treasury Rate plus</w:t>
      </w:r>
      <w:r>
        <w:rPr>
          <w:sz w:val="20"/>
          <w:szCs w:val="20"/>
          <w:color w:val="auto"/>
        </w:rPr>
        <w:tab/>
      </w:r>
      <w:r>
        <w:rPr>
          <w:rFonts w:ascii="Arial" w:cs="Arial" w:eastAsia="Arial" w:hAnsi="Arial"/>
          <w:sz w:val="16"/>
          <w:szCs w:val="16"/>
          <w:color w:val="auto"/>
        </w:rPr>
        <w:t>basis points;</w:t>
      </w:r>
    </w:p>
    <w:p>
      <w:pPr>
        <w:sectPr>
          <w:pgSz w:w="11900" w:h="16838" w:orient="portrait"/>
          <w:cols w:equalWidth="0" w:num="1">
            <w:col w:w="11120"/>
          </w:cols>
          <w:pgMar w:left="320" w:top="459" w:right="459" w:bottom="1440" w:gutter="0" w:footer="0" w:header="0"/>
          <w:type w:val="continuous"/>
        </w:sectPr>
      </w:pPr>
    </w:p>
    <w:p>
      <w:pPr>
        <w:spacing w:after="0" w:line="211" w:lineRule="exact"/>
        <w:rPr>
          <w:sz w:val="20"/>
          <w:szCs w:val="20"/>
          <w:color w:val="auto"/>
        </w:rPr>
      </w:pPr>
    </w:p>
    <w:p>
      <w:pPr>
        <w:ind w:left="120"/>
        <w:spacing w:after="0"/>
        <w:tabs>
          <w:tab w:leader="none" w:pos="5560" w:val="left"/>
          <w:tab w:leader="none" w:pos="7960" w:val="left"/>
        </w:tabs>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we redeem any of the Notes on or after</w:t>
      </w:r>
      <w:r>
        <w:rPr>
          <w:sz w:val="20"/>
          <w:szCs w:val="20"/>
          <w:color w:val="auto"/>
        </w:rPr>
        <w:tab/>
      </w:r>
      <w:r>
        <w:rPr>
          <w:rFonts w:ascii="Arial" w:cs="Arial" w:eastAsia="Arial" w:hAnsi="Arial"/>
          <w:sz w:val="18"/>
          <w:szCs w:val="18"/>
          <w:color w:val="auto"/>
        </w:rPr>
        <w:t>, 2026 (the date falling</w:t>
      </w:r>
      <w:r>
        <w:rPr>
          <w:sz w:val="20"/>
          <w:szCs w:val="20"/>
          <w:color w:val="auto"/>
        </w:rPr>
        <w:tab/>
      </w:r>
      <w:r>
        <w:rPr>
          <w:rFonts w:ascii="Arial" w:cs="Arial" w:eastAsia="Arial" w:hAnsi="Arial"/>
          <w:sz w:val="16"/>
          <w:szCs w:val="16"/>
          <w:color w:val="auto"/>
        </w:rPr>
        <w:t>months prior to the maturity date of the</w:t>
      </w:r>
    </w:p>
    <w:p>
      <w:pPr>
        <w:sectPr>
          <w:pgSz w:w="11900" w:h="16838" w:orient="portrait"/>
          <w:cols w:equalWidth="0" w:num="1">
            <w:col w:w="11120"/>
          </w:cols>
          <w:pgMar w:left="320" w:top="459" w:right="459" w:bottom="1440" w:gutter="0" w:footer="0" w:header="0"/>
          <w:type w:val="continuous"/>
        </w:sectPr>
      </w:pPr>
    </w:p>
    <w:p>
      <w:pPr>
        <w:spacing w:after="0" w:line="23"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Notes), the redemption price for the Notes will be equal to 100% of the principal amount of the Notes to be redeemed, plus accrued and unpaid interest, if any, to, but excluding, the date of redemption.</w:t>
      </w:r>
    </w:p>
    <w:p>
      <w:pPr>
        <w:spacing w:after="0" w:line="185"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 xml:space="preserve">If we choose to redeem any of the Notes, we will deliver a notice of redemption to holders of the Notes not less than 30 nor more than 60 days before the redemption date. Any exercise of our option to redeem the Notes will be done in compliance with the 1940 Act. If we are redeeming less than all of the Notes, the particular Notes to be redeemed will be selected by the trustee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to the extent practicable, or, if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is not practicable for any reason, by lot or in such other manner as the Trustee deems fair and appropriate, and in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9" w:right="4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 xml:space="preserve">any case in accordance with the applicable procedures of DTC and in accordance with the 1940 Act as directed by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partial redemption will reduce the portion of the principal amount of the Notes not redeemed to less than $2,000. Unless we default in payment of the redemption price, on and after the redemption date, interest will cease to accrue on the Notes or portions of the Notes called for redemption.</w:t>
      </w:r>
    </w:p>
    <w:p>
      <w:pPr>
        <w:spacing w:after="0" w:line="187" w:lineRule="exact"/>
        <w:rPr>
          <w:sz w:val="20"/>
          <w:szCs w:val="20"/>
          <w:color w:val="auto"/>
        </w:rPr>
      </w:pPr>
    </w:p>
    <w:p>
      <w:pPr>
        <w:jc w:val="both"/>
        <w:ind w:left="120" w:right="140"/>
        <w:spacing w:after="0" w:line="277" w:lineRule="auto"/>
        <w:rPr>
          <w:sz w:val="20"/>
          <w:szCs w:val="20"/>
          <w:color w:val="auto"/>
        </w:rPr>
      </w:pPr>
      <w:r>
        <w:rPr>
          <w:rFonts w:ascii="Arial" w:cs="Arial" w:eastAsia="Arial" w:hAnsi="Arial"/>
          <w:sz w:val="18"/>
          <w:szCs w:val="18"/>
          <w:color w:val="auto"/>
        </w:rPr>
        <w:t>For purposes of calculating the redemption price in connection with the redemption of the Notes, on any redemption date, the following terms have the meanings set forth below:</w:t>
      </w:r>
    </w:p>
    <w:p>
      <w:pPr>
        <w:spacing w:after="0" w:line="170"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7"/>
          <w:szCs w:val="17"/>
          <w:color w:val="auto"/>
        </w:rPr>
        <w:t>“Comparable Treasury Issue” means the United States Treasury security selected by the Reference Treasury Dealer as having a maturity comparable to the remaining term of the Notes to be redeemed that would be utilized, at the time of selection and in accordance with customary financing practice, in pricing new issues of corporate debt securities of comparable maturity to the remaining term of the Notes being redeemed.</w:t>
      </w:r>
    </w:p>
    <w:p>
      <w:pPr>
        <w:spacing w:after="0" w:line="16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“Comparable Treasury Price” means (1) the average of the remaining Reference Treasury Dealer Quotations for the redemption date, after excluding the highest and lowest Reference Treasury Dealer Quotations, or (2) if the Quotation Agent obtains fewer than four such Reference Treasury Dealer Quotations, the average of all such quotations.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“Quotation Agent” means a Reference Treasury Dealer selected by the Company.</w:t>
      </w:r>
    </w:p>
    <w:p>
      <w:pPr>
        <w:spacing w:after="0" w:line="225" w:lineRule="exact"/>
        <w:rPr>
          <w:sz w:val="20"/>
          <w:szCs w:val="20"/>
          <w:color w:val="auto"/>
        </w:rPr>
      </w:pPr>
    </w:p>
    <w:p>
      <w:pPr>
        <w:ind w:left="120" w:right="340"/>
        <w:spacing w:after="0" w:line="301" w:lineRule="auto"/>
        <w:rPr>
          <w:sz w:val="20"/>
          <w:szCs w:val="20"/>
          <w:color w:val="auto"/>
        </w:rPr>
      </w:pPr>
      <w:r>
        <w:rPr>
          <w:rFonts w:ascii="Arial" w:cs="Arial" w:eastAsia="Arial" w:hAnsi="Arial"/>
          <w:sz w:val="16"/>
          <w:szCs w:val="16"/>
          <w:color w:val="auto"/>
        </w:rPr>
        <w:t>“Reference Treasury Dealer” means each of (1) Raymond James &amp; Associates, Inc. or its affiliates which are primary U.S. government securities dealers, (2) a primary U.S. government securities dealer selected by Keefe, Bruyette &amp; Woods, Inc., (3) a primary U.S. government securities dealer selected by Truist Securities, Inc., and their respective successors; provided, however, that if any of the foregoing or its affiliates shall cease to be a primary U.S. government securities dealer in the United States, or a Primary Treasury Dealer, we shall select another Primary Treasury Dealer.</w:t>
      </w:r>
    </w:p>
    <w:p>
      <w:pPr>
        <w:spacing w:after="0" w:line="15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w:t>
      </w:r>
    </w:p>
    <w:p>
      <w:pPr>
        <w:spacing w:after="0" w:line="187"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yield-to-maturity 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us.</w:t>
      </w:r>
    </w:p>
    <w:p>
      <w:pPr>
        <w:spacing w:after="0" w:line="18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All determinations made by any Reference Treasury Dealer, including the Quotation Agent, with respect to determining the redemption price will be final and binding absent manifest error.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Offer to Repurchase Upon a Change of Control Repurchase Event</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If a Change of Control Repurchase Event occurs, unless we have exercised our right to redeem the Notes in full, we will make an offer to each holder of the Notes to repurchase all or any part (in minimum denominations of $2,000 and integral multiples of $1,000 principal amount in excess thereof) of that holder’s Notes at a repurchase price in cash equal to 100% of the aggregate principal amount of Notes repurchased plus any accrued and unpaid interest on the Notes repurchased to the date of purchase. Within 30 days following any Change of Control Repurchase Event or, at our option, prior to any Change of Control, but after the public announcement of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Change of Control, we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will, if sent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its obligations under the Change of Control Repurchase Event provisions of the Notes by virtue of such conflict.</w:t>
      </w:r>
    </w:p>
    <w:p>
      <w:pPr>
        <w:spacing w:after="0" w:line="18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On the Change of Control Repurchase Event payment date, subject to extension if necessary to comply with the provisions of the 1940 Act, we will, to the extent lawful:</w:t>
      </w:r>
    </w:p>
    <w:p>
      <w:pPr>
        <w:spacing w:after="0" w:line="76"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our offer;</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deposit with the paying agent by 11:00 am New York City time, an amount equal to the aggregate purchase price in respect of all Notes or portions of Notes properly tendered; and</w:t>
      </w:r>
    </w:p>
    <w:p>
      <w:pPr>
        <w:spacing w:after="0" w:line="75"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being purchased by us.</w:t>
      </w:r>
    </w:p>
    <w:p>
      <w:pPr>
        <w:spacing w:after="0" w:line="170"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new Note will be in a minimum principal amount of $2,000 or an integral multiple of $1,000 in excess thereof.</w:t>
      </w:r>
    </w:p>
    <w:p>
      <w:pPr>
        <w:spacing w:after="0" w:line="149" w:lineRule="exact"/>
        <w:rPr>
          <w:sz w:val="20"/>
          <w:szCs w:val="20"/>
          <w:color w:val="auto"/>
        </w:rPr>
      </w:pPr>
    </w:p>
    <w:p>
      <w:pPr>
        <w:jc w:val="both"/>
        <w:ind w:left="120" w:right="380"/>
        <w:spacing w:after="0" w:line="263" w:lineRule="auto"/>
        <w:rPr>
          <w:sz w:val="20"/>
          <w:szCs w:val="20"/>
          <w:color w:val="auto"/>
        </w:rPr>
      </w:pPr>
      <w:r>
        <w:rPr>
          <w:rFonts w:ascii="Arial" w:cs="Arial" w:eastAsia="Arial" w:hAnsi="Arial"/>
          <w:sz w:val="18"/>
          <w:szCs w:val="18"/>
          <w:color w:val="auto"/>
        </w:rPr>
        <w:t>We will not be required to make an offer to repurchase the Notes upon a Change of Control Repurchase Event if a third party makes an offer in the manner, at the times and otherwise in compliance with the requirements for an offer made by the Company and such third party purchases all Notes properly tendered and not withdrawn under its offer.</w:t>
      </w:r>
    </w:p>
    <w:p>
      <w:pPr>
        <w:spacing w:after="0" w:line="184"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The source of funds that will be required to repurchase Notes in the event of a Change of Control Repurchase Event will be our available cash or cash generated from its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See “—</w:t>
      </w:r>
      <w:r>
        <w:rPr>
          <w:rFonts w:ascii="Arial" w:cs="Arial" w:eastAsia="Arial" w:hAnsi="Arial"/>
          <w:sz w:val="16"/>
          <w:szCs w:val="16"/>
          <w:i w:val="1"/>
          <w:iCs w:val="1"/>
          <w:color w:val="auto"/>
        </w:rPr>
        <w:t>Ranking</w:t>
      </w:r>
      <w:r>
        <w:rPr>
          <w:rFonts w:ascii="Arial" w:cs="Arial" w:eastAsia="Arial" w:hAnsi="Arial"/>
          <w:sz w:val="16"/>
          <w:szCs w:val="16"/>
          <w:color w:val="auto"/>
        </w:rPr>
        <w:t>” above as well as the documents incorporated by reference herein for a general discussion of our indebtedness. Before making any such repurchase of Notes, we would also have to comply with certain requirements under the Truist Credit Facility, to the extent such requirements remain in effect at such time, or otherwise obtain consent from the lenders under the Truist Credit Facility. Our future debt instruments may contain similar restrictions and provisions. If the holders of the Notes exercise their right to require the Company to repurchase Notes upon a Change of Control Repurchase Event, the financial effect of this repurchase could cause a default under its existing or future debt instruments, even if the Change of Control Repurchase Event itself would not cause a default. It is possible that we will not have sufficient funds at the time of the Change of Control Repurchase Event to make the required repurchase of the Notes or its other debt. See “</w:t>
      </w:r>
      <w:r>
        <w:rPr>
          <w:rFonts w:ascii="Arial" w:cs="Arial" w:eastAsia="Arial" w:hAnsi="Arial"/>
          <w:sz w:val="16"/>
          <w:szCs w:val="16"/>
          <w:i w:val="1"/>
          <w:iCs w:val="1"/>
          <w:color w:val="auto"/>
        </w:rPr>
        <w:t>Risk Factors—Risks Relating to the Notes—We may not be able to repurchase the Notes upon a Change of Control Repurchase Event</w:t>
      </w:r>
      <w:r>
        <w:rPr>
          <w:rFonts w:ascii="Arial" w:cs="Arial" w:eastAsia="Arial" w:hAnsi="Arial"/>
          <w:sz w:val="16"/>
          <w:szCs w:val="16"/>
          <w:color w:val="auto"/>
        </w:rPr>
        <w:t>.”</w:t>
      </w:r>
    </w:p>
    <w:p>
      <w:pPr>
        <w:spacing w:after="0" w:line="172"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 definition of “Change of Control” includes a phrase relating to the direct or indirect sale, transfer, conveyance or other disposition of “all or substantially all” of our properties or assets and those of its subsidiaries taken as a whole. Although there is a limited body of case law interpreting the phrase “substantially all,” there is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no precise, established definition of the phrase under applicable law. Accordingly, the ability of a holder of Notes to require us to repurchase the Notes as a result of a sale, transfer, conveyance or other disposition of less than all of its assets and the assets of its subsidiaries taken as a whole to another person or group may be uncertain.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purposes of the Notes:</w:t>
      </w:r>
    </w:p>
    <w:p>
      <w:pPr>
        <w:spacing w:after="0" w:line="22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 xml:space="preserve">“Below Investment Grade Rating Event” means the Notes are downgraded below Investment Grade by the Rating Agency on any date from the date of the public notice of an arrangement that results in a Change of Control until the end of the 60-day period following public notice of the occurrence of a Change of Control (which period will be extended so long as the rating of the Notes is under publicly announced consideration for possible downgrade by the Rating Agency);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Below Investment Grade Rating Event otherwise arising by virtue of a particular reduction in rating will not be deemed to have occurred in respect of a particular Change of Control (and thus will not be deemed a Below Investment Grade Rating Event for purposes of the definition of Change of Control Repurchase Event hereunder) if the Rating Agency making the reduction in rating to which this definition would otherwise apply does not announce or publicly confirm or inform us in writing that the reduction was the result, in whole or in part, of any event or circumstance comprised of or arising as a result of, or in respect of, the applicable Change of Control (whether or not the applicable Change of Control has occurred at the time of the Below Investment Grade Rating Event).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 of Control” means the occurrence of any of the following:</w:t>
      </w:r>
    </w:p>
    <w:p>
      <w:pPr>
        <w:spacing w:after="0" w:line="131" w:lineRule="exact"/>
        <w:rPr>
          <w:sz w:val="20"/>
          <w:szCs w:val="20"/>
          <w:color w:val="auto"/>
        </w:rPr>
      </w:pPr>
    </w:p>
    <w:p>
      <w:pPr>
        <w:ind w:left="1080" w:right="60" w:hanging="532"/>
        <w:spacing w:after="0" w:line="275"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the direct or indirect sale, lease, transfer, conveyance or other disposition (other than by way of merger or consolidation) in one or a series of related transactions, of all or substantially all of the assets of the Company and its Controlled Subsidiaries taken as a whole to any “person” or “group” (as those terms are used in Section 13(d)(3) of the Exchange Act), other than to any Permitted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the avoidance of doubt, a pledge of assets pursuant to any secured debt instrument of the Company or its Controlled Subsidiaries will not be deemed to be any such sale, lease, transfer, conveyance or disposition;</w:t>
      </w:r>
    </w:p>
    <w:p>
      <w:pPr>
        <w:spacing w:after="0" w:line="81" w:lineRule="exact"/>
        <w:rPr>
          <w:rFonts w:ascii="Arial" w:cs="Arial" w:eastAsia="Arial" w:hAnsi="Arial"/>
          <w:sz w:val="17"/>
          <w:szCs w:val="17"/>
          <w:color w:val="auto"/>
        </w:rPr>
      </w:pPr>
    </w:p>
    <w:p>
      <w:pPr>
        <w:jc w:val="both"/>
        <w:ind w:left="1080" w:right="140" w:hanging="532"/>
        <w:spacing w:after="0" w:line="279"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the Company, measured by voting power rather than number of shares; or</w:t>
      </w:r>
    </w:p>
    <w:p>
      <w:pPr>
        <w:spacing w:after="0" w:line="76" w:lineRule="exact"/>
        <w:rPr>
          <w:rFonts w:ascii="Arial" w:cs="Arial" w:eastAsia="Arial" w:hAnsi="Arial"/>
          <w:sz w:val="17"/>
          <w:szCs w:val="17"/>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approval by our stockholders of any plan or proposal relating to the liquidation or dissolution of the Company.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 of Control Repurchase Event” means the occurrence of a Change of Control and a Below Investment Grade Rating Event.</w:t>
      </w:r>
    </w:p>
    <w:p>
      <w:pPr>
        <w:spacing w:after="0" w:line="225"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color w:val="auto"/>
        </w:rPr>
        <w:t>“Controlled Subsidiary” means any subsidiary of the Company, 50% or more of the outstanding equity interests of which are owned by the Company and its direct or indirect subsidiaries and of which the Company possesses, directly or indirectly, the power to direct or cause the direction of the management or policies, whether through the ownership of voting equity interests, by agreement or otherwise.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“Egan-Jones” means Egan-Jones Ratings Company, Inc. or any successor thereto.</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“Investment Grade” means a rating of BBB- or better by Egan-Jones (or its equivalent under any successor rating categories of Egan-Jones) (or, if such Rating Agency ceases to rate the Notes for reasons outside of our control, the equivalent investment grade credit rating from any Rating Agency selected by us as a replacement Rating Agency).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“Permitted Holders” means (i) the Company and (ii) one or more of the Company’s Controlled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“Rating Agency” means:</w:t>
      </w:r>
    </w:p>
    <w:p>
      <w:pPr>
        <w:spacing w:after="0" w:line="131"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Egan-Jones; and</w:t>
      </w:r>
    </w:p>
    <w:p>
      <w:pPr>
        <w:spacing w:after="0" w:line="130" w:lineRule="exact"/>
        <w:rPr>
          <w:rFonts w:ascii="Arial" w:cs="Arial" w:eastAsia="Arial" w:hAnsi="Arial"/>
          <w:sz w:val="18"/>
          <w:szCs w:val="18"/>
          <w:color w:val="auto"/>
        </w:rPr>
      </w:pPr>
    </w:p>
    <w:p>
      <w:pPr>
        <w:ind w:left="1080" w:right="180" w:hanging="532"/>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Egan-Jones ceases to rate the Notes or fails to make a rating of the Notes publicly available for reasons outside of our control, a “nationally recognized statistical rating organization” as defined in Section 3(a)(62) of the Exchange Act selected by us as a replacement agency for Egan-Jones.</w:t>
      </w:r>
    </w:p>
    <w:p>
      <w:pPr>
        <w:spacing w:after="0" w:line="184"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“Voting Stock”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covenants will apply to the Notes.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The indenture will provide that we will not merge or consolidate with or into any other person (other than a merger of a wholly owned subsidiary into the Company), or sell, transfer, lease, convey or otherwise dispose of all or substantially all our property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avoidance of doubt, a pledge of assets pursuant to any secured debt instrument of the Company or its subsidiaries will not be deemed to be any such sale, transfer, lease, conveyance or disposition;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this covenant will not apply to any sale, transfer, lease, conveyance, or other disposition of all or substantially all of our property to a wholly owned subsidiary of the Company) in any one transaction or series of related transactions unless:</w:t>
      </w:r>
    </w:p>
    <w:p>
      <w:pPr>
        <w:spacing w:after="0" w:line="67" w:lineRule="exact"/>
        <w:rPr>
          <w:sz w:val="20"/>
          <w:szCs w:val="20"/>
          <w:color w:val="auto"/>
        </w:rPr>
      </w:pPr>
    </w:p>
    <w:p>
      <w:pPr>
        <w:ind w:left="1080" w:right="20" w:hanging="424"/>
        <w:spacing w:after="0" w:line="286"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Company is the surviving person, or the Surviving Person (if other than the Company), formed by such merger or consolidation or to which such sale, transfer, lease, conveyance or disposition is made will be a corporation or limited liability company or trust organized and existing under the laws of the United States of America or any state or territory thereof or the District of Columbia;</w:t>
      </w:r>
    </w:p>
    <w:p>
      <w:pPr>
        <w:spacing w:after="0" w:line="70" w:lineRule="exact"/>
        <w:rPr>
          <w:rFonts w:ascii="Arial" w:cs="Arial" w:eastAsia="Arial" w:hAnsi="Arial"/>
          <w:sz w:val="17"/>
          <w:szCs w:val="17"/>
          <w:color w:val="auto"/>
        </w:rPr>
      </w:pPr>
    </w:p>
    <w:p>
      <w:pPr>
        <w:ind w:left="1080" w:hanging="424"/>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Surviving Person (if other than the Company)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the Company;</w:t>
      </w:r>
    </w:p>
    <w:p>
      <w:pPr>
        <w:spacing w:after="0" w:line="92"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or series of related transactions, no default or event of default has occurred and be continuing; and</w:t>
      </w:r>
    </w:p>
    <w:p>
      <w:pPr>
        <w:spacing w:after="0" w:line="75" w:lineRule="exact"/>
        <w:rPr>
          <w:rFonts w:ascii="Arial" w:cs="Arial" w:eastAsia="Arial" w:hAnsi="Arial"/>
          <w:sz w:val="18"/>
          <w:szCs w:val="18"/>
          <w:color w:val="auto"/>
        </w:rPr>
      </w:pPr>
    </w:p>
    <w:p>
      <w:pPr>
        <w:jc w:val="both"/>
        <w:ind w:left="1080" w:right="8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will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w:t>
      </w:r>
    </w:p>
    <w:p>
      <w:pPr>
        <w:spacing w:after="0" w:line="184"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For the purposes of this covenant, the sale, transfer, lease, conveyance or other disposition of all the property of one or more of our subsidiaries, which property, if held by the Company instead of such subsidiaries, would constitute all or substantially all of our property on a consolidated basis, will be deemed to be the transfer of all or substantially all of our property.</w:t>
      </w:r>
    </w:p>
    <w:p>
      <w:pPr>
        <w:spacing w:after="0" w:line="184"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Although there is a limited body of case law interpreting the phrase “substantially all”, there is no precise established definition of the phrase under applicable law. Accordingly, in certain circumstances there may be 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w:t>
      </w:r>
    </w:p>
    <w:p>
      <w:pPr>
        <w:spacing w:after="0" w:line="18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An assumption by any person of obligations under the Notes and the indenture might be deemed for U.S. federal income tax purposes to be an exchange of the Notes for new Notes by the beneficial owners thereof, potentially resulting in recognition of gain or loss for such purposes and possibly other adverse tax consequences to the beneficial owners. Beneficial owners of the Notes should consult their own tax advisors regarding the tax consequences of such an assumption.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Covenants</w:t>
      </w:r>
    </w:p>
    <w:p>
      <w:pPr>
        <w:spacing w:after="0" w:line="131" w:lineRule="exact"/>
        <w:rPr>
          <w:sz w:val="20"/>
          <w:szCs w:val="20"/>
          <w:color w:val="auto"/>
        </w:rPr>
      </w:pPr>
    </w:p>
    <w:p>
      <w:pPr>
        <w:ind w:left="1080" w:right="140" w:hanging="424"/>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agree that for the period of time during which the Notes are outstanding, we will not violate, whether or not the Company is subject thereto, Section 18(a)(1)(A) as modified by Section 61(a) of the 1940 Act or any successor provisions, but giving effect, in either case, to any exemptive relief granted to the Company by the SEC.</w:t>
      </w:r>
    </w:p>
    <w:p>
      <w:pPr>
        <w:spacing w:after="0" w:line="89" w:lineRule="exact"/>
        <w:rPr>
          <w:rFonts w:ascii="Arial" w:cs="Arial" w:eastAsia="Arial" w:hAnsi="Arial"/>
          <w:sz w:val="18"/>
          <w:szCs w:val="18"/>
          <w:color w:val="auto"/>
        </w:rPr>
      </w:pPr>
    </w:p>
    <w:p>
      <w:pPr>
        <w:ind w:left="1080" w:right="20" w:hanging="424"/>
        <w:spacing w:after="0" w:line="271"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at any time, the Company is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its fiscal year end, and unaudited interim consolidated financial statements, within 45 days of its fiscal quarter end (other than its fourth fiscal quarter). All such financial statements will be prepared, in all material respects, in accordance with GAAP, as applicable. Delivery of such financial statements to the trustee is for informational purposes only and the trustee’s receipt of such will not constitute actual or constructive notice of any information contained therein or determinable from information contained therein, including our compliance with any of its covenants hereunder (as to which the trustee is entitled to rely exclusively on officers’ certificates).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three types of changes we can make to the indenture and the Notes issued thereunder.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Requiring Your Approval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First, there are changes that we cannot make to your Notes without your specific approval. The following is a list of those types of changes:</w:t>
      </w:r>
    </w:p>
    <w:p>
      <w:pPr>
        <w:spacing w:after="0" w:line="142"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any amounts due on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 the place (except as otherwise described in the accompanying prospectus or this prospectus supplement) or currency of payment on a debt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modify the subordination provisions in the indenture in a manner that is adverse to outstanding holders of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percentage of holders of the Notes whose consent is needed to modify or amend the indenture;</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percentage of holders of the Notes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Notes. This type is limited to clarifications, establishment of the form or terms of new securities of any series as permitted by the indenture, and certain other changes that would not adversely affect holders of the outstanding Notes in any material respect, including adding additional covenants or event of default. We also do not need any approval to make any change that affects only Notes to be issued under the indenture after the change takes effect.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other change to the indenture and the Notes would require the following approval:</w:t>
      </w:r>
    </w:p>
    <w:p>
      <w:pPr>
        <w:spacing w:after="0" w:line="131"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the change affects only one series of the Notes, it must be approved by the holders of a majority in principal amount of the Notes.</w:t>
      </w:r>
    </w:p>
    <w:p>
      <w:pPr>
        <w:spacing w:after="0" w:line="142" w:lineRule="exact"/>
        <w:rPr>
          <w:rFonts w:ascii="Arial" w:cs="Arial" w:eastAsia="Arial" w:hAnsi="Arial"/>
          <w:sz w:val="17"/>
          <w:szCs w:val="17"/>
          <w:color w:val="auto"/>
        </w:rPr>
      </w:pPr>
    </w:p>
    <w:p>
      <w:pPr>
        <w:ind w:left="1080" w:right="20" w:hanging="424"/>
        <w:spacing w:after="0" w:line="34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the change affects more than one series of the Notes issued under the same indenture, it must be approved by the holders of a majority in aggregate principal amount of all of the Notes affected by the change, with all affected series voting together as one class for this purpose.</w:t>
      </w:r>
    </w:p>
    <w:p>
      <w:pPr>
        <w:spacing w:after="0" w:line="12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holders of a majority in principal amount of a series of debt securities issued under an indenture, or all series, voting together as one class for this purpose, may waive our compliance with some of its covenants in that indenture. However, we cannot obtain a waiver of a payment default or of any of the matters covered by the bullet points included above under “—</w:t>
      </w:r>
      <w:r>
        <w:rPr>
          <w:rFonts w:ascii="Arial" w:cs="Arial" w:eastAsia="Arial" w:hAnsi="Arial"/>
          <w:sz w:val="18"/>
          <w:szCs w:val="18"/>
          <w:i w:val="1"/>
          <w:iCs w:val="1"/>
          <w:color w:val="auto"/>
        </w:rPr>
        <w:t>Changes Requiring Your Approval</w:t>
      </w:r>
      <w:r>
        <w:rPr>
          <w:rFonts w:ascii="Arial" w:cs="Arial" w:eastAsia="Arial" w:hAnsi="Arial"/>
          <w:sz w:val="18"/>
          <w:szCs w:val="18"/>
          <w:color w:val="auto"/>
        </w:rPr>
        <w: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Further Details Concerning Voting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the Notes:</w:t>
      </w:r>
    </w:p>
    <w:p>
      <w:pPr>
        <w:spacing w:after="0" w:line="225" w:lineRule="exact"/>
        <w:rPr>
          <w:sz w:val="20"/>
          <w:szCs w:val="20"/>
          <w:color w:val="auto"/>
        </w:rPr>
      </w:pPr>
    </w:p>
    <w:p>
      <w:pPr>
        <w:jc w:val="both"/>
        <w:ind w:left="120" w:right="260"/>
        <w:spacing w:after="0" w:line="342" w:lineRule="auto"/>
        <w:rPr>
          <w:sz w:val="20"/>
          <w:szCs w:val="20"/>
          <w:color w:val="auto"/>
        </w:rPr>
      </w:pPr>
      <w:r>
        <w:rPr>
          <w:rFonts w:ascii="Arial" w:cs="Arial" w:eastAsia="Arial" w:hAnsi="Arial"/>
          <w:sz w:val="16"/>
          <w:szCs w:val="16"/>
          <w:color w:val="auto"/>
        </w:rPr>
        <w:t>The Notes will not be considered outstanding, and therefore not eligible to vote, if we have deposited or set aside in trust money for their payment or redemption. The Notes will also not be eligible to vote if they have been fully defeased as described later under “—</w:t>
      </w:r>
      <w:r>
        <w:rPr>
          <w:rFonts w:ascii="Arial" w:cs="Arial" w:eastAsia="Arial" w:hAnsi="Arial"/>
          <w:sz w:val="16"/>
          <w:szCs w:val="16"/>
          <w:i w:val="1"/>
          <w:iCs w:val="1"/>
          <w:color w:val="auto"/>
        </w:rPr>
        <w:t>Defeasance—Legal Defeasance.</w:t>
      </w:r>
      <w:r>
        <w:rPr>
          <w:rFonts w:ascii="Arial" w:cs="Arial" w:eastAsia="Arial" w:hAnsi="Arial"/>
          <w:sz w:val="16"/>
          <w:szCs w:val="16"/>
          <w:color w:val="auto"/>
        </w:rPr>
        <w:t>”</w:t>
      </w:r>
    </w:p>
    <w:p>
      <w:pPr>
        <w:spacing w:after="0" w:line="12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approval may be granted or denied if we seek to change the indenture or the Notes or request a waiver.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of the following is an event of default:</w:t>
      </w:r>
    </w:p>
    <w:p>
      <w:pPr>
        <w:spacing w:after="0" w:line="131"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default in the payment of any interest upon any Notes when due and payable and the default continues for a period of 30 days;</w:t>
      </w:r>
    </w:p>
    <w:p>
      <w:pPr>
        <w:spacing w:after="0" w:line="142" w:lineRule="exact"/>
        <w:rPr>
          <w:rFonts w:ascii="Arial" w:cs="Arial" w:eastAsia="Arial" w:hAnsi="Arial"/>
          <w:sz w:val="17"/>
          <w:szCs w:val="17"/>
          <w:color w:val="auto"/>
        </w:rPr>
      </w:pPr>
    </w:p>
    <w:p>
      <w:pPr>
        <w:ind w:left="1080" w:right="36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Note when it becomes due and payable at its maturity, including upon any redemption date or required repurchase date;</w:t>
      </w:r>
    </w:p>
    <w:p>
      <w:pPr>
        <w:spacing w:after="0" w:line="75" w:lineRule="exact"/>
        <w:rPr>
          <w:rFonts w:ascii="Arial" w:cs="Arial" w:eastAsia="Arial" w:hAnsi="Arial"/>
          <w:sz w:val="18"/>
          <w:szCs w:val="18"/>
          <w:color w:val="auto"/>
        </w:rPr>
      </w:pPr>
    </w:p>
    <w:p>
      <w:pPr>
        <w:ind w:left="1080" w:right="20" w:hanging="532"/>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failure for 60 consecutive days after written notice from the trustee or the holders of at least 25% in principal amount of the Notes then outstanding to the Company and the trustee, as applicable, has been received to comply with any of our other agreements contained in the Notes or indenture;</w:t>
      </w:r>
    </w:p>
    <w:p>
      <w:pPr>
        <w:spacing w:after="0" w:line="89" w:lineRule="exact"/>
        <w:rPr>
          <w:rFonts w:ascii="Arial" w:cs="Arial" w:eastAsia="Arial" w:hAnsi="Arial"/>
          <w:sz w:val="18"/>
          <w:szCs w:val="18"/>
          <w:color w:val="auto"/>
        </w:rPr>
      </w:pPr>
    </w:p>
    <w:p>
      <w:pPr>
        <w:ind w:left="1080" w:hanging="532"/>
        <w:spacing w:after="0" w:line="288"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default by the Company or any of its significant subsidiaries, as defined in Article 1, Rule 1-02 of Regulation S-X under the Exchange Act (as applicable to business development companies) (but excluding any subsidiary which is (a) a non-recourse or limited recourse subsidiary, (b) a bankruptcy remote special purpose vehicle or (c) is not consolidated with the Company for purposes of GAAP), with respect to any mortgage, agreement or other instrument under which there may be outstanding, or by which there may be secured or evidenced, any indebtedness for money borrowed in excess of $75 million in the aggregate of the Company and/or any such subsidiary, whether such indebtedness now exists or is hereafter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the Company by the trustee or to the Company and the trustee by the holders of at least 25% in aggregate principal amount of the Notes then outstanding;</w:t>
      </w:r>
    </w:p>
    <w:p>
      <w:pPr>
        <w:spacing w:after="0" w:line="73" w:lineRule="exact"/>
        <w:rPr>
          <w:rFonts w:ascii="Arial" w:cs="Arial" w:eastAsia="Arial" w:hAnsi="Arial"/>
          <w:sz w:val="16"/>
          <w:szCs w:val="16"/>
          <w:color w:val="auto"/>
        </w:rPr>
      </w:pPr>
    </w:p>
    <w:p>
      <w:pPr>
        <w:ind w:left="1080" w:right="80" w:hanging="532"/>
        <w:spacing w:after="0" w:line="286"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Pursuant to Section 18(a)(1)(C)(ii) and Section 61 of the 1940 Act, or any successor provisions, on the last business day of each of 24 consecutive calendar months, any class of securities has an asset coverage (as such term is used in the 1940 Act) of less than 100%, giving effect to any amendments to such provisions of the 1940 Act or to any exemptive relief granted to us by the SEC; and</w:t>
      </w:r>
    </w:p>
    <w:p>
      <w:pPr>
        <w:spacing w:after="0" w:line="70" w:lineRule="exact"/>
        <w:rPr>
          <w:rFonts w:ascii="Arial" w:cs="Arial" w:eastAsia="Arial" w:hAnsi="Arial"/>
          <w:sz w:val="17"/>
          <w:szCs w:val="17"/>
          <w:color w:val="auto"/>
        </w:rPr>
      </w:pPr>
    </w:p>
    <w:p>
      <w:pPr>
        <w:ind w:left="1080" w:right="4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involving the Company occur and remain undischarged or unstayed for a period of 90 days.</w:t>
      </w:r>
    </w:p>
    <w:p>
      <w:pPr>
        <w:spacing w:after="0" w:line="170"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If an event of default occurs and is continuing,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will become immediately due and payable. Notwithstanding the foregoing, in the case of the events of bankruptcy, insolvency or reorganization described in item (6) above, 100% of the principal of and accrued and unpaid interest on the Notes will automatically become due and payable.</w:t>
      </w:r>
    </w:p>
    <w:p>
      <w:pPr>
        <w:spacing w:after="0" w:line="161"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At any time after a declaration of acceleration with respect to the Notes has been made and before a judgment or decree for payment of the money due has been obtained by the trustee, the holders of a majority in principal amount of the outstanding Notes, by written notice to the Company and the trustee, may rescind and annul such 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 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 the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nonpayment of the principal of (or premium, if any, on) or interest on such Notes that have become due solely by such declaration of acceleration, have been cured or waived. No such rescission will affect any subsequent default or impair any right consequent thereon.</w:t>
      </w:r>
    </w:p>
    <w:p>
      <w:pPr>
        <w:spacing w:after="0" w:line="170"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No holder of Notes will have any right to institute any proceeding, judicial or otherwise, with respect to the indenture, or for the appointment of a receiver or trustee, or for any other remedy under the indenture, unless:</w:t>
      </w:r>
    </w:p>
    <w:p>
      <w:pPr>
        <w:spacing w:after="0" w:line="76"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holder has previously given written notice to the trustee of a continuing event of default with respect to the Notes;</w:t>
      </w:r>
    </w:p>
    <w:p>
      <w:pPr>
        <w:spacing w:after="0" w:line="130"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Notes will have made written request to the trustee to institute proceedings in respect of such event of default;</w:t>
      </w:r>
    </w:p>
    <w:p>
      <w:pPr>
        <w:spacing w:after="0" w:line="75"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security or indemnity satisfactory to the trustee against the costs, expenses and liabilities to be incurred in compliance with such request;</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security or indemnity has failed to institute any such proceeding; and</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Notes.</w:t>
      </w:r>
    </w:p>
    <w:p>
      <w:pPr>
        <w:spacing w:after="0" w:line="170"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Notwithstanding any other provision in the indenture, the holder of any Note will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will not be impaired without the consent of such holder.</w:t>
      </w:r>
    </w:p>
    <w:p>
      <w:pPr>
        <w:spacing w:after="0" w:line="171"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 xml:space="preserve">The trustee will be under no obligation to exercise any of the rights or powers vested in it by the indenture at the request or direction of any of the holders of the Notes unless such holders have offered to the trustee security or indemnity satisfactory to the trustee against the costs, expenses and liabilities which might be incurred by it in compliance with such request or direction. Subject to the foregoing, the holders of a majority in principal amount of the outstanding Notes will have the right to direct the time, method and place of conducting any proceeding for any remedy available to the trustee or exercising any trust or power conferred on the trustee with respect to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direction will not be in conflict with any rule of law or with this indenture, (ii) the trustee may take any other action deemed proper by the trustee that is not inconsistent with such direction and</w:t>
      </w:r>
    </w:p>
    <w:p>
      <w:pPr>
        <w:spacing w:after="0" w:line="4" w:lineRule="exact"/>
        <w:rPr>
          <w:sz w:val="20"/>
          <w:szCs w:val="20"/>
          <w:color w:val="auto"/>
        </w:rPr>
      </w:pPr>
    </w:p>
    <w:p>
      <w:pPr>
        <w:jc w:val="both"/>
        <w:ind w:left="120" w:hanging="4"/>
        <w:spacing w:after="0" w:line="255" w:lineRule="auto"/>
        <w:tabs>
          <w:tab w:leader="none" w:pos="4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trustee need not take any action that it determines in good faith may involve it in personal liability or be unjustly prejudicial (it being understood that the trustee does not have an affirmative duty to ascertain whether or not any such directions are unduly prejudicial to such holders) to the holders of Notes not consenting.</w:t>
      </w:r>
    </w:p>
    <w:p>
      <w:pPr>
        <w:spacing w:after="0" w:line="190"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of the Notes, or (ii) in respect of a covenant or provision of the indenture which cannot be modified or amended without the consent of the holder of each outstanding Note affected. Upon any such waiver, such default will cease to exist, and any event of default arising therefrom will be deemed to have been cured, for every purpose, but no such waiver will extend to any subsequent or other default or event of default or impair any right consequent thereto.</w:t>
      </w:r>
    </w:p>
    <w:p>
      <w:pPr>
        <w:spacing w:after="0" w:line="19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are required to deliver to the trustee, within 120 days after the end of each fiscal year, an officers’ certificate stating whether, to the knowledge of the signers, we are in default in the performance of any of the terms, provisions or conditions of the indenture.</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Within 90 days after the occurrence of any default under the indenture with respect to the Notes, the trustee will transmit notice of such default actually known to a responsible officer of the trustee, unless such default has been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 xml:space="preserve">cured or waived;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except in the case of a default in the payment of the principal of (or premium, if any, on) or interest, if any, on any of the Notes, the trustee will be protected in withholding such notice if and so long as it in good faith determines that withholding of such notice is in the interest of the holders of the Notes.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may satisfy and discharge its obligations under the indenture by delivering to the securities registrar for cancellation all outstanding Notes or by depositing with the trustee, in trust, funds in U.S. dollars in an amount sufficient to pay all of the outstanding Notes after the Notes have become due and payable or will become due and payable within one year (or scheduled for redemption within one year). Such discharge is subject to terms contained in the indenture.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 will be subject to covenant defeasance and legal defeasance.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 Defeasance</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If certain conditions are satisfied, we can make the deposit described below and be released from some of the restrictive covenants in the indenture under which the Notes were issued. This is called “covenant defeasance.” In that event, you would lose the protection of those restrictive covenants but would gain the protection of having money and government securities set aside in trust to repay your Notes. In order to achieve covenant defeasance, we must do the following:</w:t>
      </w:r>
    </w:p>
    <w:p>
      <w:pPr>
        <w:spacing w:after="0" w:line="92" w:lineRule="exact"/>
        <w:rPr>
          <w:sz w:val="20"/>
          <w:szCs w:val="20"/>
          <w:color w:val="auto"/>
        </w:rPr>
      </w:pPr>
    </w:p>
    <w:p>
      <w:pPr>
        <w:ind w:left="1080" w:right="40" w:hanging="424"/>
        <w:spacing w:after="0" w:line="311"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deposit in trust for the benefit of all holders of the Notes a combination of money and United States government or United States government agency notes or bonds that will generate enough cash, in the opinion of a nationally recognized investment bank, appraisal firm or firm of independent public accountants, to make interest, principal and any other payments on the Notes on their various due dates.</w:t>
      </w:r>
    </w:p>
    <w:p>
      <w:pPr>
        <w:spacing w:after="0" w:line="54" w:lineRule="exact"/>
        <w:rPr>
          <w:rFonts w:ascii="Arial" w:cs="Arial" w:eastAsia="Arial" w:hAnsi="Arial"/>
          <w:sz w:val="16"/>
          <w:szCs w:val="16"/>
          <w:color w:val="auto"/>
        </w:rPr>
      </w:pPr>
    </w:p>
    <w:p>
      <w:pPr>
        <w:ind w:left="1080" w:right="40" w:hanging="424"/>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deliver to the trustee a legal opinion of our counsel confirming, subject to customary limitations and exclusions, that, under current U.S. federal income tax law, we may make the above deposit without causing you to recognize income, gain, or loss for U.S. federal income tax purposes as a result of such covenant defeasance or to be taxed on the Notes any differently than if we did not make the deposit and repaid the Notes at maturity.</w:t>
      </w:r>
    </w:p>
    <w:p>
      <w:pPr>
        <w:spacing w:after="0" w:line="92"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deliver to the trustee a legal opinion and officers’ certificate stating that all conditions precedent to covenant defeasance have been complied with.</w:t>
      </w:r>
    </w:p>
    <w:p>
      <w:pPr>
        <w:spacing w:after="0" w:line="170"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If we accomplished covenant defeasance, you can still look to us for repayment of the Notes if there were a shortfall in the trust deposit or the trustee is prevented from making payment. For example, if one of the remaining Events of Default occurred (such as our bankruptcy) and the Notes became immediately due and payable, there might be a shortfall. Depending on the event causing the default, you may not be able to obtain payment of the shortfall.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Defeasance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there is a change in U.S. federal tax law, as described below, the Company can legally release itself from all payment and other obligations on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(called “defeasance” or “legal defeasance”) if we put in place the following other arrangements for you to be repaid:</w:t>
      </w:r>
    </w:p>
    <w:p>
      <w:pPr>
        <w:spacing w:after="0" w:line="238" w:lineRule="exact"/>
        <w:rPr>
          <w:sz w:val="20"/>
          <w:szCs w:val="20"/>
          <w:color w:val="auto"/>
        </w:rPr>
      </w:pPr>
    </w:p>
    <w:p>
      <w:pPr>
        <w:ind w:left="1080" w:right="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must deposit in trust for the benefit of all holders of the Notes a combination of money and United States government or United States government agency notes or bonds that will generate enough cash,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40"/>
        <w:spacing w:after="0" w:line="277" w:lineRule="auto"/>
        <w:rPr>
          <w:sz w:val="20"/>
          <w:szCs w:val="20"/>
          <w:color w:val="auto"/>
        </w:rPr>
      </w:pPr>
      <w:r>
        <w:rPr>
          <w:rFonts w:ascii="Arial" w:cs="Arial" w:eastAsia="Arial" w:hAnsi="Arial"/>
          <w:sz w:val="18"/>
          <w:szCs w:val="18"/>
          <w:color w:val="auto"/>
        </w:rPr>
        <w:t>in the opinion of a nationally recognized investment bank, appraisal firm or firm of independent public accountants, to make interest, principal and any other payments on the Notes on their various due dates.</w:t>
      </w:r>
    </w:p>
    <w:p>
      <w:pPr>
        <w:spacing w:after="0" w:line="76" w:lineRule="exact"/>
        <w:rPr>
          <w:sz w:val="20"/>
          <w:szCs w:val="20"/>
          <w:color w:val="auto"/>
        </w:rPr>
      </w:pPr>
    </w:p>
    <w:p>
      <w:pPr>
        <w:ind w:left="1080" w:right="60" w:hanging="424"/>
        <w:spacing w:after="0" w:line="293"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must deliver to the trustee a legal opinion confirming, subject to customary limitations and exclusions, that there has been a change in current U.S. federal tax law or an IRS ruling that allows it to make the above deposit without causing you to recognize income, gain, or loss for U.S. federal income tax purposes as a result of such defeasance or to be taxed on the Notes any differently than if we did not make the deposit and repaid the Notes at maturity. Under current U.S. federal tax law, the deposit and our legal release from the Notes would be treated as though we paid you your share of the cash and notes or bonds at the time the cash and notes or bonds were deposited in trust in exchange for your Notes and you would recognize gain or loss on the Notes at the time of the deposit.</w:t>
      </w:r>
    </w:p>
    <w:p>
      <w:pPr>
        <w:spacing w:after="0" w:line="69" w:lineRule="exact"/>
        <w:rPr>
          <w:rFonts w:ascii="Arial" w:cs="Arial" w:eastAsia="Arial" w:hAnsi="Arial"/>
          <w:sz w:val="16"/>
          <w:szCs w:val="16"/>
          <w:color w:val="auto"/>
        </w:rPr>
      </w:pPr>
    </w:p>
    <w:p>
      <w:pPr>
        <w:ind w:left="1080" w:right="66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defeasance have been complied with.</w:t>
      </w:r>
    </w:p>
    <w:p>
      <w:pPr>
        <w:spacing w:after="0" w:line="170"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If we ever accomplished legal defeasance, as described above, you would have to rely solely on the trust deposit for repayment of the Notes. You could not look to us for repayment in the unlikely event of any shortfall. Conversely, the trust deposit would most likely be protected from claims of our lenders and other creditors if we ever became bankrupt or insolvent.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Trustee</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American Stock Transfer &amp; Trust Company, LLC is the trustee, security registrar and paying agent. American Stock Transfer &amp; Trust Company, LLC, in each of its capacities, including without limitation as trustee, security registrar and paying agent, assumes no responsibility for the accuracy or completeness of the information concerning the Company or its affiliates or any other party contained in this prospectus supplement or the related documents or for any failure by the Company or any other party to disclose events that may have occurred and may affect the significance or accuracy of such information, or for any information provided to it by the Company, including but not limited to settlement amounts and any other information.</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American Stock Transfer &amp; Trust Company, LLC also serves as transfer agent for our common stock and as trustee for the 2024 Notes.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 xml:space="preserve">The Trustee may resign or be removed with respect to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No past, present or future director, officer, employee, incorporator or stockholder of the Company, as such, will have any liability for any obligations of the Company’s under the indenture or the Notes or for any claim based on, in respect of, or by reason of, such obligations or their creation. By accepting any Note, each holder of the Notes will be deemed to waive and release all such liability, and such waiver and release are part of the consideration for the issuance of the Notes.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indenture provides that it and the Notes will be governed by and construed in accordance with the laws of the State of New York.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Settlement and Clearance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Notes</w:t>
      </w:r>
    </w:p>
    <w:p>
      <w:pPr>
        <w:spacing w:after="0" w:line="117"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The Notes will be initially issued in the form of one or more registered Notes in global form, without interest coupons, or the Global Notes. Upon issuance, each of the Global Notes will be deposited with the trustee as custodian for DTC and registered in the name of Cede &amp; Co., as nominee of DTC. Ownership of beneficial interests in a Global Note will be limited to persons who have accounts with DTC, or DTC participants, or persons who hold interests through DTC participants. We expect that under procedures established by DTC:</w:t>
      </w:r>
    </w:p>
    <w:p>
      <w:pPr>
        <w:spacing w:after="0" w:line="77" w:lineRule="exact"/>
        <w:rPr>
          <w:sz w:val="20"/>
          <w:szCs w:val="20"/>
          <w:color w:val="auto"/>
        </w:rPr>
      </w:pPr>
    </w:p>
    <w:p>
      <w:pPr>
        <w:ind w:left="1080" w:right="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deposit of a Global Note with DTC’s custodian, DTC will credit portions of the principal amount of the Global Note to the accounts of the DTC participants designated by the underwriters; and</w:t>
      </w:r>
    </w:p>
    <w:p>
      <w:pPr>
        <w:spacing w:after="0" w:line="75"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Beneficial interests in Global Notes may not be exchanged for Notes in physical, certificated form except in the limited circumstances described below.</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Book-Entry Procedures for Global Notes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None of the Company, the trustee nor the underwriters is responsible for those operations or procedures.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DTC has advised the Company that it is:</w:t>
      </w:r>
    </w:p>
    <w:p>
      <w:pPr>
        <w:spacing w:after="0" w:line="131" w:lineRule="exact"/>
        <w:rPr>
          <w:sz w:val="20"/>
          <w:szCs w:val="20"/>
          <w:color w:val="auto"/>
        </w:rPr>
      </w:pPr>
    </w:p>
    <w:p>
      <w:pPr>
        <w:ind w:left="1540" w:hanging="331"/>
        <w:spacing w:after="0"/>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2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92"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52" w:lineRule="exact"/>
        <w:rPr>
          <w:sz w:val="20"/>
          <w:szCs w:val="20"/>
          <w:color w:val="auto"/>
        </w:rPr>
      </w:pPr>
    </w:p>
    <w:p>
      <w:pPr>
        <w:ind w:left="1540" w:hanging="331"/>
        <w:spacing w:after="0"/>
        <w:tabs>
          <w:tab w:leader="none" w:pos="1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Notes; and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060"/>
          </w:cols>
          <w:pgMar w:left="320" w:top="459" w:right="5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40" w:hanging="331"/>
        <w:spacing w:after="0" w:line="277" w:lineRule="auto"/>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 including with respect to receiving notices or the giving of any direction, instruction or approval to the trustee under the indenture.</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 Payments of principal and interest with respect to the Notes represented by a Global Note will be made by the trustee to DTC’s nominee as the registered holder of the Global Note. Neither the Company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78" w:lineRule="exact"/>
        <w:rPr>
          <w:sz w:val="20"/>
          <w:szCs w:val="20"/>
          <w:color w:val="auto"/>
        </w:rPr>
      </w:pPr>
    </w:p>
    <w:p>
      <w:pPr>
        <w:ind w:left="120" w:right="820"/>
        <w:spacing w:after="0" w:line="342" w:lineRule="auto"/>
        <w:rPr>
          <w:sz w:val="20"/>
          <w:szCs w:val="20"/>
          <w:color w:val="auto"/>
        </w:rPr>
      </w:pPr>
      <w:r>
        <w:rPr>
          <w:rFonts w:ascii="Arial" w:cs="Arial" w:eastAsia="Arial" w:hAnsi="Arial"/>
          <w:sz w:val="16"/>
          <w:szCs w:val="16"/>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24"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92"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of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the Company nor the trustee will have any responsibility or liability for the performance by DTC, Euroclear or Clearstream or their participants or indirect participants of their obligations under the rules and procedures governing their operations, including maintaining, supervising or reviewing the records relating to, or payments made on account of, beneficial ownership interests in Global Notes.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w:t>
      </w:r>
    </w:p>
    <w:p>
      <w:pPr>
        <w:spacing w:after="0" w:line="225"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In connection with any proposed transfer outside the book entry only system, there will be provided to the trustee all information reasonably requested by the trustee that is necessary to allow the trustee to comply with any applicable tax reporting obligations, including without limitation any cost basis reporting obligations under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Section 6045 of the Code. The trustee may rely on the information provided to it and will have no responsibility to verify or ensure the accuracy of such information.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Notes in physical, certificated form will be issued and delivered to each person that DTC identifies as a beneficial owner of the related Notes only if:</w:t>
      </w:r>
    </w:p>
    <w:p>
      <w:pPr>
        <w:spacing w:after="0" w:line="154" w:lineRule="exact"/>
        <w:rPr>
          <w:sz w:val="20"/>
          <w:szCs w:val="20"/>
          <w:color w:val="auto"/>
        </w:rPr>
      </w:pPr>
    </w:p>
    <w:p>
      <w:pPr>
        <w:ind w:left="1540" w:hanging="331"/>
        <w:spacing w:after="0" w:line="277" w:lineRule="auto"/>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75" w:lineRule="exact"/>
        <w:rPr>
          <w:rFonts w:ascii="Arial" w:cs="Arial" w:eastAsia="Arial" w:hAnsi="Arial"/>
          <w:sz w:val="18"/>
          <w:szCs w:val="18"/>
          <w:color w:val="auto"/>
        </w:rPr>
      </w:pPr>
    </w:p>
    <w:p>
      <w:pPr>
        <w:ind w:left="1540" w:right="360" w:hanging="331"/>
        <w:spacing w:after="0" w:line="277" w:lineRule="auto"/>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DTC ceases to be registered as a clearing agency under the Exchange Act and a successor depositary is not appointed within 90 days; or</w:t>
      </w:r>
    </w:p>
    <w:p>
      <w:pPr>
        <w:spacing w:after="0" w:line="75" w:lineRule="exact"/>
        <w:rPr>
          <w:rFonts w:ascii="Arial" w:cs="Arial" w:eastAsia="Arial" w:hAnsi="Arial"/>
          <w:sz w:val="18"/>
          <w:szCs w:val="18"/>
          <w:color w:val="auto"/>
        </w:rPr>
      </w:pPr>
    </w:p>
    <w:p>
      <w:pPr>
        <w:ind w:left="1540" w:right="360" w:hanging="331"/>
        <w:spacing w:after="0" w:line="277" w:lineRule="auto"/>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event of default with respect to the Notes has occurred and is continuing and such beneficial owner requests that its Notes be issued in physical, certificated form.</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080"/>
          </w:cols>
          <w:pgMar w:left="320" w:top="459"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22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The following discussion is a general summary of certain United States, or U.S., federal income tax considerations (and, in the case of a non-U.S. holder (as defined below), certain United States federal estate tax consequences) applicable to the ownership and disposition of the Notes. This summary does not purport to be a complete description of the income or estate tax considerations applicable to an investment in the Notes. The discussion is based upon the Code, Treasury Regulations, and administrative and judicial interpretations, each as of the date of this prospectus supplement and all of which are subject to change, potentially with retroactive effect or differing interpretations by the Internal Revenue Service, or IRS, so as to result in U.S. federal income tax consequences different from those discussed below. We have not sought and will not seek any ruling from the IRS in respect of the Notes. You should consult your own tax advisor with respect to tax considerations that pertain to your ownership and disposition of our Notes.</w:t>
      </w:r>
    </w:p>
    <w:p>
      <w:pPr>
        <w:spacing w:after="0" w:line="166"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This discussion deals only with Notes held as capital assets within the meaning of Section 1221 of the Code and does not purport to deal with persons in special tax situations or subject to special rules, such as financial institutions, insurance companies, controlled foreign corporations, passive foreign investment companies and regulated investment companies (and shareholders of such corporations), dealers in securities or currencies, traders in securities, former citizens of the United States, persons holding the Notes as a hedge against currency risks or as a position in a “straddle,” “hedge,” “constructive sale transaction” or “conversion transaction” for tax purposes, entities that are tax-exempt for United States federal income tax purposes, retirement plans, individual retirement accounts, tax-deferred accounts, persons subject to the alternative minimum tax, persons subject to special rules for the taxable year of inclusion under Section 451(b) of the Code, pass-through entities (including partnerships and entities and arrangements classified as partnerships for United States federal income tax purposes) and beneficial owners of pass-through entities, or U.S. holders (as defined below) whose functional currency is not the U.S. dollar. It also does not deal with beneficial owners of the Notes other than those beneficial owners who acquire the Notes in this offering for a price equal to their original issue price (i.e., the first price at which a substantial amount of the notes is sold other than to bond houses, brokers, or similar persons or organizations acting in the capacity of underwriters, placement agents or wholesalers). If you are considering purchasing the Notes, you should consult your own tax advisor concerning the application of the United States federal tax laws to you in light of your particular situation, as well as any consequences to you of purchasing, owning and disposing of the Notes under the laws of any other taxing jurisdiction.</w:t>
      </w:r>
    </w:p>
    <w:p>
      <w:pPr>
        <w:spacing w:after="0" w:line="184"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For purposes of this discussion, the term “U.S. holder” means a beneficial owner of a Note that is, for United States federal income tax purposes, (i) an individual who is a citizen or resident of the United States, (ii) a corporation or other entity treated as a corporation for United States federal income tax purposes, created or organized in or under the laws of the United States or of any political subdivision thereof, (iii) a trust (a) subject to the control of one or more United States persons and the primary supervision of a court in the United States, or (b) that has a valid election (under applicable Treasury Regulations) to be treated as a United States person for U.S. federal income tax purposes, or (iv) an estate the income of which is subject to United States federal income taxation regardless of its source. The term “non-U.S. holder” means a beneficial owner of a Note that is neither a U.S. holder nor a partnership (including an entity or arrangement treated as a partnership for U.S. federal income tax purposes). An individual may, subject to exceptions, be deemed to be a resident of the United States for U.S. federal income tax purposes, as opposed to a non-resident alien, by, among other ways, being present in the United States (i) on at least 31 days in the calendar year, and (ii) for an aggregate of at least 183 days during a three-year period ending in the current calendar year, counting for such purposes all of the days present in the current year, one-third of the days present in the immediately preceding year, and one-sixth of the days present in the second preceding year. Individuals who are residents for such purposes are subject to United States federal income tax as if they were United States citizens.</w:t>
      </w:r>
    </w:p>
    <w:p>
      <w:pPr>
        <w:spacing w:after="0" w:line="17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any Notes, the United States federal income tax treatment of a partner of the partnership generally will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depend upon the status of the partner, the activities of the partnership and certain determinations made at the partner level. Partners of partnerships holding Notes should consult their own tax advisors.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Note Holders</w:t>
      </w:r>
    </w:p>
    <w:p>
      <w:pPr>
        <w:spacing w:after="0" w:line="121"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i w:val="1"/>
          <w:iCs w:val="1"/>
          <w:u w:val="single" w:color="auto"/>
          <w:color w:val="auto"/>
        </w:rPr>
        <w:t>Taxation of U.S. Holders</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or accruals of interest on a Note generally will be taxable to a U.S. holder as ordinary interest income at the time</w:t>
      </w:r>
      <w:r>
        <w:rPr>
          <w:rFonts w:ascii="Arial" w:cs="Arial" w:eastAsia="Arial" w:hAnsi="Arial"/>
          <w:sz w:val="17"/>
          <w:szCs w:val="17"/>
          <w:i w:val="1"/>
          <w:iCs w:val="1"/>
          <w:color w:val="auto"/>
        </w:rPr>
        <w:t xml:space="preserve"> </w:t>
      </w:r>
      <w:r>
        <w:rPr>
          <w:rFonts w:ascii="Arial" w:cs="Arial" w:eastAsia="Arial" w:hAnsi="Arial"/>
          <w:sz w:val="17"/>
          <w:szCs w:val="17"/>
          <w:color w:val="auto"/>
        </w:rPr>
        <w:t>they are received (actually or constructively) or accrued, in accordance with the U.S. holder’s regular method of tax accounting. In general, if the terms of a debt instrument entitle a holder to receive payments (other than fixed periodic interest) that exceed the issue price of the instrument by not less than a statutory de minimis amount, the holder will be required to recognize additional interest as “original issue discount” over the term of the instrument, irrespective of the holder’s regular method of tax accounting. We expect, and this discussion assumes, that the Notes will not be treated as issued with original issue discount for U.S. federal income tax purposes.</w:t>
      </w:r>
    </w:p>
    <w:p>
      <w:pPr>
        <w:spacing w:after="0" w:line="178"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Upon the sale, exchange, redemption or retirement of a Note, a U.S. holder generally will recognize capital gain or loss equal to the difference between the amount realized on the sale, exchange, redemption or retirement (excluding any amounts representing accrued and unpaid interest, which are treated as ordinary income) and the U.S. holder’s tax basis in the Note. A U.S. holder’s tax basis in a Note generally will equal the amount of the U.S. holder’s initial investment in the Note. Capital gain or loss generally will be long-term capital gain or loss if the Note was held for more than one year. Long-term capital gains recognized by individuals and certain other non-corporate U.S. holders generally are eligible for reduced rates of taxation. Currently, a rate of either 15% or 20%, depending on whether the U.S. holder’s income exceeds certain threshold amounts. The distinction between capital gain or loss and ordinary income or loss is also important in other contexts, such as, for example, for purposes of the limitations on a U.S. holder’s ability to offset capital losses against ordinary income.</w:t>
      </w:r>
    </w:p>
    <w:p>
      <w:pPr>
        <w:spacing w:after="0" w:line="178"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Under applicable U.S. Treasury regulations, if a shareholder recognizes a loss with respect to the Notes in excess of certain prescribed thresholds (generally, $2 million or more for a non-corporate U.S. holder or $10 million or more for a corporate U.S. holder), the U.S. holder may be required to file a disclosure statement on IRS Form 8886. Direct U.S. holders of portfolio securities are in many cases excepted from this reporting requirement, but, under current guidance, U.S. holders of securities issued by a RIC are not exempt from this reporting requirement. The fact that a loss is reportable by a taxpayer as just described does not affect the legal determination of whether the taxpayer’s treatment of the loss is proper. Significant monetary penalties apply to a failure to comply with this reporting requirement. States may also have a similar reporting requirement. U.S. holders of the Notes should consult their own tax advisors to determine the applicability of this reporting requirement in light of their particular circumstances.</w:t>
      </w:r>
    </w:p>
    <w:p>
      <w:pPr>
        <w:spacing w:after="0" w:line="166"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A tax of 3.8% is imposed on certain “net investment income” (or “undistributed net investment income”, in the case of estates and trusts) received by certain taxpayers with modified adjusted gross incomes above certain threshold amounts. “Net investment income” as defined for United States federal Medicare contribution purposes generally includes interest payments and gain recognized from the sale, exchange, redemption or other taxable disposition of the Notes. Tax-exempt trusts, which are not subject to income taxes generally, and foreign individuals will not be subject to this tax. U.S. holders should consult their own tax advisors regarding the effect, if any, of this tax on their ownership and disposition of the Notes.</w:t>
      </w:r>
    </w:p>
    <w:p>
      <w:pPr>
        <w:spacing w:after="0" w:line="161" w:lineRule="exact"/>
        <w:rPr>
          <w:sz w:val="20"/>
          <w:szCs w:val="20"/>
          <w:color w:val="auto"/>
        </w:rPr>
      </w:pPr>
    </w:p>
    <w:p>
      <w:pPr>
        <w:ind w:left="120" w:right="220"/>
        <w:spacing w:after="0" w:line="254" w:lineRule="auto"/>
        <w:rPr>
          <w:sz w:val="20"/>
          <w:szCs w:val="20"/>
          <w:color w:val="auto"/>
        </w:rPr>
      </w:pPr>
      <w:r>
        <w:rPr>
          <w:rFonts w:ascii="Arial" w:cs="Arial" w:eastAsia="Arial" w:hAnsi="Arial"/>
          <w:sz w:val="18"/>
          <w:szCs w:val="18"/>
          <w:i w:val="1"/>
          <w:iCs w:val="1"/>
          <w:u w:val="single" w:color="auto"/>
          <w:color w:val="auto"/>
        </w:rPr>
        <w:t>Taxation of Non-U.S. Holders</w:t>
      </w:r>
      <w:r>
        <w:rPr>
          <w:rFonts w:ascii="Arial" w:cs="Arial" w:eastAsia="Arial" w:hAnsi="Arial"/>
          <w:sz w:val="18"/>
          <w:szCs w:val="18"/>
          <w:color w:val="auto"/>
        </w:rPr>
        <w:t>. A non-U.S. holder generally will not be subject to United States federal income or withholding taxes on payments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principal or interest on a Note,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interest on a Note (i) the interest is not effectively connected with the conduct by the non-U.S. holder of a trade or business within the United States, (ii) the non-U.S. holder is not a controlled foreign corporation related to the Company through sufficient stock ownership, (iii) the recipient is not a bank receiving interest described in Section 881(c)(3)(A) of the Code, (iv) the non-U.S. holder does not own (actually or constructively) 10% or more of the total combined voting power of all classes of stock of the Company, and (v) the non-U.S. holder provides to the applicable withholding agent a statement on an IRS Form W-8BEN or W-8BEN-E (or other applicable form) signed under</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penalties of perjury that includes its name and address and certifies that it is not a United States person in compliance with applicable requirements, or satisfies documentary evidence requirements for establishing that it is a non-U.S. holder. A non-U.S. holder that is not exempt from tax under these rules generally will be subject to withholding of United States federal income tax on payments of interest on the Notes at a rate of 30% unless (i) the interest is effectively connected with the conduct of a United States trade or business, in which case the interest will be subject to United States federal income tax on a net income basis as applicable to U.S. holders generally (unless an applicable income tax treaty provides otherwise) and such non-U.S. holder would be required to provide a properly executed IRS Form W-8ECI in lieu of the certificates described above, or (ii) an applicable income tax treaty provides for a lower rate of, or exemption from, this withholding. In the case of a non-U.S. holder that is a corporation for U.S. federal income tax purposes and that receives income that is effectively connected with the conduct of a United States trade or business, such income may also be subject to a branch profits tax (which is generally imposed on a non-U.S. corporation on the actual or deemed repatriation from the United States of earnings and profits attributable to a United States trade or business) at a 30% rate. The branch profits tax may not apply (or may apply at a reduced rate) if the non-U.S. holder is a qualified resident of a country with which the United States has an income tax treaty.</w:t>
      </w:r>
    </w:p>
    <w:p>
      <w:pPr>
        <w:spacing w:after="0" w:line="172"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To claim the benefit of an income tax treaty or to claim exemption from withholding because interest is effectively connected with a United States trade or business, the non-U.S. holder must timely provide the appropriate, properly executed IRS forms to the applicable withholding agent. These forms may be required to be periodically updated.</w:t>
      </w:r>
    </w:p>
    <w:p>
      <w:pPr>
        <w:spacing w:after="0" w:line="184"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 xml:space="preserve">Generally, a non-U.S. holder will not be subject to United States federal income or withholding taxes on any amount that constitutes capital gain upon the sale, exchange, redemption or retirement of a Note,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gain is not effectively connected with the conduct of a trade or business in the United States by the non-U.S. holder (and, if required by an applicable income tax treaty, is not attributable to a United States “permanent establishment” maintained by the non-U.S. holder). Certain other exceptions may be applicable, and a non-U.S. holder should consult its tax advisor in this regard.</w:t>
      </w:r>
    </w:p>
    <w:p>
      <w:pPr>
        <w:spacing w:after="0" w:line="188"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 Note that is held by an individual who, at the time of death, is not a citizen or resident of the United States (as specially defined for United States federal estate tax purposes) generally will not be subject to the United States federal estate tax, unless, at the time of death, (i) such individual directly or indirectly, actually or constructively, owns ten percent or more of the total combined voting power of all classes of our stock entitled to vote within the meaning of Section 871(h)(3) of the Code and the Treasury Regulations thereunder or (ii) such individual’s interest in the Notes is effectively connected with the individual’s conduct of a United States trade or business.</w:t>
      </w:r>
    </w:p>
    <w:p>
      <w:pPr>
        <w:spacing w:after="0" w:line="188"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i w:val="1"/>
          <w:iCs w:val="1"/>
          <w:u w:val="single" w:color="auto"/>
          <w:color w:val="auto"/>
        </w:rPr>
        <w:t>Information Reporting and Backup Withholding</w:t>
      </w:r>
      <w:r>
        <w:rPr>
          <w:rFonts w:ascii="Arial" w:cs="Arial" w:eastAsia="Arial" w:hAnsi="Arial"/>
          <w:sz w:val="16"/>
          <w:szCs w:val="16"/>
          <w:color w:val="auto"/>
        </w:rPr>
        <w:t>. A U.S. holder (other than an “exempt recipient,” including a corporation and certain other persons who,</w:t>
      </w:r>
      <w:r>
        <w:rPr>
          <w:rFonts w:ascii="Arial" w:cs="Arial" w:eastAsia="Arial" w:hAnsi="Arial"/>
          <w:sz w:val="16"/>
          <w:szCs w:val="16"/>
          <w:i w:val="1"/>
          <w:iCs w:val="1"/>
          <w:color w:val="auto"/>
        </w:rPr>
        <w:t xml:space="preserve"> </w:t>
      </w:r>
      <w:r>
        <w:rPr>
          <w:rFonts w:ascii="Arial" w:cs="Arial" w:eastAsia="Arial" w:hAnsi="Arial"/>
          <w:sz w:val="16"/>
          <w:szCs w:val="16"/>
          <w:color w:val="auto"/>
        </w:rPr>
        <w:t>when required, demonstrate their exempt status) may be subject to backup withholding at the applicable rate (currently 24%) on, and will be subject to information reporting requirements with respect to, payments of principal or interest on, and proceeds from the sale, exchange, redemption or retirement of, the Notes. In general, if a non-corporate U.S. holder subject to information reporting fails to furnish a correct taxpayer identification number or otherwise fails to comply with applicable backup withholding requirements, backup withholding at the applicable rate may apply.</w:t>
      </w:r>
    </w:p>
    <w:p>
      <w:pPr>
        <w:spacing w:after="0" w:line="161"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If you are a non-U.S. holder, generally, the applicable withholding agent must report to the IRS and to you payments of interest on the Notes and the amount of tax, if any, withheld with respect to those payments. Copies of the information returns reporting such interest payments and any withholding may also be made available to the tax authorities in the country in which you reside under the provisions of a treaty or agreement. In general, backup withholding will not apply to payments of interest on your Notes if you have provided to the applicable withholding agent the required certification that you are not a U.S. person and the applicable withholding agent does not have actual knowledge or reason to know that you are a U.S. person. Information reporting and, depending on the circumstances, backup withholding will apply to payment to you of the proceeds of a sale or other disposition (including a retirement or redemption) of your Notes within the United States or conducted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color w:val="auto"/>
        </w:rPr>
        <w:t>through certain U.S.-related financial intermediaries, unless you certify under penalties of perjury that you are not a U.S. person or you otherwise establish an exemption, and the applicable withholding agent does not have actual knowledge or reason to know that you are a U.S. person.</w:t>
      </w:r>
    </w:p>
    <w:p>
      <w:pPr>
        <w:spacing w:after="0" w:line="12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 xml:space="preserve">You should consult your own tax advisor regarding the application of information reporting and backup withholding in your particular circumstance and the availability of and procedure for obtaining an exemption from backup withholding. Backup withholding is not an additional tax, and any amounts withheld under the backup withholding rules may be allowed as a refund or a credit against your U.S. federal income tax liability,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required information is timely furnished to the IRS.</w:t>
      </w:r>
    </w:p>
    <w:p>
      <w:pPr>
        <w:spacing w:after="0" w:line="187"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i w:val="1"/>
          <w:iCs w:val="1"/>
          <w:u w:val="single" w:color="auto"/>
          <w:color w:val="auto"/>
        </w:rPr>
        <w:t>FATCA Withholding on Payments to Certain Foreign Entities</w:t>
      </w:r>
      <w:r>
        <w:rPr>
          <w:rFonts w:ascii="Arial" w:cs="Arial" w:eastAsia="Arial" w:hAnsi="Arial"/>
          <w:sz w:val="18"/>
          <w:szCs w:val="18"/>
          <w:color w:val="auto"/>
        </w:rPr>
        <w:t>. Sections 1471 through 1474 of the Code (provisions commonly referred to as “FATCA”)</w:t>
      </w:r>
      <w:r>
        <w:rPr>
          <w:rFonts w:ascii="Arial" w:cs="Arial" w:eastAsia="Arial" w:hAnsi="Arial"/>
          <w:sz w:val="18"/>
          <w:szCs w:val="18"/>
          <w:i w:val="1"/>
          <w:iCs w:val="1"/>
          <w:color w:val="auto"/>
        </w:rPr>
        <w:t xml:space="preserve"> </w:t>
      </w:r>
      <w:r>
        <w:rPr>
          <w:rFonts w:ascii="Arial" w:cs="Arial" w:eastAsia="Arial" w:hAnsi="Arial"/>
          <w:sz w:val="18"/>
          <w:szCs w:val="18"/>
          <w:color w:val="auto"/>
        </w:rPr>
        <w:t>impose a 30% withholding tax on payments of U.S. source interest, and gross proceeds from the sale, redemption, retirement or other disposition of obligations that give rise to U.S. source interest payments, in each case to certain non-U.S. entities, including certain foreign financial institutions and investment funds, unless such non-U.S. entity complies with certain reporting requirements regarding its U.S. account holders and its U.S. owners. An intergovernmental agreement between the United States and an applicable foreign country, or future U.S. Treasury regulations or other guidance, may modify these requirements. Accordingly, the entity through which the Notes are held may affect the determination of whether such withholding is required.</w:t>
      </w:r>
    </w:p>
    <w:p>
      <w:pPr>
        <w:spacing w:after="0" w:line="19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While existing U.S. Treasury regulations would require FATCA withholding on payments of the gross proceeds from the sale of any property that could produce U.S. source interest or dividends, in 2018 the U.S. Treasury Department released proposed regulations that eliminated this requirement. Pursuant to these proposed regulations, a taxpayer may (but is not required to) rely on this proposed change to FATCA withholding until final regulations are issued or until such proposed regulations are rescinded.</w:t>
      </w:r>
    </w:p>
    <w:p>
      <w:pPr>
        <w:spacing w:after="0" w:line="187"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The FATCA withholding tax will apply to all withholdable payments without regard to whether the beneficial owner of the payment would otherwise be entitled to an exemption from imposition of withholding tax pursuant to an applicable tax treaty with the United States or U.S. domestic law. If payment of this withholding tax is made, holders that are otherwise eligible for an exemption from, or reduction of, U.S. federal withholding taxes with respect to such interest or proceeds will be required to seek a credit or refund from the IRS to obtain the benefit of such exemption or reduction, if any. We will not pay additional amounts to holders of the Notes in respect of any amounts withheld.</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prospective purchaser should consult its own tax advisor regarding FATCA and how it may affect such investor in its particular circumstances.</w:t>
      </w:r>
    </w:p>
    <w:p>
      <w:pPr>
        <w:spacing w:after="0" w:line="24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You should consult your own tax advisor with respect to the particular tax consequences to you of an investment in the Notes, including the possible effect of any pending legislation or proposed regulations.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are offering the Notes described in this prospectus supplement through a number of underwriters. Raymond James &amp; Associates, Inc., Keefe, Bruyette &amp; Woods, Inc. and Truist Securities, Inc. are acting as representatives of the several underwriters. We have entered into an underwriting agreement with the underwriters. Subject to the terms and conditions of the underwriting agreement, we have agreed to sell to the underwriters, and each underwriter has severally agreed to purchase, the aggregate principal amount of notes listed next to its name in the following table:</w:t>
      </w:r>
    </w:p>
    <w:p>
      <w:pPr>
        <w:spacing w:after="0" w:line="17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660" w:type="dxa"/>
            <w:vAlign w:val="bottom"/>
          </w:tcPr>
          <w:p>
            <w:pPr>
              <w:jc w:val="center"/>
              <w:ind w:left="8008"/>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660" w:type="dxa"/>
            <w:vAlign w:val="bottom"/>
          </w:tcPr>
          <w:p>
            <w:pPr>
              <w:jc w:val="center"/>
              <w:ind w:left="8008"/>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8660" w:type="dxa"/>
            <w:vAlign w:val="bottom"/>
          </w:tcPr>
          <w:p>
            <w:pPr>
              <w:jc w:val="center"/>
              <w:ind w:left="8008"/>
              <w:spacing w:after="0" w:line="158" w:lineRule="exact"/>
              <w:rPr>
                <w:sz w:val="20"/>
                <w:szCs w:val="20"/>
                <w:color w:val="auto"/>
              </w:rPr>
            </w:pPr>
            <w:r>
              <w:rPr>
                <w:rFonts w:ascii="Arial" w:cs="Arial" w:eastAsia="Arial" w:hAnsi="Arial"/>
                <w:sz w:val="14"/>
                <w:szCs w:val="14"/>
                <w:b w:val="1"/>
                <w:bCs w:val="1"/>
                <w:color w:val="auto"/>
                <w:w w:val="89"/>
              </w:rPr>
              <w:t>of Notes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0</wp:posOffset>
            </wp:positionV>
            <wp:extent cx="587184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8"/>
          <w:szCs w:val="18"/>
          <w:color w:val="auto"/>
        </w:rPr>
        <w:t>Raymond James &amp; Associates, Inc.</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Keefe, Bruyette &amp; Woods,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wp:posOffset>
            </wp:positionV>
            <wp:extent cx="587184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8"/>
          <w:szCs w:val="18"/>
          <w:color w:val="auto"/>
        </w:rPr>
        <w:t>Truist Securities, Inc.</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wp:posOffset>
            </wp:positionV>
            <wp:extent cx="587184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8"/>
          <w:szCs w:val="18"/>
          <w:color w:val="auto"/>
        </w:rPr>
        <w:t>Compass Point Research &amp; Trading, LLC</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wp:posOffset>
            </wp:positionV>
            <wp:extent cx="587184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8"/>
          <w:szCs w:val="18"/>
          <w:color w:val="auto"/>
        </w:rPr>
        <w:t>Ladenburg Thalmann &amp; Co. Inc.</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Capital One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5715</wp:posOffset>
            </wp:positionV>
            <wp:extent cx="5486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ind w:left="1000"/>
        <w:spacing w:after="0"/>
        <w:tabs>
          <w:tab w:leader="none" w:pos="9360" w:val="left"/>
        </w:tabs>
        <w:rPr>
          <w:sz w:val="20"/>
          <w:szCs w:val="20"/>
          <w:color w:val="auto"/>
        </w:rPr>
      </w:pPr>
      <w:r>
        <w:rPr>
          <w:rFonts w:ascii="Arial" w:cs="Arial" w:eastAsia="Arial" w:hAnsi="Arial"/>
          <w:sz w:val="18"/>
          <w:szCs w:val="18"/>
          <w:b w:val="1"/>
          <w:bCs w:val="1"/>
          <w:color w:val="auto"/>
        </w:rPr>
        <w:t>Total</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-119380</wp:posOffset>
            </wp:positionV>
            <wp:extent cx="5871845"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71845" cy="163195"/>
                    </a:xfrm>
                    <a:prstGeom prst="rect">
                      <a:avLst/>
                    </a:prstGeom>
                    <a:noFill/>
                  </pic:spPr>
                </pic:pic>
              </a:graphicData>
            </a:graphic>
          </wp:anchor>
        </w:drawing>
      </w:r>
    </w:p>
    <w:p>
      <w:pPr>
        <w:spacing w:after="0" w:line="263"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6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We, the Investment Adviser and the Administrator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following table shows the per Note and total underwriting discounts and commissions that the Company is to pay to the underwriters in connection with this offering.</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960" w:type="dxa"/>
            <w:vAlign w:val="bottom"/>
          </w:tcPr>
          <w:p>
            <w:pPr>
              <w:jc w:val="right"/>
              <w:ind w:right="255"/>
              <w:spacing w:after="0"/>
              <w:rPr>
                <w:sz w:val="20"/>
                <w:szCs w:val="20"/>
                <w:color w:val="auto"/>
              </w:rPr>
            </w:pPr>
            <w:r>
              <w:rPr>
                <w:rFonts w:ascii="Arial" w:cs="Arial" w:eastAsia="Arial" w:hAnsi="Arial"/>
                <w:sz w:val="14"/>
                <w:szCs w:val="14"/>
                <w:b w:val="1"/>
                <w:bCs w:val="1"/>
                <w:color w:val="auto"/>
              </w:rPr>
              <w:t>Per Note</w:t>
            </w:r>
          </w:p>
        </w:tc>
        <w:tc>
          <w:tcPr>
            <w:tcW w:w="1300" w:type="dxa"/>
            <w:vAlign w:val="bottom"/>
          </w:tcPr>
          <w:p>
            <w:pPr>
              <w:jc w:val="right"/>
              <w:ind w:right="175"/>
              <w:spacing w:after="0"/>
              <w:rPr>
                <w:sz w:val="20"/>
                <w:szCs w:val="20"/>
                <w:color w:val="auto"/>
              </w:rPr>
            </w:pPr>
            <w:r>
              <w:rPr>
                <w:rFonts w:ascii="Arial" w:cs="Arial" w:eastAsia="Arial" w:hAnsi="Arial"/>
                <w:sz w:val="14"/>
                <w:szCs w:val="14"/>
                <w:b w:val="1"/>
                <w:bCs w:val="1"/>
                <w:color w:val="auto"/>
              </w:rPr>
              <w:t>Amount</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96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Underwriting discount (sales load)</w:t>
            </w:r>
          </w:p>
        </w:tc>
        <w:tc>
          <w:tcPr>
            <w:tcW w:w="2960" w:type="dxa"/>
            <w:vAlign w:val="bottom"/>
          </w:tcPr>
          <w:p>
            <w:pPr>
              <w:jc w:val="right"/>
              <w:ind w:right="855"/>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75"/>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Proceeds to the Company, before expenses</w:t>
            </w:r>
          </w:p>
        </w:tc>
        <w:tc>
          <w:tcPr>
            <w:tcW w:w="296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underwriters propose to offer some of the Notes to the public at the public offering price set forth on the cover page of this prospectus supplement</w:t>
      </w:r>
    </w:p>
    <w:p>
      <w:pPr>
        <w:spacing w:after="0" w:line="46" w:lineRule="exact"/>
        <w:rPr>
          <w:sz w:val="20"/>
          <w:szCs w:val="20"/>
          <w:color w:val="auto"/>
        </w:rPr>
      </w:pPr>
    </w:p>
    <w:p>
      <w:pPr>
        <w:jc w:val="both"/>
        <w:ind w:left="120" w:right="80"/>
        <w:spacing w:after="0" w:line="281" w:lineRule="auto"/>
        <w:rPr>
          <w:sz w:val="20"/>
          <w:szCs w:val="20"/>
          <w:color w:val="auto"/>
        </w:rPr>
      </w:pPr>
      <w:r>
        <w:rPr>
          <w:rFonts w:ascii="Arial" w:cs="Arial" w:eastAsia="Arial" w:hAnsi="Arial"/>
          <w:sz w:val="16"/>
          <w:szCs w:val="16"/>
          <w:color w:val="auto"/>
        </w:rPr>
        <w:t>and some of the Notes to certain other dealers at the public offering price less a concession not in excess of % of the aggregate principal amount of the Notes. The underwriters may allow, and the dealers may reallow, a discount not in excess of % of the aggregate principal amount of the Notes.</w:t>
      </w:r>
    </w:p>
    <w:p>
      <w:pPr>
        <w:spacing w:after="0" w:line="1" w:lineRule="exact"/>
        <w:rPr>
          <w:sz w:val="20"/>
          <w:szCs w:val="20"/>
          <w:color w:val="auto"/>
        </w:rPr>
      </w:pPr>
    </w:p>
    <w:p>
      <w:pPr>
        <w:ind w:left="120" w:right="280"/>
        <w:spacing w:after="0" w:line="260" w:lineRule="auto"/>
        <w:rPr>
          <w:sz w:val="20"/>
          <w:szCs w:val="20"/>
          <w:color w:val="auto"/>
        </w:rPr>
      </w:pPr>
      <w:r>
        <w:rPr>
          <w:rFonts w:ascii="Arial" w:cs="Arial" w:eastAsia="Arial" w:hAnsi="Arial"/>
          <w:sz w:val="18"/>
          <w:szCs w:val="18"/>
          <w:color w:val="auto"/>
        </w:rPr>
        <w:t>After the initial offering of the Notes to the public, the public offering price and other selling terms may be changed. No such change will change the amount of proceeds to be received by us as set forth on the cover page of this prospectus supplement.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7200" w:val="left"/>
        </w:tabs>
        <w:rPr>
          <w:sz w:val="20"/>
          <w:szCs w:val="20"/>
          <w:color w:val="auto"/>
        </w:rPr>
      </w:pPr>
      <w:r>
        <w:rPr>
          <w:rFonts w:ascii="Arial" w:cs="Arial" w:eastAsia="Arial" w:hAnsi="Arial"/>
          <w:sz w:val="18"/>
          <w:szCs w:val="18"/>
          <w:color w:val="auto"/>
        </w:rPr>
        <w:t>The expenses of the offering, not including the underwriting discount, are estimated at $</w:t>
      </w:r>
      <w:r>
        <w:rPr>
          <w:sz w:val="20"/>
          <w:szCs w:val="20"/>
          <w:color w:val="auto"/>
        </w:rPr>
        <w:tab/>
      </w:r>
      <w:r>
        <w:rPr>
          <w:rFonts w:ascii="Arial" w:cs="Arial" w:eastAsia="Arial" w:hAnsi="Arial"/>
          <w:sz w:val="16"/>
          <w:szCs w:val="16"/>
          <w:color w:val="auto"/>
        </w:rPr>
        <w:t>and are payable by us.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Subject to certain exceptions, we have agreed not to directly or indirectly, offer, pledge, sell, contract to sell, grant any option for the sale of or otherwise transfer or dispose of any debt securities issued or guaranteed by the Company or any securities convertible into or exercisable or exchangeable for debt securities issued or guaranteed by the Company or file any registration statement under the Securities Act with respect to any of the foregoing through the closing date without first obtaining the written consent of the representatives. This consent may be given at any time without public notice.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Notes are a new issue of securities with no established trading market. The Notes will not be listed on any securities exchange or quoted on any automated dealer quotation system.</w:t>
      </w:r>
    </w:p>
    <w:p>
      <w:pPr>
        <w:spacing w:after="0" w:line="170"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We have been advised by certain of the underwriters that they currently intend to make a market in the Notes after completion of the offering as permitted by applicable laws and regulations. The underwriters are not obligated, however, to make a market in the Notes and any such market-making may be discontinued at any time in the sole discretion of the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 connection with the offering, the underwriters may purchase and sell Notes in the open market. These transactions may include over-allotment, covering transactions and stabilizing transactions. Over-allotment involves sales of Notes in excess of the aggregate principal amount of Notes to be purchased by the underwriters in the offering, which creates a short position for the underwriters. Covering transactions involve purchases of the Notes in the open market after the distribution has been completed in order to cover short positions. Stabilizing transactions consist of certain bids or purchases of Notes made for the purpose of preventing or retarding a decline in the market price of the Notes while the offering is in progress.</w:t>
      </w:r>
    </w:p>
    <w:p>
      <w:pPr>
        <w:spacing w:after="0" w:line="16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underwriters also may impose a penalty bid. This occurs when a particular underwriter repays to the underwriters a portion of the underwriting discount received by it because the representatives has repurchased Notes sold by or for the account of such underwriter in stabilizing or short covering transactions.</w:t>
      </w:r>
    </w:p>
    <w:p>
      <w:pPr>
        <w:spacing w:after="0" w:line="18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Any of these activities may cause the price of the Notes to be higher than the price that otherwise would exist in the open market in the absence of such transactions. These transactions may be effected in the over-the-counter market or otherwise and, if commenced, may be discontinued at any time without any notice relating thereto.</w:t>
      </w:r>
    </w:p>
    <w:p>
      <w:pPr>
        <w:spacing w:after="0" w:line="184"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Neither the Company nor any of the underwriters make any representation or prediction as to the direction or magnitude of any effect that the transactions described above may have on the price of the Notes. In addition, neither the Company nor any of the underwriters make any representation that the representatives will engage in these transactions or that these transactions, once commenced, will not be discontinued without notice.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valuation services and other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financial and non-financial activities and services. Certain of the underwriters and their respective affiliates have provided, and may in the future provide, a variety of these services to the Company and to persons and entities with relationships with the Company, for which they received or will receive customary fees and expenses.</w:t>
      </w:r>
    </w:p>
    <w:p>
      <w:pPr>
        <w:spacing w:after="0" w:line="184"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or instruments (directly, as collateral securing other obligations or otherwise) or persons and entities with relationships with us. Certain of the underwriters and their affiliates have a lending relationship with us, certain of those underwriters or their affiliates routinely hedge, and certain other of those underwriters and their affiliates may hedge, their credit exposure to the Company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79"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8"/>
          <w:szCs w:val="18"/>
          <w:color w:val="auto"/>
        </w:rPr>
        <w:t>Affiliates of certain of the underwriters serve as lenders under the Truist Credit Facility and may serve as lenders under any future credit facilities. Some of the underwriters and/or their affiliates were underwriters in connection with our initial public offerings and follow-on public offerings for which they received customary fees. Affiliates of the underwriters are expected to receive part of the proceeds of the offering by reason of the repayment of certain amounts outstanding under the Truist Credit Facility.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Settlement</w:t>
      </w:r>
    </w:p>
    <w:p>
      <w:pPr>
        <w:spacing w:after="0" w:line="121" w:lineRule="exact"/>
        <w:rPr>
          <w:sz w:val="20"/>
          <w:szCs w:val="20"/>
          <w:color w:val="auto"/>
        </w:rPr>
      </w:pPr>
    </w:p>
    <w:p>
      <w:pPr>
        <w:ind w:left="120"/>
        <w:spacing w:after="0"/>
        <w:tabs>
          <w:tab w:leader="none" w:pos="6200" w:val="left"/>
        </w:tabs>
        <w:rPr>
          <w:sz w:val="20"/>
          <w:szCs w:val="20"/>
          <w:color w:val="auto"/>
        </w:rPr>
      </w:pPr>
      <w:r>
        <w:rPr>
          <w:rFonts w:ascii="Arial" w:cs="Arial" w:eastAsia="Arial" w:hAnsi="Arial"/>
          <w:sz w:val="18"/>
          <w:szCs w:val="18"/>
          <w:color w:val="auto"/>
        </w:rPr>
        <w:t>We expect that delivery of the Notes will be made to investors on or about</w:t>
      </w:r>
      <w:r>
        <w:rPr>
          <w:sz w:val="20"/>
          <w:szCs w:val="20"/>
          <w:color w:val="auto"/>
        </w:rPr>
        <w:tab/>
      </w:r>
      <w:r>
        <w:rPr>
          <w:rFonts w:ascii="Arial" w:cs="Arial" w:eastAsia="Arial" w:hAnsi="Arial"/>
          <w:sz w:val="16"/>
          <w:szCs w:val="16"/>
          <w:color w:val="auto"/>
        </w:rPr>
        <w:t>, 2021, which will be the third business day following the date of</w:t>
      </w:r>
    </w:p>
    <w:p>
      <w:pPr>
        <w:spacing w:after="0" w:line="23"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pricing of the notes (such settlement cycle being herein referred to as “T+3”). Under Rule 15c6-1 under the Exchange Act, trades in the secondary market generally are required to settle in two business days, unless the parties to any such trade expressly agree otherwise. Accordingly, purchasers who wish to trade notes on the date of pricing will be required, by virtue of the fact that the notes initially will settle T+3, to specify an alternate settlement cycle at the time of any such trade to prevent a failed settlement. Purchasers of notes who wish to trade notes on the date of pricing should consult their own advisor.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Business Addresses</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principal business address of Raymond James &amp; Associates, Inc. is 880 Carillon Parkway, St. Petersburg, Florida 33716. The principal business address of Keefe, Bruyette &amp; Woods, Inc. is 787 7th Avenue, 4th Floor, New York, NY 10019. The principal business address of Truist Securities, Inc. is 3333 Peachtree Road NE, Atlanta, GA 30326. The principal business address of J.P. Morgan Securities LLC is 383 Madison Avenue, New York, NY 10179. The principal business address of Compass Point Research &amp; Trading, LLC is 1055 Thomas Jefferson Street NW, Suite 303, Washington, DC</w:t>
      </w:r>
    </w:p>
    <w:p>
      <w:pPr>
        <w:spacing w:after="0" w:line="1"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20007. The principal business address of JMP Securities LLC is 600 Montgomery Street, 11th Floor, San Francisco, CA 94111. The principal business address of Ladenburg Thalmann &amp; Co. Inc. is 277 Park Avenue, 26th Floor, New York, NY 10172. The principal business address of Capital One Securities, Inc. is 299 Park Avenue, New York, NY 10171.</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Jurisdictions</w:t>
      </w:r>
    </w:p>
    <w:p>
      <w:pPr>
        <w:spacing w:after="0" w:line="12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Notes offered by this prospectus supplement in any jurisdiction where action for that purpose 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required. The Notes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Notes offered by this prospectus supplement in any jurisdiction in which such an offer or a solicitation is unlawful.</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This prospectus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prospectus or on the merits of the Notes and any representation to the contrary is an offence.</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Canadian investors are advised that this prospectus has been prepared in reliance on section 3A.3 of National Instrument 33-105 Underwriting Conflicts (“NI 33-105”). Pursuant to section 3A.3 of NI 33-105, the Company and the underwriters in the offering are exempt from the requirement to provide Canadian investors with certain conflicts of interest disclosure pertaining to “connected issuer” and/or “related issuer” relationships as would otherwise be required pursuant to subsection 2.1(1) of NI 33-105.</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Resale Restrictions</w:t>
      </w:r>
    </w:p>
    <w:p>
      <w:pPr>
        <w:spacing w:after="0" w:line="117"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The offer and sale of the Notes in Canada is being made on a private placement basis only and is exempt from the requirement that the Company prepares and files a prospectus under applicable Canadian securities laws. Any resale of Notes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Representations of Purchasers</w:t>
      </w:r>
    </w:p>
    <w:p>
      <w:pPr>
        <w:spacing w:after="0" w:line="11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Each Canadian investor who purchases the Notes will be deemed to have represented to the Company, the underwriters and to each dealer from whom a purchase confirmation is received, as applicable, that the investor is (i) purchasing as principal, or is deemed to be purchasing as principal in accordance with applicable Canadian securities laws; (ii) an “accredited investor” as such term is defined in section 1.1 of National Instrument 45-106 Prospectus Exemptions or, in Ontario, as such term is defined in section 73.3(1) of the Securities Act (Ontario); and (iii) a “permitted client” as such term is defined in section 1.1 of National Instrument 31-103 Registration Requirements, Exemptions and Ongoing Registrant Obligations.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and Eligibility for Investment</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Any discussion of taxation and related matters contained in this prospectus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Rights of Action for Damages or Rescission</w:t>
      </w:r>
    </w:p>
    <w:p>
      <w:pPr>
        <w:spacing w:after="0" w:line="117"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Securities legislation in certain of the Canadian jurisdictions provides certain purchasers of securities pursuant to an offering memorandum (such as this prospectus), including where the distribution involves an “eligible foreign security” as such term is defined in Ontario Securities Commission Rule</w:t>
      </w:r>
    </w:p>
    <w:p>
      <w:pPr>
        <w:ind w:left="120"/>
        <w:spacing w:after="0" w:line="252" w:lineRule="auto"/>
        <w:rPr>
          <w:sz w:val="20"/>
          <w:szCs w:val="20"/>
          <w:color w:val="auto"/>
        </w:rPr>
      </w:pPr>
      <w:r>
        <w:rPr>
          <w:rFonts w:ascii="Arial" w:cs="Arial" w:eastAsia="Arial" w:hAnsi="Arial"/>
          <w:sz w:val="18"/>
          <w:szCs w:val="18"/>
          <w:color w:val="auto"/>
        </w:rPr>
        <w:t>45-501 Ontario Prospectus and Registration Exemptions and in Multilateral Instrument 45-107 Listing Representation and Statutory Rights of Action Disclosure Exemptions, as applicable, 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192"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Par 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Notes may not be offered, sold or otherwise made available to any retail investor in the European Economic Area, or EEA. For these purposes: (a) a retail investor means a person who is one (or more) of the following: (i) a retail client as defined in point (11) of Article 4(1) of Article 4(1) of Directive 2014/65/EU (as amended or superseded, or MiFID II); or (ii) a customer within the meaning of Directive (EU) 2016/97 (as amended or superseded, the “Insurance Distribution Directive”), where that customer would not qualify as a professional client as defined in point (10) of Article 4(1) of MiFID II; or (iii) not a qualified investor as defined in Regulation (EU) 2017/1129 (as amended or superseded, the “Prospectus Regulation”), and (b) the expression “offer” includes the communication in any form and by any means of sufficient information on the terms of the offer and the Notes to be offered so as to enable an investor to decide to purchase or subscribe the Notes.</w:t>
      </w:r>
    </w:p>
    <w:p>
      <w:pPr>
        <w:spacing w:after="0" w:line="177"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Consequently, no key information document required by Regulation (EU) No 1286/2014 (as amended, or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the Notes. This prospectus supplement and the accompanying prospectus are not a prospectus for the purposes of the Prospectus Regulation.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United Kingdom. For the purposes of this provision: the expression “retail investor” means a person who is one (or more) of the following: (i) a retail client as defined in point (8) of Article 2 of Regulation (EU) No 2017/565 as it forms part of domestic law by virtue of the European Union (Withdrawal) Act 2018 (“EUWA”); or (ii) a customer within the meaning of the provisions of the Financial Services and Markets Act 2000 (as amended, the “FSMA”) of the United Kingdom and any rules or regulations made under the FSMA to implement Directive (EU) 2016/97, where that customer would not qualify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as a professional client, as defined in point (8) of Article 2(1) of Regulation (EU) No 600/2014 as it forms part of domestic law by virtue of the EUWA; or (iii) not a qualified investor as defined in Article 2 of the Prospectus Regulation as it forms part of domestic law by virtue of the EUWA (the “UK Prospectus Regulation”); and (b) the expression “offer” includes the communication in any form and by any means of sufficient information on the terms of the offer and the Notes to be offered so as to enable an investor to decide to purchase or subscribe for the Notes.</w:t>
      </w:r>
    </w:p>
    <w:p>
      <w:pPr>
        <w:spacing w:after="0" w:line="171"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Notes in the UK will be made pursuant to an exemption under the UK Prospectus Regulation from the requirement to publish a prospectus for offers of Notes. Neither this prospectus supplement nor the accompanying prospectus is a prospectus for the purposes of the UK Prospectus Regulation.</w:t>
      </w:r>
    </w:p>
    <w:p>
      <w:pPr>
        <w:spacing w:after="0" w:line="178"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This prospectus supplement and the accompanying prospectus and any other material in relation to the Notes is only being distributed to, and is directed only at, persons in the United Kingdom who are “qualified investors” (as defined in the UK Prospectus Regulation who are also (i) investment professionals falling within Article 19(5) of the Financial Services and Markets Act 2000 (Financial Promotion) Order 2005 (as amended, the “Order”), or (ii) high net worth entities or other persons falling within Articles 49(2)(a) to (d) of the Order, or (iii) persons to whom it would otherwise be lawful to distribute it, all such persons together being referred to as “Relevant Persons”. The Notes are only available to, and any invitation, offer or agreement to subscribe, purchase or otherwise acquire such Notes will be engaged in only with, Relevant Persons. This prospectus supplement and the accompanying prospectus and their contents are confidential and should not be distributed, published or reproduced (in whole or in part) or disclosed by any recipients to any other person in the United Kingdom. Any person in the United Kingdom that is not a Relevant Person should not act or rely on this prospectus supplement and the accompanying prospectus or their contents. The Notes are not being offered to the public in the United Kingdom.</w:t>
      </w:r>
    </w:p>
    <w:p>
      <w:pPr>
        <w:spacing w:after="0" w:line="166"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In addition, in the United Kingdom, each underwriter has represented and agreed the Notes may not be offered other than by an underwriter that: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 and has complied and will comply with all applicable provisions of the FSMA with respect to anything done by it in relation to the Notes in, from or otherwise involving the United Kingdom.</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12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No action has been, or will be, taken in Israel that would permit an offering of the Notes or a distribution of this prospectus supplement and the accompanying prospectus to the public in Israel. In particular, neither the prospectus supplement nor the accompanying prospectus has been reviewed or approved by the Israel Securities Authority. The Notes are being offered to a limited number of qualified investors listed on the first addendum of the Securities Law, or a “Qualified Investor”, in all cases under the circumstances that will fall within the private placement exemption of the Israeli Securities Law of 1968, or Securities Law. This prospectus supplement and the accompanying prospectus may not be reproduced or used for any other purpose, nor be furnished to any other person other than those to whom copies have been sent. Any investor in the Notes shall be required to declare in writing prior to such purchase that it qualifies as a Qualified Investor, agrees to be deemed a Qualified Investor, and is aware of the consequences of being classified as a Qualified Investor, that it will comply with the guidelines of the Israel Securities Authority with respect to the sale or offer of securities to Qualified Investors (including those published on September 21, 2014), and that it is purchasing the Notes for its own benefit and on</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its own account and not with the aim or intention of distributing or offering the Notes to other parties. Nothing in this prospectus supplement or the accompanying prospectus should be considered ‘investment advice’, or ‘investment marketing’ as defined in the Regulation of Investment Advice, Investment Marketing and Portfolio Management Law of 1995. Any investor who purchases the Notes shall be required to declare in writing that it has the knowledge, expertise and experience in financial and business matters so as to be capable of evaluating the risks and merits of an investment in the Notes, without relying on any of the materials provided.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Saudi Arabia</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This prospectus supplement may not be distributed in the Kingdom of Saudi Arabia except to such persons as are permitted under the Rules on the Offer of Securities and Continuing Obligations as issued by the board of the Saudi Arabian Capital Market Authority, or CMA, pursuant to resolution number 3-123-2017 dated 9/4/1439H (corresponding to 27/12/2017G) as amended by resolution number 1-104-2019 dated 01/02/1441H (corresponding to 30/09/2019G), as amended. The CMA does not make any representation as to the accuracy or completeness of this prospectus supplement and expressly disclaims any liability whatsoever for any loss arising from, or incurred in reliance upon, any part of this prospectus supplement. Prospective purchasers of the Notes offered hereby should conduct their own due diligence on the accuracy of the information relating to the Notes. If you do not understand the contents of this prospectus supplement, you should consult an authorized financial advisor.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Certain legal matters regarding the securities offered by this prospectus supplement will be passed upon for PennantPark Investment Corporation by Dechert LLP and Venable LLP. Certain legal matters in connection with the offering will be passed upon for the underwriters by Proskauer Rose LLP.</w:t>
      </w:r>
    </w:p>
    <w:p>
      <w:pPr>
        <w:spacing w:after="0" w:line="33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consolidated financial statements and the related consolidated senior securities table of PennantPark Investment Corporation as of September 30, 2020 and 2019 and for each of the years in the three-year period ended September 30, 2020 and the effectiveness of internal control over financial reporting as of September 30, 2020 incorporated in this prospectus supplement by reference from our Annual Report on Form 10-K for the year ended September 30, 2020 have been audited by RSM US LLP, an independent registered public accounting firm, as stated in their reports thereon, incorporated herein by reference, and have been incorporated in this prospectus supplement in reliance upon such reports.</w:t>
      </w:r>
    </w:p>
    <w:p>
      <w:pPr>
        <w:spacing w:after="0" w:line="9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0940"/>
          </w:cols>
          <w:pgMar w:left="320" w:top="459" w:right="6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This prospectus supplement is part of a registration statement that we have filed with the SEC.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and later information that we file with the SEC will automatically update and, where applicable, supersede this information.</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 xml:space="preserve">We incorporate by reference into this prospectus supplement additional documents that we may file with the SEC under Section 13(a), 13(c), 14 or 15(d) of the Exchange Act until all of the securities offered by this prospectus supplement have been sold or we otherwise terminate the offering of these securities; </w:t>
      </w:r>
      <w:r>
        <w:rPr>
          <w:rFonts w:ascii="Arial" w:cs="Arial" w:eastAsia="Arial" w:hAnsi="Arial"/>
          <w:sz w:val="18"/>
          <w:szCs w:val="18"/>
          <w:i w:val="1"/>
          <w:iCs w:val="1"/>
          <w:color w:val="auto"/>
        </w:rPr>
        <w:t>provided, however</w:t>
      </w:r>
      <w:r>
        <w:rPr>
          <w:rFonts w:ascii="Arial" w:cs="Arial" w:eastAsia="Arial" w:hAnsi="Arial"/>
          <w:sz w:val="18"/>
          <w:szCs w:val="18"/>
          <w:color w:val="auto"/>
        </w:rPr>
        <w:t>, that information “furnished” under Item 2.02 or Item 7.01 of Form 8-K or other information “furnished” to the SEC which is not deemed filed is not incorporated by reference in this prospectus supplement.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 supplement incorporates by reference the documents set forth below that have previously been filed with the SEC:</w:t>
      </w:r>
    </w:p>
    <w:p>
      <w:pPr>
        <w:spacing w:after="0" w:line="131" w:lineRule="exact"/>
        <w:rPr>
          <w:sz w:val="20"/>
          <w:szCs w:val="20"/>
          <w:color w:val="auto"/>
        </w:rPr>
      </w:pPr>
    </w:p>
    <w:p>
      <w:pPr>
        <w:ind w:left="1080" w:right="14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fiscal year ended September 30, 2020, filed with the SEC on </w:t>
      </w:r>
      <w:hyperlink r:id="rId66">
        <w:r>
          <w:rPr>
            <w:rFonts w:ascii="Arial" w:cs="Arial" w:eastAsia="Arial" w:hAnsi="Arial"/>
            <w:sz w:val="18"/>
            <w:szCs w:val="18"/>
            <w:u w:val="single" w:color="auto"/>
            <w:color w:val="0000EE"/>
          </w:rPr>
          <w:t>November 19,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amended on </w:t>
      </w:r>
      <w:hyperlink r:id="rId67">
        <w:r>
          <w:rPr>
            <w:rFonts w:ascii="Arial" w:cs="Arial" w:eastAsia="Arial" w:hAnsi="Arial"/>
            <w:sz w:val="18"/>
            <w:szCs w:val="18"/>
            <w:u w:val="single" w:color="auto"/>
            <w:color w:val="0000EE"/>
          </w:rPr>
          <w:t>March 26, 2021</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68">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quarter ended December 31, 2020, filed with the SEC on February 9, 2021;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our Current Report on </w:t>
      </w:r>
      <w:hyperlink r:id="rId69">
        <w:r>
          <w:rPr>
            <w:rFonts w:ascii="Arial" w:cs="Arial" w:eastAsia="Arial" w:hAnsi="Arial"/>
            <w:sz w:val="18"/>
            <w:szCs w:val="18"/>
            <w:u w:val="single" w:color="auto"/>
            <w:color w:val="0000EE"/>
          </w:rPr>
          <w:t>Form 8-K</w:t>
        </w:r>
      </w:hyperlink>
      <w:r>
        <w:rPr>
          <w:rFonts w:ascii="Arial" w:cs="Arial" w:eastAsia="Arial" w:hAnsi="Arial"/>
          <w:sz w:val="18"/>
          <w:szCs w:val="18"/>
          <w:color w:val="auto"/>
        </w:rPr>
        <w:t>, filed with the SEC on February 12, 2021; and</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3"/>
        </w:numPr>
        <w:rPr>
          <w:rFonts w:ascii="Arial" w:cs="Arial" w:eastAsia="Arial" w:hAnsi="Arial"/>
          <w:sz w:val="18"/>
          <w:szCs w:val="18"/>
          <w:color w:val="0000EE"/>
        </w:rPr>
      </w:pPr>
      <w:r>
        <w:rPr>
          <w:rFonts w:ascii="Arial" w:cs="Arial" w:eastAsia="Arial" w:hAnsi="Arial"/>
          <w:sz w:val="18"/>
          <w:szCs w:val="18"/>
          <w:color w:val="auto"/>
        </w:rPr>
        <w:t xml:space="preserve">our Definitive Proxy Statement on </w:t>
      </w:r>
      <w:hyperlink r:id="rId70">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xml:space="preserve">, filed with the SEC on December 8, 2020 (to the extent incorporated by reference into </w:t>
      </w:r>
      <w:hyperlink r:id="rId71">
        <w:r>
          <w:rPr>
            <w:rFonts w:ascii="Arial" w:cs="Arial" w:eastAsia="Arial" w:hAnsi="Arial"/>
            <w:sz w:val="18"/>
            <w:szCs w:val="18"/>
            <w:u w:val="single" w:color="auto"/>
            <w:color w:val="0000EE"/>
          </w:rPr>
          <w:t>Part III</w:t>
        </w:r>
        <w:r>
          <w:rPr>
            <w:rFonts w:ascii="Arial" w:cs="Arial" w:eastAsia="Arial" w:hAnsi="Arial"/>
            <w:sz w:val="18"/>
            <w:szCs w:val="18"/>
            <w:color w:val="0000EE"/>
          </w:rPr>
          <w:t xml:space="preserve"> </w:t>
        </w:r>
      </w:hyperlink>
      <w:r>
        <w:rPr>
          <w:rFonts w:ascii="Arial" w:cs="Arial" w:eastAsia="Arial" w:hAnsi="Arial"/>
          <w:sz w:val="18"/>
          <w:szCs w:val="18"/>
          <w:color w:val="000000"/>
        </w:rPr>
        <w:t>of</w:t>
      </w:r>
      <w:r>
        <w:rPr>
          <w:rFonts w:ascii="Arial" w:cs="Arial" w:eastAsia="Arial" w:hAnsi="Arial"/>
          <w:sz w:val="18"/>
          <w:szCs w:val="18"/>
          <w:color w:val="0000EE"/>
        </w:rPr>
        <w:t xml:space="preserve"> </w:t>
      </w:r>
      <w:r>
        <w:rPr>
          <w:rFonts w:ascii="Arial" w:cs="Arial" w:eastAsia="Arial" w:hAnsi="Arial"/>
          <w:sz w:val="18"/>
          <w:szCs w:val="18"/>
          <w:color w:val="000000"/>
        </w:rPr>
        <w:t>our Annual Report on Form 10-K for the fiscal year ended September 30, 2020).</w:t>
      </w:r>
    </w:p>
    <w:p>
      <w:pPr>
        <w:spacing w:after="0" w:line="170"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To obtain copies of these filings, see “</w:t>
      </w:r>
      <w:r>
        <w:rPr>
          <w:rFonts w:ascii="Arial" w:cs="Arial" w:eastAsia="Arial" w:hAnsi="Arial"/>
          <w:sz w:val="18"/>
          <w:szCs w:val="18"/>
          <w:i w:val="1"/>
          <w:iCs w:val="1"/>
          <w:color w:val="auto"/>
        </w:rPr>
        <w:t>Available Information</w:t>
      </w:r>
      <w:r>
        <w:rPr>
          <w:rFonts w:ascii="Arial" w:cs="Arial" w:eastAsia="Arial" w:hAnsi="Arial"/>
          <w:sz w:val="18"/>
          <w:szCs w:val="18"/>
          <w:color w:val="auto"/>
        </w:rPr>
        <w:t>.”</w:t>
      </w:r>
    </w:p>
    <w:p>
      <w:pPr>
        <w:spacing w:after="0" w:line="158"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Except for the documents incorporated by reference into this prospectus supplement and the accompanying prospectus,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information on our website is not part of this prospectus supplement or the accompanying prospectus. The SEC maintains an Internet website that contains reports, proxy and information statements and other information filed electronically by us with the SEC which are available free of charge on the SEC’s Internet website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w:t>
      </w:r>
    </w:p>
    <w:p>
      <w:pPr>
        <w:spacing w:after="0" w:line="1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0940"/>
          </w:cols>
          <w:pgMar w:left="320" w:top="459" w:right="6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139700</wp:posOffset>
            </wp:positionV>
            <wp:extent cx="1765935" cy="4286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17659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Preferred Stock</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Warrants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Subscription Rights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Debt Securities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Units</w:t>
      </w:r>
    </w:p>
    <w:p>
      <w:pPr>
        <w:spacing w:after="0" w:line="96" w:lineRule="exact"/>
        <w:rPr>
          <w:sz w:val="20"/>
          <w:szCs w:val="20"/>
          <w:color w:val="auto"/>
        </w:rPr>
      </w:pPr>
    </w:p>
    <w:p>
      <w:pPr>
        <w:ind w:left="120" w:right="280" w:firstLine="551"/>
        <w:spacing w:after="0" w:line="268" w:lineRule="auto"/>
        <w:rPr>
          <w:sz w:val="20"/>
          <w:szCs w:val="20"/>
          <w:color w:val="auto"/>
        </w:rPr>
      </w:pPr>
      <w:r>
        <w:rPr>
          <w:rFonts w:ascii="Arial" w:cs="Arial" w:eastAsia="Arial" w:hAnsi="Arial"/>
          <w:sz w:val="18"/>
          <w:szCs w:val="18"/>
          <w:color w:val="auto"/>
        </w:rPr>
        <w:t>PennantPark Investment Corporation is a closed-end, externally managed, non-diversified investment company that has elected to be treated as a business development company under the Investment Company Act of 1940, as amended.</w:t>
      </w:r>
    </w:p>
    <w:p>
      <w:pPr>
        <w:spacing w:after="0" w:line="51" w:lineRule="exact"/>
        <w:rPr>
          <w:sz w:val="20"/>
          <w:szCs w:val="20"/>
          <w:color w:val="auto"/>
        </w:rPr>
      </w:pPr>
    </w:p>
    <w:p>
      <w:pPr>
        <w:ind w:left="120" w:right="140" w:firstLine="551"/>
        <w:spacing w:after="0" w:line="259" w:lineRule="auto"/>
        <w:rPr>
          <w:sz w:val="20"/>
          <w:szCs w:val="20"/>
          <w:color w:val="auto"/>
        </w:rPr>
      </w:pPr>
      <w:r>
        <w:rPr>
          <w:rFonts w:ascii="Arial" w:cs="Arial" w:eastAsia="Arial" w:hAnsi="Arial"/>
          <w:sz w:val="18"/>
          <w:szCs w:val="18"/>
          <w:color w:val="auto"/>
        </w:rPr>
        <w:t>Our investment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 We can offer no assurances that we will achieve our investment objectives.</w:t>
      </w:r>
    </w:p>
    <w:p>
      <w:pPr>
        <w:spacing w:after="0" w:line="59" w:lineRule="exact"/>
        <w:rPr>
          <w:sz w:val="20"/>
          <w:szCs w:val="20"/>
          <w:color w:val="auto"/>
        </w:rPr>
      </w:pPr>
    </w:p>
    <w:p>
      <w:pPr>
        <w:ind w:left="120" w:right="340" w:firstLine="551"/>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left="120" w:firstLine="551"/>
        <w:spacing w:after="0" w:line="308" w:lineRule="auto"/>
        <w:rPr>
          <w:rFonts w:ascii="Arial" w:cs="Arial" w:eastAsia="Arial" w:hAnsi="Arial"/>
          <w:sz w:val="15"/>
          <w:szCs w:val="15"/>
          <w:color w:val="auto"/>
        </w:rPr>
      </w:pPr>
      <w:r>
        <w:rPr>
          <w:rFonts w:ascii="Arial" w:cs="Arial" w:eastAsia="Arial" w:hAnsi="Arial"/>
          <w:sz w:val="15"/>
          <w:szCs w:val="15"/>
          <w:color w:val="auto"/>
        </w:rPr>
        <w:t>We may offer, from time to time, in one or more offerings or series, together or separately, up to $750,000,000 of our common stock, preferred stock, warrants representing rights to purchase shares of our common stock, preferred stock or debt securities, subscription rights, debt securities, or units,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w:t>
      </w:r>
      <w:hyperlink w:anchor="page62">
        <w:r>
          <w:rPr>
            <w:rFonts w:ascii="Arial" w:cs="Arial" w:eastAsia="Arial" w:hAnsi="Arial"/>
            <w:sz w:val="15"/>
            <w:szCs w:val="15"/>
            <w:u w:val="single" w:color="auto"/>
            <w:color w:val="0000EE"/>
          </w:rPr>
          <w:t>Risk Factors</w:t>
        </w:r>
      </w:hyperlink>
      <w:r>
        <w:rPr>
          <w:rFonts w:ascii="Arial" w:cs="Arial" w:eastAsia="Arial" w:hAnsi="Arial"/>
          <w:sz w:val="15"/>
          <w:szCs w:val="15"/>
          <w:color w:val="auto"/>
        </w:rPr>
        <w:t>” on page 7 and “</w:t>
      </w:r>
      <w:hyperlink w:anchor="page68">
        <w:r>
          <w:rPr>
            <w:rFonts w:ascii="Arial" w:cs="Arial" w:eastAsia="Arial" w:hAnsi="Arial"/>
            <w:sz w:val="15"/>
            <w:szCs w:val="15"/>
            <w:u w:val="single" w:color="auto"/>
            <w:color w:val="0000EE"/>
          </w:rPr>
          <w:t>Sales of Common Stock Below Net Asset Value</w:t>
        </w:r>
      </w:hyperlink>
      <w:r>
        <w:rPr>
          <w:rFonts w:ascii="Arial" w:cs="Arial" w:eastAsia="Arial" w:hAnsi="Arial"/>
          <w:sz w:val="15"/>
          <w:szCs w:val="15"/>
          <w:color w:val="auto"/>
        </w:rPr>
        <w:t>” on page 13 of this prospectus for more information.</w:t>
      </w:r>
    </w:p>
    <w:p>
      <w:pPr>
        <w:spacing w:after="0" w:line="27" w:lineRule="exact"/>
        <w:rPr>
          <w:sz w:val="20"/>
          <w:szCs w:val="20"/>
          <w:color w:val="auto"/>
        </w:rPr>
      </w:pPr>
    </w:p>
    <w:p>
      <w:pPr>
        <w:ind w:left="120" w:firstLine="551"/>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“PNNT.” The last reported closing price for our common stock on January 28, 2020 was $6.58 per share, and our net asset value on September 30, 2019 was $8.68 per share. Our 5.50% notes due 2024, or the 2024 Notes, are traded on The Nasdaq Global Select Market under the symbol “PNNTG.” The last reported closing price of the 2024 Notes on January 28, 2020 was $25.65 per $25 unit.</w:t>
      </w:r>
    </w:p>
    <w:p>
      <w:pPr>
        <w:spacing w:after="0" w:line="62" w:lineRule="exact"/>
        <w:rPr>
          <w:sz w:val="20"/>
          <w:szCs w:val="20"/>
          <w:color w:val="auto"/>
        </w:rPr>
      </w:pPr>
    </w:p>
    <w:p>
      <w:pPr>
        <w:ind w:left="120" w:right="40" w:firstLine="551"/>
        <w:spacing w:after="0" w:line="288"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We may also authorize one or more free writing prospectuses to be provided to you in connection with offerings. The prospectus supplement and any free writing prospectus may also add, update, or change information contained in this prospectus. Please read this prospectus, the applicable prospectus supplement, and any free writing prospectus, and the documents incorporated by reference,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41275</wp:posOffset>
            </wp:positionV>
            <wp:extent cx="69951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2" w:lineRule="exact"/>
        <w:rPr>
          <w:sz w:val="20"/>
          <w:szCs w:val="20"/>
          <w:color w:val="auto"/>
        </w:rPr>
      </w:pPr>
    </w:p>
    <w:p>
      <w:pPr>
        <w:ind w:left="120" w:right="60" w:firstLine="440"/>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62">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7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35560</wp:posOffset>
            </wp:positionV>
            <wp:extent cx="6995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6" w:lineRule="exact"/>
        <w:rPr>
          <w:sz w:val="20"/>
          <w:szCs w:val="20"/>
          <w:color w:val="auto"/>
        </w:rPr>
      </w:pPr>
    </w:p>
    <w:p>
      <w:pPr>
        <w:ind w:left="120" w:right="480" w:firstLine="440"/>
        <w:spacing w:after="0" w:line="275"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25400</wp:posOffset>
            </wp:positionV>
            <wp:extent cx="69951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9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Prospectus dated January 30, 2020</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firstLine="551"/>
        <w:spacing w:after="0" w:line="288" w:lineRule="auto"/>
        <w:rPr>
          <w:sz w:val="20"/>
          <w:szCs w:val="20"/>
          <w:color w:val="auto"/>
        </w:rPr>
      </w:pPr>
      <w:r>
        <w:rPr>
          <w:rFonts w:ascii="Arial" w:cs="Arial" w:eastAsia="Arial" w:hAnsi="Arial"/>
          <w:sz w:val="16"/>
          <w:szCs w:val="16"/>
          <w:color w:val="auto"/>
        </w:rPr>
        <w:t>You should rely only on the information contained in this prospectus, any accompanying prospectus supplement, any free writing prospectus and the documents incorporated by reference in this prospectus and any applicable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or free writing prospectuses.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or free writing prospectus is accurate only as of the date of this prospectus or such prospectus supplement or free writing prospectus. We will update these documents to reflect material changes only as required by law. Our business, financial condition, results of operations and prospects may have changed since then.</w:t>
      </w:r>
    </w:p>
    <w:p>
      <w:pPr>
        <w:spacing w:after="0" w:line="280"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160" w:type="dxa"/>
            <w:vAlign w:val="bottom"/>
            <w:gridSpan w:val="4"/>
          </w:tcPr>
          <w:p>
            <w:pPr>
              <w:ind w:left="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0680" w:type="dxa"/>
            <w:vAlign w:val="bottom"/>
            <w:gridSpan w:val="25"/>
            <w:vMerge w:val="restart"/>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PROSPECTUS SUMMARY</w:t>
              </w:r>
            </w:hyperlink>
          </w:p>
        </w:tc>
        <w:tc>
          <w:tcPr>
            <w:tcW w:w="300" w:type="dxa"/>
            <w:vAlign w:val="bottom"/>
            <w:gridSpan w:val="2"/>
          </w:tcPr>
          <w:p>
            <w:pPr>
              <w:spacing w:after="0"/>
              <w:rPr>
                <w:sz w:val="20"/>
                <w:szCs w:val="20"/>
                <w:color w:val="auto"/>
              </w:rPr>
            </w:pPr>
            <w:r>
              <w:rPr>
                <w:rFonts w:ascii="Arial" w:cs="Arial" w:eastAsia="Arial" w:hAnsi="Arial"/>
                <w:sz w:val="13"/>
                <w:szCs w:val="13"/>
                <w:b w:val="1"/>
                <w:bCs w:val="1"/>
                <w:color w:val="auto"/>
                <w:w w:val="89"/>
              </w:rPr>
              <w:t>Page</w:t>
            </w:r>
          </w:p>
        </w:tc>
        <w:tc>
          <w:tcPr>
            <w:tcW w:w="0" w:type="dxa"/>
            <w:vAlign w:val="bottom"/>
          </w:tcPr>
          <w:p>
            <w:pPr>
              <w:spacing w:after="0"/>
              <w:rPr>
                <w:sz w:val="1"/>
                <w:szCs w:val="1"/>
                <w:color w:val="auto"/>
              </w:rPr>
            </w:pPr>
          </w:p>
        </w:tc>
      </w:tr>
      <w:tr>
        <w:trPr>
          <w:trHeight w:val="169"/>
        </w:trPr>
        <w:tc>
          <w:tcPr>
            <w:tcW w:w="10680" w:type="dxa"/>
            <w:vAlign w:val="bottom"/>
            <w:gridSpan w:val="25"/>
            <w:vMerge w:val="continue"/>
          </w:tcPr>
          <w:p>
            <w:pPr>
              <w:spacing w:after="0"/>
              <w:rPr>
                <w:sz w:val="14"/>
                <w:szCs w:val="14"/>
                <w:color w:val="auto"/>
              </w:rPr>
            </w:pPr>
          </w:p>
        </w:tc>
        <w:tc>
          <w:tcPr>
            <w:tcW w:w="2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FEES AND EXPENSES</w:t>
              </w:r>
            </w:hyperlink>
          </w:p>
        </w:tc>
        <w:tc>
          <w:tcPr>
            <w:tcW w:w="8660" w:type="dxa"/>
            <w:vAlign w:val="bottom"/>
            <w:gridSpan w:val="1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2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RISK FACTORS</w:t>
              </w:r>
            </w:hyperlink>
          </w:p>
        </w:tc>
        <w:tc>
          <w:tcPr>
            <w:tcW w:w="520" w:type="dxa"/>
            <w:vAlign w:val="bottom"/>
            <w:tcBorders>
              <w:top w:val="single" w:sz="8" w:color="0000EE"/>
            </w:tcBorders>
            <w:gridSpan w:val="5"/>
          </w:tcPr>
          <w:p>
            <w:pPr>
              <w:spacing w:after="0"/>
              <w:rPr>
                <w:sz w:val="17"/>
                <w:szCs w:val="17"/>
                <w:color w:val="auto"/>
              </w:rPr>
            </w:pPr>
          </w:p>
        </w:tc>
        <w:tc>
          <w:tcPr>
            <w:tcW w:w="8940" w:type="dxa"/>
            <w:vAlign w:val="bottom"/>
            <w:gridSpan w:val="1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63">
              <w:r>
                <w:rPr>
                  <w:rFonts w:ascii="Arial" w:cs="Arial" w:eastAsia="Arial" w:hAnsi="Arial"/>
                  <w:sz w:val="18"/>
                  <w:szCs w:val="18"/>
                  <w:color w:val="0000EE"/>
                  <w:w w:val="92"/>
                </w:rPr>
                <w:t>FORWARD-LOOKING STATEMENTS</w:t>
              </w:r>
            </w:hyperlink>
          </w:p>
        </w:tc>
        <w:tc>
          <w:tcPr>
            <w:tcW w:w="782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65">
              <w:r>
                <w:rPr>
                  <w:rFonts w:ascii="Arial" w:cs="Arial" w:eastAsia="Arial" w:hAnsi="Arial"/>
                  <w:sz w:val="18"/>
                  <w:szCs w:val="18"/>
                  <w:color w:val="0000EE"/>
                  <w:w w:val="87"/>
                </w:rPr>
                <w:t>USE OF PROCEEDS</w:t>
              </w:r>
            </w:hyperlink>
          </w:p>
        </w:tc>
        <w:tc>
          <w:tcPr>
            <w:tcW w:w="9140" w:type="dxa"/>
            <w:vAlign w:val="bottom"/>
            <w:gridSpan w:val="2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SENIOR SECURITIES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PRICE RANGE OF COMMON STOCK</w:t>
              </w:r>
            </w:hyperlink>
          </w:p>
        </w:tc>
        <w:tc>
          <w:tcPr>
            <w:tcW w:w="780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68">
              <w:r>
                <w:rPr>
                  <w:rFonts w:ascii="Arial" w:cs="Arial" w:eastAsia="Arial" w:hAnsi="Arial"/>
                  <w:sz w:val="18"/>
                  <w:szCs w:val="18"/>
                  <w:color w:val="0000EE"/>
                  <w:w w:val="93"/>
                </w:rPr>
                <w:t>SALES OF COMMON STOCK BELOW NET ASSET VALUE</w:t>
              </w:r>
            </w:hyperlink>
          </w:p>
        </w:tc>
        <w:tc>
          <w:tcPr>
            <w:tcW w:w="616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DISTRIBUTIONS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74">
              <w:r>
                <w:rPr>
                  <w:rFonts w:ascii="Arial" w:cs="Arial" w:eastAsia="Arial" w:hAnsi="Arial"/>
                  <w:sz w:val="18"/>
                  <w:szCs w:val="18"/>
                  <w:color w:val="0000EE"/>
                  <w:w w:val="91"/>
                </w:rPr>
                <w:t>PORTFOLIO COMPANIES</w:t>
              </w:r>
            </w:hyperlink>
          </w:p>
        </w:tc>
        <w:tc>
          <w:tcPr>
            <w:tcW w:w="8680" w:type="dxa"/>
            <w:vAlign w:val="bottom"/>
            <w:gridSpan w:val="1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PORTFOLIO MANAGEMENT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83">
              <w:r>
                <w:rPr>
                  <w:rFonts w:ascii="Arial" w:cs="Arial" w:eastAsia="Arial" w:hAnsi="Arial"/>
                  <w:sz w:val="18"/>
                  <w:szCs w:val="18"/>
                  <w:color w:val="0000EE"/>
                  <w:w w:val="93"/>
                </w:rPr>
                <w:t>DETERMINATION OF NET ASSET VALUE</w:t>
              </w:r>
            </w:hyperlink>
          </w:p>
        </w:tc>
        <w:tc>
          <w:tcPr>
            <w:tcW w:w="740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DIVIDEND REINVESTMENT PLAN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DESCRIPTION OF OUR CAPITAL STOCK</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94">
              <w:r>
                <w:rPr>
                  <w:rFonts w:ascii="Arial" w:cs="Arial" w:eastAsia="Arial" w:hAnsi="Arial"/>
                  <w:sz w:val="18"/>
                  <w:szCs w:val="18"/>
                  <w:color w:val="0000EE"/>
                  <w:w w:val="90"/>
                </w:rPr>
                <w:t>DESCRIPTION OF OUR PREFERRED STOCK</w:t>
              </w:r>
            </w:hyperlink>
          </w:p>
        </w:tc>
        <w:tc>
          <w:tcPr>
            <w:tcW w:w="720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DESCRIPTION OF OUR WARRANTS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DESCRIPTION OF OUR SUBSCRIPTION RIGHTS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33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w:anchor="page99">
              <w:r>
                <w:rPr>
                  <w:rFonts w:ascii="Arial" w:cs="Arial" w:eastAsia="Arial" w:hAnsi="Arial"/>
                  <w:sz w:val="18"/>
                  <w:szCs w:val="18"/>
                  <w:color w:val="0000EE"/>
                  <w:w w:val="91"/>
                </w:rPr>
                <w:t>DESCRIPTION OF OUR DEBT SECURITIES</w:t>
              </w:r>
            </w:hyperlink>
          </w:p>
        </w:tc>
        <w:tc>
          <w:tcPr>
            <w:tcW w:w="420" w:type="dxa"/>
            <w:vAlign w:val="bottom"/>
            <w:tcBorders>
              <w:top w:val="single" w:sz="8" w:color="0000EE"/>
            </w:tcBorders>
            <w:gridSpan w:val="2"/>
          </w:tcPr>
          <w:p>
            <w:pPr>
              <w:spacing w:after="0"/>
              <w:rPr>
                <w:sz w:val="17"/>
                <w:szCs w:val="17"/>
                <w:color w:val="auto"/>
              </w:rPr>
            </w:pPr>
          </w:p>
        </w:tc>
        <w:tc>
          <w:tcPr>
            <w:tcW w:w="690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13">
              <w:r>
                <w:rPr>
                  <w:rFonts w:ascii="Arial" w:cs="Arial" w:eastAsia="Arial" w:hAnsi="Arial"/>
                  <w:sz w:val="18"/>
                  <w:szCs w:val="18"/>
                  <w:color w:val="0000EE"/>
                  <w:w w:val="91"/>
                </w:rPr>
                <w:t>DESCRIPTION OF OUR UNITS</w:t>
              </w:r>
            </w:hyperlink>
          </w:p>
        </w:tc>
        <w:tc>
          <w:tcPr>
            <w:tcW w:w="8300" w:type="dxa"/>
            <w:vAlign w:val="bottom"/>
            <w:gridSpan w:val="1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BROKERAGE ALLOCATIONS AND OTHER PRACTICES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1620" w:type="dxa"/>
            <w:vAlign w:val="bottom"/>
            <w:gridSpan w:val="9"/>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MATERIAL U.S. FEDERAL INCOME TAX CONSIDERATIONS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2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w:anchor="page122">
              <w:r>
                <w:rPr>
                  <w:rFonts w:ascii="Arial" w:cs="Arial" w:eastAsia="Arial" w:hAnsi="Arial"/>
                  <w:sz w:val="18"/>
                  <w:szCs w:val="18"/>
                  <w:color w:val="0000EE"/>
                  <w:w w:val="94"/>
                </w:rPr>
                <w:t>PLAN OF DISTRIBUTION</w:t>
              </w:r>
            </w:hyperlink>
          </w:p>
        </w:tc>
        <w:tc>
          <w:tcPr>
            <w:tcW w:w="2740" w:type="dxa"/>
            <w:vAlign w:val="bottom"/>
            <w:tcBorders>
              <w:top w:val="single" w:sz="8" w:color="0000EE"/>
            </w:tcBorders>
            <w:gridSpan w:val="15"/>
          </w:tcPr>
          <w:p>
            <w:pPr>
              <w:spacing w:after="0"/>
              <w:rPr>
                <w:sz w:val="17"/>
                <w:szCs w:val="17"/>
                <w:color w:val="auto"/>
              </w:rPr>
            </w:pPr>
          </w:p>
        </w:tc>
        <w:tc>
          <w:tcPr>
            <w:tcW w:w="594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SUB-ADMINISTRATOR, CUSTODIAN, TRANSFER AGENT AND TRUSTEE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124">
              <w:r>
                <w:rPr>
                  <w:rFonts w:ascii="Arial" w:cs="Arial" w:eastAsia="Arial" w:hAnsi="Arial"/>
                  <w:sz w:val="18"/>
                  <w:szCs w:val="18"/>
                  <w:color w:val="0000EE"/>
                  <w:w w:val="93"/>
                </w:rPr>
                <w:t>LEGAL MATTERS</w:t>
              </w:r>
            </w:hyperlink>
          </w:p>
        </w:tc>
        <w:tc>
          <w:tcPr>
            <w:tcW w:w="4360" w:type="dxa"/>
            <w:vAlign w:val="bottom"/>
            <w:tcBorders>
              <w:top w:val="single" w:sz="8" w:color="0000EE"/>
            </w:tcBorders>
            <w:gridSpan w:val="20"/>
          </w:tcPr>
          <w:p>
            <w:pPr>
              <w:spacing w:after="0"/>
              <w:rPr>
                <w:sz w:val="17"/>
                <w:szCs w:val="17"/>
                <w:color w:val="auto"/>
              </w:rPr>
            </w:pPr>
          </w:p>
        </w:tc>
        <w:tc>
          <w:tcPr>
            <w:tcW w:w="490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0000EE"/>
            </w:tcBorders>
            <w:gridSpan w:val="24"/>
          </w:tcPr>
          <w:p>
            <w:pPr>
              <w:spacing w:after="0" w:line="196" w:lineRule="exact"/>
              <w:rPr>
                <w:rFonts w:ascii="Arial" w:cs="Arial" w:eastAsia="Arial" w:hAnsi="Arial"/>
                <w:sz w:val="18"/>
                <w:szCs w:val="18"/>
                <w:color w:val="0000EE"/>
                <w:w w:val="94"/>
              </w:rPr>
            </w:pPr>
            <w:hyperlink w:anchor="page124">
              <w:r>
                <w:rPr>
                  <w:rFonts w:ascii="Arial" w:cs="Arial" w:eastAsia="Arial" w:hAnsi="Arial"/>
                  <w:sz w:val="18"/>
                  <w:szCs w:val="18"/>
                  <w:color w:val="0000EE"/>
                  <w:w w:val="94"/>
                </w:rPr>
                <w:t>INDEPENDENT REGISTERED PUBLIC ACCOUNTING FIRM/INDEPENDENT AUDITOR</w:t>
              </w:r>
            </w:hyperlink>
          </w:p>
        </w:tc>
        <w:tc>
          <w:tcPr>
            <w:tcW w:w="39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0680" w:type="dxa"/>
            <w:vAlign w:val="bottom"/>
            <w:gridSpan w:val="25"/>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INCORPORATION BY REFERENCE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27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AVAILABLE INFORMATION</w:t>
              </w:r>
            </w:hyperlink>
          </w:p>
        </w:tc>
        <w:tc>
          <w:tcPr>
            <w:tcW w:w="794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120" w:firstLine="551"/>
        <w:spacing w:after="0" w:line="306" w:lineRule="auto"/>
        <w:rPr>
          <w:sz w:val="20"/>
          <w:szCs w:val="20"/>
          <w:color w:val="auto"/>
        </w:rPr>
      </w:pPr>
      <w:r>
        <w:rPr>
          <w:rFonts w:ascii="Arial" w:cs="Arial" w:eastAsia="Arial" w:hAnsi="Arial"/>
          <w:sz w:val="15"/>
          <w:szCs w:val="15"/>
          <w:color w:val="auto"/>
        </w:rPr>
        <w:t>This prospectus is part of a registration statement that we have filed with the SEC using the “shelf” registration process. Under the shelf registration process, we may offer from time to time up to $750,000,000 of our common stock, preferred stock, warrants representing rights to purchase shares of our common stock, preferred stock or debt securities, subscription rights, debt securities, or units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and any free writing prospectus, together with any exhibits and the additional information described in the sections titled “Incorporation By Reference” and “Available Information,” before you make an investment decision.</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40"/>
          </w:cols>
          <w:pgMar w:left="320" w:top="459" w:right="5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620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6998970" cy="59620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firstLine="426"/>
        <w:spacing w:after="0" w:line="284"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or free writing prospectus, except where the context suggests otherwise: the terms “we,” “us,” “our” and “Company” refer to PennantPark Investment Corporation and its consolidated subsidiaries; “PennantPark Investment” refers to only PennantPark Investment Corporation; “our SBIC Funds” refers collectively to our consolidated subsidiaries, PennantPark SBIC LP, or SBIC LP, and its general partner, PennantPark SBIC GP, LLC, prior to dissolution and PennantPark SBIC II LP, or SBIC II, and its general partner, PennantPark SBIC GP II, LLC; “Funding I” refers to PennantPark Investment Funding I, LLC; “Taxable Subsidiaries” refers to PNNT Cascade Environmental Holdings, LLC, PNNT CI (Galls) Prime Investment Holdings, LLC, PNNT ecoserve, LLC, PNNT Investment Holdings, LLC and PNNT New Gulf Resources, LLC, all of which are consolidated with PennantPark Investment for financial reporting purposes; “PennantPark Investment Advisers” or “Investment Adviser” refers to PennantPark Investment Advisers, LLC; “PennantPark Investment Administration” or “Administrator” refers to PennantPark Investment Administration, LLC; “SBA” refers to the Small Business Administration; “BNP Credit Facility” refers to our revolving credit facility with BNP Paribas; “SunTrust Credit Facility” refers to our multi-currency, senior secured revolving credit facility with SunTrust Bank, as amended and restated; “Credit Facilities” refers to the BNP Credit Facility and SunTrust Credit Facility collectively; “2019 Notes” refers to our 4.50% notes due 2019 which were redeemed in March 2019; “2024 Notes” refers to our 5.50% Notes due 2024; “2025 Notes” refers to our 6.25% notes due 2025; “1940 Act” refers to the Investment Company Act of 1940, as amended; “1958 Act” refers to the Small Business Investment Act of 1958, as amended; “Code” refers to the Internal Revenue Code of 1986, as amended; “RIC” refers to a regulated investment company under the Code; and “BDC” refers to a business development company under the 1940 Act.</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121" w:lineRule="exact"/>
        <w:rPr>
          <w:sz w:val="20"/>
          <w:szCs w:val="20"/>
          <w:color w:val="auto"/>
        </w:rPr>
      </w:pPr>
    </w:p>
    <w:p>
      <w:pPr>
        <w:ind w:left="300" w:right="160" w:firstLine="426"/>
        <w:spacing w:after="0" w:line="263" w:lineRule="auto"/>
        <w:rPr>
          <w:sz w:val="20"/>
          <w:szCs w:val="20"/>
          <w:color w:val="auto"/>
        </w:rPr>
      </w:pPr>
      <w:r>
        <w:rPr>
          <w:rFonts w:ascii="Arial" w:cs="Arial" w:eastAsia="Arial" w:hAnsi="Arial"/>
          <w:sz w:val="18"/>
          <w:szCs w:val="18"/>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143" w:lineRule="exact"/>
        <w:rPr>
          <w:sz w:val="20"/>
          <w:szCs w:val="20"/>
          <w:color w:val="auto"/>
        </w:rPr>
      </w:pPr>
    </w:p>
    <w:p>
      <w:pPr>
        <w:ind w:left="300" w:right="60" w:firstLine="426"/>
        <w:spacing w:after="0" w:line="269" w:lineRule="auto"/>
        <w:rPr>
          <w:sz w:val="20"/>
          <w:szCs w:val="20"/>
          <w:color w:val="auto"/>
        </w:rPr>
      </w:pPr>
      <w:r>
        <w:rPr>
          <w:rFonts w:ascii="Arial" w:cs="Arial" w:eastAsia="Arial" w:hAnsi="Arial"/>
          <w:sz w:val="17"/>
          <w:szCs w:val="17"/>
          <w:color w:val="auto"/>
        </w:rPr>
        <w:t>We believe U.S.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or S&amp;P,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firstLine="426"/>
        <w:spacing w:after="0" w:line="255"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 For a description of our debt capital, please see “Management’s Discussion and Analysis of Financial Condition and Results of Operations—Liquidity and Capital Resources” in our most recent Annual Report on Form 10-K or Quarterly Report on Form 10-Q.</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left="300" w:right="260" w:firstLine="426"/>
        <w:spacing w:after="0" w:line="263"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4" w:lineRule="exact"/>
        <w:rPr>
          <w:sz w:val="20"/>
          <w:szCs w:val="20"/>
          <w:color w:val="auto"/>
        </w:rPr>
      </w:pPr>
    </w:p>
    <w:p>
      <w:pPr>
        <w:ind w:left="300" w:right="100" w:firstLine="426"/>
        <w:spacing w:after="0" w:line="255" w:lineRule="auto"/>
        <w:rPr>
          <w:sz w:val="20"/>
          <w:szCs w:val="20"/>
          <w:color w:val="auto"/>
        </w:rPr>
      </w:pPr>
      <w:r>
        <w:rPr>
          <w:rFonts w:ascii="Arial" w:cs="Arial" w:eastAsia="Arial" w:hAnsi="Arial"/>
          <w:sz w:val="18"/>
          <w:szCs w:val="18"/>
          <w:color w:val="auto"/>
        </w:rPr>
        <w:t>SBIC II, our wholly owned subsidiary, was organized in Delaware as a limited partnership in July 2012. SBIC II received a license from the SBA to operate as a Small Business Investment Company, or SBIC, under Section 301(c) of the Small Business Investment Act of 1958, as amended, or the 1958 Act, in 2013. SBIC II’s objectives are to generate both current income and capital appreciation through debt and equity investments generally by investing with us in SBA-eligible businesses that meet the investment selection criteria used by PennantPark Investment. SBIC II may rely on an exclusion from the definition of “investment company” under the 1940 Act. As such, it will not elect to be regulated as a BDC under the 1940 Act.</w:t>
      </w:r>
    </w:p>
    <w:p>
      <w:pPr>
        <w:spacing w:after="0" w:line="192" w:lineRule="exact"/>
        <w:rPr>
          <w:sz w:val="20"/>
          <w:szCs w:val="20"/>
          <w:color w:val="auto"/>
        </w:rPr>
      </w:pPr>
    </w:p>
    <w:p>
      <w:pPr>
        <w:ind w:left="300" w:right="200" w:firstLine="426"/>
        <w:spacing w:after="0" w:line="259"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February 2019. We formed Funding I in order to establish the BNP Credit Facility. The Investment Adviser serves as the servicer to Funding I and has irrevocably directed that the management fee owed to it with respect to such services be paid to us so long as the Investment Adviser remains the servicer. This arrangement does not increase our consolidated management fee.</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300" w:firstLine="426"/>
        <w:spacing w:after="0" w:line="289"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$10 billion in 526 companies with approximately 185 different financial sponsors through its managed funds.</w:t>
      </w:r>
    </w:p>
    <w:p>
      <w:pPr>
        <w:spacing w:after="0" w:line="166" w:lineRule="exact"/>
        <w:rPr>
          <w:sz w:val="20"/>
          <w:szCs w:val="20"/>
          <w:color w:val="auto"/>
        </w:rPr>
      </w:pPr>
    </w:p>
    <w:p>
      <w:pPr>
        <w:ind w:left="300" w:right="260" w:firstLine="426"/>
        <w:spacing w:after="0" w:line="275" w:lineRule="auto"/>
        <w:rPr>
          <w:sz w:val="20"/>
          <w:szCs w:val="20"/>
          <w:color w:val="auto"/>
        </w:rPr>
      </w:pPr>
      <w:r>
        <w:rPr>
          <w:rFonts w:ascii="Arial" w:cs="Arial" w:eastAsia="Arial" w:hAnsi="Arial"/>
          <w:sz w:val="17"/>
          <w:szCs w:val="17"/>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86" w:lineRule="auto"/>
        <w:rPr>
          <w:sz w:val="20"/>
          <w:szCs w:val="20"/>
          <w:color w:val="auto"/>
        </w:rPr>
      </w:pPr>
      <w:r>
        <w:rPr>
          <w:rFonts w:ascii="Arial" w:cs="Arial" w:eastAsia="Arial" w:hAnsi="Arial"/>
          <w:sz w:val="17"/>
          <w:szCs w:val="17"/>
          <w:color w:val="auto"/>
        </w:rPr>
        <w:t>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in our most recent Annual Report on Form 10-K for more information.</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 From our perspective, middle-market companies have faced difficulty in raising debt through private and public capital markets. We believe that, as a result of the difficulties in the credit markets and fewer sources of capital for middle-market companies, we see opportunities for improved risk-reward on our investments. Furthermore, we believe with a large pool of uninvested private equity capital seeking debt capital to complete private investments and a substantial supply of refinancing opportunities, there is an opportunity to attain attractive risk-reward returns with debt investments. See “Business” in our most recent Annual Report on Form 10-K for more information.</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220" w:firstLine="426"/>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or free writing prospectus relating to an offering will more fully identify the use of the proceeds from such offering. See “Use of Proceeds” for more information.</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Distributions on Common Stock</w:t>
      </w:r>
    </w:p>
    <w:p>
      <w:pPr>
        <w:spacing w:after="0" w:line="121" w:lineRule="exact"/>
        <w:rPr>
          <w:sz w:val="20"/>
          <w:szCs w:val="20"/>
          <w:color w:val="auto"/>
        </w:rPr>
      </w:pPr>
    </w:p>
    <w:p>
      <w:pPr>
        <w:ind w:left="300" w:right="140" w:firstLine="426"/>
        <w:spacing w:after="0" w:line="277" w:lineRule="auto"/>
        <w:rPr>
          <w:sz w:val="20"/>
          <w:szCs w:val="20"/>
          <w:color w:val="auto"/>
        </w:rPr>
      </w:pPr>
      <w:r>
        <w:rPr>
          <w:rFonts w:ascii="Arial" w:cs="Arial" w:eastAsia="Arial" w:hAnsi="Arial"/>
          <w:sz w:val="18"/>
          <w:szCs w:val="18"/>
          <w:color w:val="auto"/>
        </w:rPr>
        <w:t>We intend to continue making quarterly distributions to our common stockholders. Our quarterly distributions, if any, are determined by our board of directors. Distributions may include a return of capital. See “Distributions” for more information.</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Dividends on Preferred Stock</w:t>
      </w:r>
    </w:p>
    <w:p>
      <w:pPr>
        <w:spacing w:after="0" w:line="121"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 Reinvestment Plan</w:t>
      </w:r>
    </w:p>
    <w:p>
      <w:pPr>
        <w:spacing w:after="0" w:line="121" w:lineRule="exact"/>
        <w:rPr>
          <w:sz w:val="20"/>
          <w:szCs w:val="20"/>
          <w:color w:val="auto"/>
        </w:rPr>
      </w:pPr>
    </w:p>
    <w:p>
      <w:pPr>
        <w:ind w:left="300" w:right="140" w:firstLine="532"/>
        <w:spacing w:after="0" w:line="275" w:lineRule="auto"/>
        <w:rPr>
          <w:sz w:val="20"/>
          <w:szCs w:val="20"/>
          <w:color w:val="auto"/>
        </w:rPr>
      </w:pPr>
      <w:r>
        <w:rPr>
          <w:rFonts w:ascii="Arial" w:cs="Arial" w:eastAsia="Arial" w:hAnsi="Arial"/>
          <w:sz w:val="17"/>
          <w:szCs w:val="17"/>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333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6998970" cy="43332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300" w:right="380" w:firstLine="426"/>
        <w:spacing w:after="0" w:line="277" w:lineRule="auto"/>
        <w:rPr>
          <w:sz w:val="20"/>
          <w:szCs w:val="20"/>
          <w:color w:val="auto"/>
        </w:rPr>
      </w:pPr>
      <w:r>
        <w:rPr>
          <w:rFonts w:ascii="Arial" w:cs="Arial" w:eastAsia="Arial" w:hAnsi="Arial"/>
          <w:sz w:val="18"/>
          <w:szCs w:val="18"/>
          <w:color w:val="auto"/>
        </w:rPr>
        <w:t>We may offer, from time to time, up to $750 million of our securities, on terms to be determined at the time of each such offering and set forth in a supplement to this prospectus.</w:t>
      </w:r>
    </w:p>
    <w:p>
      <w:pPr>
        <w:spacing w:after="0" w:line="170"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any accompanying supplements to this prospectus may not exceed 10% of the aggregate offering price of the securities as set forth on the cover page of such supplement to this prospectus.</w:t>
      </w:r>
    </w:p>
    <w:p>
      <w:pPr>
        <w:spacing w:after="0" w:line="192" w:lineRule="exact"/>
        <w:rPr>
          <w:sz w:val="20"/>
          <w:szCs w:val="20"/>
          <w:color w:val="auto"/>
        </w:rPr>
      </w:pPr>
    </w:p>
    <w:p>
      <w:pPr>
        <w:ind w:left="300" w:right="480" w:firstLine="426"/>
        <w:spacing w:after="0" w:line="308" w:lineRule="auto"/>
        <w:rPr>
          <w:sz w:val="20"/>
          <w:szCs w:val="20"/>
          <w:color w:val="auto"/>
        </w:rPr>
      </w:pPr>
      <w:r>
        <w:rPr>
          <w:rFonts w:ascii="Arial" w:cs="Arial" w:eastAsia="Arial" w:hAnsi="Arial"/>
          <w:sz w:val="17"/>
          <w:szCs w:val="17"/>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300" w:firstLine="426"/>
        <w:spacing w:after="0" w:line="301" w:lineRule="auto"/>
        <w:rPr>
          <w:sz w:val="20"/>
          <w:szCs w:val="20"/>
          <w:color w:val="auto"/>
        </w:rPr>
      </w:pPr>
      <w:r>
        <w:rPr>
          <w:rFonts w:ascii="Arial" w:cs="Arial" w:eastAsia="Arial" w:hAnsi="Arial"/>
          <w:sz w:val="16"/>
          <w:szCs w:val="16"/>
          <w:color w:val="auto"/>
        </w:rPr>
        <w:t>Our business is subject to numerous risks, as described in the section titled “Risk Factors” in this prospectus, the applicable prospectus supplement and related free writing prospectuses we may authorize for use in connection with a specific offering, if any, and under similar headings in the documents that are incorporated by reference into this prospectus, including the section titled “Risk Factors” included in our most recent Annual Report on Form 10-K and Quarterly Reports on Form 10-Q, as well as any amendments reflected in subsequent filings with the SEC.</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 xml:space="preserve">Our administrative and principal executive offices are located at 590 Madison Avenue, 15th Floor, New York, NY 10022. Our phone number is (212) 905-1000, and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120" w:right="60" w:firstLine="551"/>
        <w:spacing w:after="0" w:line="275" w:lineRule="auto"/>
        <w:rPr>
          <w:sz w:val="20"/>
          <w:szCs w:val="20"/>
          <w:color w:val="auto"/>
        </w:rPr>
      </w:pPr>
      <w:r>
        <w:rPr>
          <w:rFonts w:ascii="Arial" w:cs="Arial" w:eastAsia="Arial" w:hAnsi="Arial"/>
          <w:sz w:val="17"/>
          <w:szCs w:val="17"/>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or any prospectus supplements, if any, contains a reference to fees or expenses paid by “you” or “us” or that “we” will pay, stockholders will indirectly bear such fees or expenses as investors in us.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20" w:type="dxa"/>
            <w:vAlign w:val="bottom"/>
          </w:tcPr>
          <w:p>
            <w:pPr>
              <w:spacing w:after="0"/>
              <w:rPr>
                <w:sz w:val="20"/>
                <w:szCs w:val="20"/>
                <w:color w:val="auto"/>
              </w:rPr>
            </w:pPr>
            <w:r>
              <w:rPr>
                <w:rFonts w:ascii="Arial" w:cs="Arial" w:eastAsia="Arial" w:hAnsi="Arial"/>
                <w:sz w:val="18"/>
                <w:szCs w:val="18"/>
                <w:color w:val="auto"/>
              </w:rPr>
              <w:t>Sales load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10220" w:type="dxa"/>
            <w:vAlign w:val="bottom"/>
          </w:tcPr>
          <w:p>
            <w:pPr>
              <w:spacing w:after="0"/>
              <w:rPr>
                <w:sz w:val="20"/>
                <w:szCs w:val="20"/>
                <w:color w:val="auto"/>
              </w:rPr>
            </w:pPr>
            <w:r>
              <w:rPr>
                <w:rFonts w:ascii="Arial" w:cs="Arial" w:eastAsia="Arial" w:hAnsi="Arial"/>
                <w:sz w:val="18"/>
                <w:szCs w:val="18"/>
                <w:color w:val="auto"/>
              </w:rPr>
              <w:t>Total stockholder expenses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22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9"/>
                <w:szCs w:val="19"/>
                <w:color w:val="auto"/>
                <w:vertAlign w:val="superscript"/>
              </w:rPr>
              <w:t>(3)</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20" w:type="dxa"/>
            <w:vAlign w:val="bottom"/>
          </w:tcPr>
          <w:p>
            <w:pPr>
              <w:spacing w:after="0"/>
              <w:rPr>
                <w:sz w:val="20"/>
                <w:szCs w:val="20"/>
                <w:color w:val="auto"/>
              </w:rPr>
            </w:pPr>
            <w:r>
              <w:rPr>
                <w:rFonts w:ascii="Arial" w:cs="Arial" w:eastAsia="Arial" w:hAnsi="Arial"/>
                <w:sz w:val="18"/>
                <w:szCs w:val="18"/>
                <w:color w:val="auto"/>
              </w:rPr>
              <w:t>Management fees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3.13%</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0.85%</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1022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6.29%</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0.98%</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
        </w:trPr>
        <w:tc>
          <w:tcPr>
            <w:tcW w:w="10220" w:type="dxa"/>
            <w:vAlign w:val="bottom"/>
            <w:vMerge w:val="restart"/>
          </w:tcPr>
          <w:p>
            <w:pPr>
              <w:spacing w:after="0"/>
              <w:rPr>
                <w:sz w:val="20"/>
                <w:szCs w:val="20"/>
                <w:color w:val="auto"/>
              </w:rPr>
            </w:pPr>
            <w:r>
              <w:rPr>
                <w:rFonts w:ascii="Arial" w:cs="Arial" w:eastAsia="Arial" w:hAnsi="Arial"/>
                <w:sz w:val="18"/>
                <w:szCs w:val="18"/>
                <w:b w:val="1"/>
                <w:bCs w:val="1"/>
                <w:color w:val="auto"/>
              </w:rPr>
              <w:t>Total estimated annual expenses</w:t>
            </w: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220" w:type="dxa"/>
            <w:vAlign w:val="bottom"/>
            <w:vMerge w:val="continue"/>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11.25%</w:t>
            </w:r>
            <w:r>
              <w:rPr>
                <w:rFonts w:ascii="Arial" w:cs="Arial" w:eastAsia="Arial" w:hAnsi="Arial"/>
                <w:sz w:val="15"/>
                <w:szCs w:val="15"/>
                <w:color w:val="auto"/>
                <w:w w:val="95"/>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4" w:lineRule="exact"/>
        <w:rPr>
          <w:sz w:val="20"/>
          <w:szCs w:val="20"/>
          <w:color w:val="auto"/>
        </w:rPr>
      </w:pPr>
    </w:p>
    <w:p>
      <w:pPr>
        <w:ind w:left="540" w:right="820" w:hanging="424"/>
        <w:spacing w:after="0" w:line="258"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spacing w:after="0" w:line="1" w:lineRule="exact"/>
        <w:rPr>
          <w:rFonts w:ascii="Arial" w:cs="Arial" w:eastAsia="Arial" w:hAnsi="Arial"/>
          <w:sz w:val="18"/>
          <w:szCs w:val="18"/>
          <w:color w:val="auto"/>
        </w:rPr>
      </w:pPr>
    </w:p>
    <w:p>
      <w:pPr>
        <w:ind w:left="540" w:right="140" w:hanging="424"/>
        <w:spacing w:after="0" w:line="250"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as of September 30, 2019.</w:t>
      </w:r>
    </w:p>
    <w:p>
      <w:pPr>
        <w:spacing w:after="0" w:line="9" w:lineRule="exact"/>
        <w:rPr>
          <w:rFonts w:ascii="Arial" w:cs="Arial" w:eastAsia="Arial" w:hAnsi="Arial"/>
          <w:sz w:val="18"/>
          <w:szCs w:val="18"/>
          <w:color w:val="auto"/>
        </w:rPr>
      </w:pPr>
    </w:p>
    <w:p>
      <w:pPr>
        <w:jc w:val="both"/>
        <w:ind w:left="540" w:right="100" w:hanging="424"/>
        <w:spacing w:after="0" w:line="281"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contractual management fee is calculated at an annual rate of 1.50% of our average adjusted gross assets up to 200% of the Company’s total net assets as of the immediately preceding quarter-end and 1.00% for amounts that exceed such amount on September 30, 2019. See “Business— Investment Management Agreement” and “Business—Management Fees” in our most recent Annual Report on Form 10-K for more information.</w:t>
      </w:r>
    </w:p>
    <w:p>
      <w:pPr>
        <w:spacing w:after="0" w:line="1" w:lineRule="exact"/>
        <w:rPr>
          <w:rFonts w:ascii="Arial" w:cs="Arial" w:eastAsia="Arial" w:hAnsi="Arial"/>
          <w:sz w:val="16"/>
          <w:szCs w:val="16"/>
          <w:color w:val="auto"/>
        </w:rPr>
      </w:pPr>
    </w:p>
    <w:p>
      <w:pPr>
        <w:ind w:left="540" w:right="60" w:hanging="424"/>
        <w:spacing w:after="0" w:line="265" w:lineRule="auto"/>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portion of incentive fees paid with respect to net investment income and capital gains, if any, is based on actual amounts incurred during the fiscal year ended September 30, 2019.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17.5%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fiscal year ended September 30, 2019. For more detailed information about the incentive fee, please see “Business—Investment Management Agreement” and “Business—Management Fees” in our most recent Annual Report on Form 10-K for more information.</w:t>
      </w:r>
    </w:p>
    <w:p>
      <w:pPr>
        <w:spacing w:after="0" w:line="1" w:lineRule="exact"/>
        <w:rPr>
          <w:rFonts w:ascii="Arial" w:cs="Arial" w:eastAsia="Arial" w:hAnsi="Arial"/>
          <w:sz w:val="17"/>
          <w:szCs w:val="17"/>
          <w:color w:val="auto"/>
        </w:rPr>
      </w:pPr>
    </w:p>
    <w:p>
      <w:pPr>
        <w:ind w:left="540" w:right="60" w:hanging="424"/>
        <w:spacing w:after="0" w:line="273" w:lineRule="auto"/>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As of September 30, 2019, we had $252.4 million of unused borrowing capacity, subject to maintenance of the applicable total assets to debt ratio, under the 1940 Act. As of such date, we had $301.6 million in borrowings outstanding under our $475.0 million SunTrust Credit Facility, $171.0 million in borrowings outstanding under our $250.0 million BNP Credit Facility and $75.0 million in aggregate principal of 2024 Notes. As of September 30, 2019, our SBIC Funds had debenture commitments from the SBA in the amount</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40"/>
        <w:spacing w:after="0" w:line="268" w:lineRule="auto"/>
        <w:rPr>
          <w:sz w:val="20"/>
          <w:szCs w:val="20"/>
          <w:color w:val="auto"/>
        </w:rPr>
      </w:pPr>
      <w:r>
        <w:rPr>
          <w:rFonts w:ascii="Arial" w:cs="Arial" w:eastAsia="Arial" w:hAnsi="Arial"/>
          <w:sz w:val="17"/>
          <w:szCs w:val="17"/>
          <w:color w:val="auto"/>
        </w:rPr>
        <w:t>of $150.0 million, all of which were outstanding with a weighted average interest rate of 3.11%, exclusive of the 3.43% of upfront fees. We may use proceeds of an offering of securities under this registration statement to repay outstanding obligations under our Credit Facilities. After completing any such offering, we may continue to borrow under our Credit Facilities to finance our investment objectives. Annual interest expense on borrowed funds represents actual interest expense incurred for the fiscal year ended September 30, 2019 and amendment costs and make-whole premiums, if any, and we caution you that our actual interest expense will depend on prevailing interest rates and our rate of borrowing, which may be substantially higher than the estimate provided in this table.</w:t>
      </w:r>
    </w:p>
    <w:p>
      <w:pPr>
        <w:spacing w:after="0" w:line="1" w:lineRule="exact"/>
        <w:rPr>
          <w:sz w:val="20"/>
          <w:szCs w:val="20"/>
          <w:color w:val="auto"/>
        </w:rPr>
      </w:pPr>
    </w:p>
    <w:p>
      <w:pPr>
        <w:ind w:left="540" w:right="200" w:hanging="424"/>
        <w:spacing w:after="0" w:line="281"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1" w:lineRule="exact"/>
        <w:rPr>
          <w:rFonts w:ascii="Arial" w:cs="Arial" w:eastAsia="Arial" w:hAnsi="Arial"/>
          <w:sz w:val="16"/>
          <w:szCs w:val="16"/>
          <w:color w:val="auto"/>
        </w:rPr>
      </w:pPr>
    </w:p>
    <w:p>
      <w:pPr>
        <w:ind w:left="540" w:right="20" w:hanging="424"/>
        <w:spacing w:after="0" w:line="270" w:lineRule="auto"/>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5.39% of average total assets.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0.51%, (2) total net annual expenses of 10.40% of average net assets attributable to common shares as set forth in the table above (other than performance-based incentive fees) and (3) a 5% annual return.</w:t>
      </w:r>
    </w:p>
    <w:p>
      <w:pPr>
        <w:spacing w:after="0" w:line="19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You would pay the following expenses on a $1,000 common stock</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1"/>
        </w:trPr>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investment</w:t>
            </w:r>
          </w:p>
        </w:tc>
        <w:tc>
          <w:tcPr>
            <w:tcW w:w="2540" w:type="dxa"/>
            <w:vAlign w:val="bottom"/>
          </w:tcPr>
          <w:p>
            <w:pPr>
              <w:spacing w:after="0"/>
              <w:rPr>
                <w:sz w:val="16"/>
                <w:szCs w:val="16"/>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28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3 Years</w:t>
            </w:r>
          </w:p>
        </w:tc>
        <w:tc>
          <w:tcPr>
            <w:tcW w:w="280" w:type="dxa"/>
            <w:vAlign w:val="bottom"/>
          </w:tcPr>
          <w:p>
            <w:pPr>
              <w:spacing w:after="0"/>
              <w:rPr>
                <w:sz w:val="16"/>
                <w:szCs w:val="16"/>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5 Years</w:t>
            </w: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10 Years</w:t>
            </w:r>
          </w:p>
        </w:tc>
      </w:tr>
      <w:tr>
        <w:trPr>
          <w:trHeight w:val="175"/>
        </w:trPr>
        <w:tc>
          <w:tcPr>
            <w:tcW w:w="65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8"/>
              </w:rPr>
              <w:t>Assuming a 5% annual return (assumes no return from net realized capital gains or</w:t>
            </w:r>
          </w:p>
        </w:tc>
        <w:tc>
          <w:tcPr>
            <w:tcW w:w="4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unrealized capital appreciation)</w:t>
            </w: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$ 133</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312</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473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805</w:t>
            </w:r>
          </w:p>
        </w:tc>
      </w:tr>
      <w:tr>
        <w:trPr>
          <w:trHeight w:val="202"/>
        </w:trPr>
        <w:tc>
          <w:tcPr>
            <w:tcW w:w="6520" w:type="dxa"/>
            <w:vAlign w:val="bottom"/>
            <w:gridSpan w:val="2"/>
          </w:tcPr>
          <w:p>
            <w:pPr>
              <w:spacing w:after="0" w:line="201" w:lineRule="exact"/>
              <w:rPr>
                <w:sz w:val="20"/>
                <w:szCs w:val="20"/>
                <w:color w:val="auto"/>
              </w:rPr>
            </w:pPr>
            <w:r>
              <w:rPr>
                <w:rFonts w:ascii="Arial" w:cs="Arial" w:eastAsia="Arial" w:hAnsi="Arial"/>
                <w:sz w:val="18"/>
                <w:szCs w:val="18"/>
                <w:color w:val="auto"/>
                <w:w w:val="98"/>
              </w:rPr>
              <w:t>Assuming a 5% annual return (assumes return from only realized capital gains and</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thus subject to the capital gains incentive fee)</w:t>
            </w:r>
          </w:p>
        </w:tc>
        <w:tc>
          <w:tcPr>
            <w:tcW w:w="680" w:type="dxa"/>
            <w:vAlign w:val="bottom"/>
            <w:gridSpan w:val="2"/>
          </w:tcPr>
          <w:p>
            <w:pPr>
              <w:spacing w:after="0"/>
              <w:rPr>
                <w:sz w:val="20"/>
                <w:szCs w:val="20"/>
                <w:color w:val="auto"/>
              </w:rPr>
            </w:pPr>
            <w:r>
              <w:rPr>
                <w:rFonts w:ascii="Arial" w:cs="Arial" w:eastAsia="Arial" w:hAnsi="Arial"/>
                <w:sz w:val="18"/>
                <w:szCs w:val="18"/>
                <w:color w:val="auto"/>
              </w:rPr>
              <w:t>$ 140</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332</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500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836</w:t>
            </w:r>
          </w:p>
        </w:tc>
      </w:tr>
    </w:tbl>
    <w:p>
      <w:pPr>
        <w:spacing w:after="0" w:line="20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returns on our investments, including realized capital gains, result in an incentive fee, our expenses, and returns to investors, would be higher. The example assumes that all distributions are reinvested at NAV. Reinvestment of distributions under our dividend reinvestment plan may occur at a price per share that differs from NAV. See “Distributions” for more information.</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320" w:top="459"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Investing in our securities involves a number of significant risks. In addition to the other information contained in this prospectus and the applicable prospectus supplement and any free writing prospectus, you should consider carefully the following information and the risk factors incorporated by reference in our recent Annual Report on Form 10-K filed on November 21, 2019 or our then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any prospectus supplement and any free writing prospectus before acquiring any of such securities and before making an investment in our securities. Additional risks and uncertainties not presently known to us or not presently deemed material by us may also impair our operations and performance. Each of the risk factors could materially adversely affect our business, financial condition and results of operations. In such case, the net asset value and market price of our common stock could decline or the value of our preferred stock, warrants, subscription rights, debt securities or units may decline, and investors may lose all or part of their investment. Please also read carefully the section titled “Forward-Looking Statements.”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This prospectus, including the documents we incorporate by reference herein, contains, and any applicable prospectus supplement or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or incorporated by reference in this prospectus and any applicable prospectus supplement or free writing prospectus involve risks and uncertainties, including statements as to:</w:t>
      </w:r>
    </w:p>
    <w:p>
      <w:pPr>
        <w:spacing w:after="0" w:line="83"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Brexit and other world economic and political issues.</w:t>
      </w:r>
    </w:p>
    <w:p>
      <w:pPr>
        <w:spacing w:after="0" w:line="225"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4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contained or incorporated by reference in this prospectus and any applicable prospectus supplement or free writing prospectus should not be regarded as a representation by us that our plans and objectives will be achieved.</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base the forward-looking statements included in this prospectus, any prospectus supplement, free writing prospectus and documents incorporated by reference on information available to us on the date of the relevant document, and we assume no obligation to update any such forward-looking statements. Although we undertake no obligation to revise or update any forward-looking statements in such documents, whether as a result of new information, future events or otherwise, you are advised to consult any additional disclosures that we may make directly to you or through reports that we have filed or in the future may file with the SEC, including reports on Form 10-K/Q and current reports on Form 8-K.</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w:t>
      </w:r>
    </w:p>
    <w:p>
      <w:pPr>
        <w:spacing w:after="0" w:line="46" w:lineRule="exact"/>
        <w:rPr>
          <w:sz w:val="20"/>
          <w:szCs w:val="20"/>
          <w:color w:val="auto"/>
        </w:rPr>
      </w:pPr>
    </w:p>
    <w:p>
      <w:pPr>
        <w:ind w:left="120" w:right="640" w:hanging="4"/>
        <w:spacing w:after="0" w:line="323" w:lineRule="auto"/>
        <w:tabs>
          <w:tab w:leader="none" w:pos="405" w:val="left"/>
        </w:tabs>
        <w:numPr>
          <w:ilvl w:val="0"/>
          <w:numId w:val="37"/>
        </w:numPr>
        <w:rPr>
          <w:rFonts w:ascii="Arial" w:cs="Arial" w:eastAsia="Arial" w:hAnsi="Arial"/>
          <w:sz w:val="16"/>
          <w:szCs w:val="16"/>
          <w:color w:val="auto"/>
        </w:rPr>
      </w:pPr>
      <w:r>
        <w:rPr>
          <w:rFonts w:ascii="Arial" w:cs="Arial" w:eastAsia="Arial" w:hAnsi="Arial"/>
          <w:sz w:val="16"/>
          <w:szCs w:val="16"/>
          <w:color w:val="auto"/>
        </w:rPr>
        <w:t>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Unless otherwise specified in a prospectus supplement or a free writing prospectus we have authorized for use in connection with a specific offering, we may use the net proceeds from selling securities pursuant to this prospectus for general corporate or strategic purposes, including making investments in portfolio companies or repaying outstanding indebtedness.</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“Business—Regulation—Temporary Investments” in our most recently filed Annual Report on Form 10-K for more information.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Information about our senior securities is shown in the following table as of September 30, 2019, 2018, 2017, 2016, 2015, 2014, 2013, 2012, 2011, and 2010, is from our Consolidated Financial Statements, which have been audited by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included in our most recent Annual Report on Form 10-K for more information.</w:t>
      </w:r>
    </w:p>
    <w:p>
      <w:pPr>
        <w:spacing w:after="0" w:line="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 Amount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3"/>
              </w:rPr>
              <w:t>Asset</w:t>
            </w:r>
          </w:p>
        </w:tc>
        <w:tc>
          <w:tcPr>
            <w:tcW w:w="12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9"/>
              </w:rPr>
              <w:t>Class and Year</w:t>
            </w:r>
          </w:p>
        </w:tc>
        <w:tc>
          <w:tcPr>
            <w:tcW w:w="5980" w:type="dxa"/>
            <w:vAlign w:val="bottom"/>
            <w:vMerge w:val="restart"/>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3"/>
              </w:rPr>
              <w:t>Coverage</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178"/>
        </w:trPr>
        <w:tc>
          <w:tcPr>
            <w:tcW w:w="920" w:type="dxa"/>
            <w:vAlign w:val="bottom"/>
            <w:tcBorders>
              <w:bottom w:val="single" w:sz="8" w:color="auto"/>
            </w:tcBorders>
            <w:vMerge w:val="continue"/>
          </w:tcPr>
          <w:p>
            <w:pPr>
              <w:spacing w:after="0"/>
              <w:rPr>
                <w:sz w:val="15"/>
                <w:szCs w:val="15"/>
                <w:color w:val="auto"/>
              </w:rPr>
            </w:pPr>
          </w:p>
        </w:tc>
        <w:tc>
          <w:tcPr>
            <w:tcW w:w="5980" w:type="dxa"/>
            <w:vAlign w:val="bottom"/>
            <w:vMerge w:val="continue"/>
          </w:tcPr>
          <w:p>
            <w:pPr>
              <w:spacing w:after="0"/>
              <w:rPr>
                <w:sz w:val="15"/>
                <w:szCs w:val="15"/>
                <w:color w:val="auto"/>
              </w:rPr>
            </w:pPr>
          </w:p>
        </w:tc>
        <w:tc>
          <w:tcPr>
            <w:tcW w:w="12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Outstanding</w:t>
            </w:r>
            <w:r>
              <w:rPr>
                <w:rFonts w:ascii="Arial" w:cs="Arial" w:eastAsia="Arial" w:hAnsi="Arial"/>
                <w:sz w:val="12"/>
                <w:szCs w:val="12"/>
                <w:b w:val="1"/>
                <w:bCs w:val="1"/>
                <w:color w:val="auto"/>
              </w:rPr>
              <w:t>(1)</w:t>
            </w:r>
          </w:p>
        </w:tc>
        <w:tc>
          <w:tcPr>
            <w:tcW w:w="320" w:type="dxa"/>
            <w:vAlign w:val="bottom"/>
          </w:tcPr>
          <w:p>
            <w:pPr>
              <w:spacing w:after="0"/>
              <w:rPr>
                <w:sz w:val="15"/>
                <w:szCs w:val="15"/>
                <w:color w:val="auto"/>
              </w:rPr>
            </w:pPr>
          </w:p>
        </w:tc>
        <w:tc>
          <w:tcPr>
            <w:tcW w:w="14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per Unit</w:t>
            </w:r>
            <w:r>
              <w:rPr>
                <w:rFonts w:ascii="Arial" w:cs="Arial" w:eastAsia="Arial" w:hAnsi="Arial"/>
                <w:sz w:val="12"/>
                <w:szCs w:val="12"/>
                <w:b w:val="1"/>
                <w:bCs w:val="1"/>
                <w:color w:val="auto"/>
              </w:rPr>
              <w:t>(2),(3)</w:t>
            </w:r>
          </w:p>
        </w:tc>
        <w:tc>
          <w:tcPr>
            <w:tcW w:w="120" w:type="dxa"/>
            <w:vAlign w:val="bottom"/>
          </w:tcPr>
          <w:p>
            <w:pPr>
              <w:spacing w:after="0"/>
              <w:rPr>
                <w:sz w:val="15"/>
                <w:szCs w:val="15"/>
                <w:color w:val="auto"/>
              </w:rPr>
            </w:pPr>
          </w:p>
        </w:tc>
        <w:tc>
          <w:tcPr>
            <w:tcW w:w="96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Per Unit</w:t>
            </w:r>
          </w:p>
        </w:tc>
        <w:tc>
          <w:tcPr>
            <w:tcW w:w="0" w:type="dxa"/>
            <w:vAlign w:val="bottom"/>
          </w:tcPr>
          <w:p>
            <w:pPr>
              <w:spacing w:after="0"/>
              <w:rPr>
                <w:sz w:val="1"/>
                <w:szCs w:val="1"/>
                <w:color w:val="auto"/>
              </w:rPr>
            </w:pPr>
          </w:p>
        </w:tc>
      </w:tr>
      <w:tr>
        <w:trPr>
          <w:trHeight w:val="189"/>
        </w:trPr>
        <w:tc>
          <w:tcPr>
            <w:tcW w:w="69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SunTrust Credit Facility</w:t>
            </w: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301,636</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2,066</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80,520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2,919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79,393</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2,998</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50,340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2,794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136,864</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2,586</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55,226</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3,215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145,500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4,205</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145,000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5,615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240,900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2,912</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2010</w:t>
            </w:r>
            <w:r>
              <w:rPr>
                <w:rFonts w:ascii="Arial" w:cs="Arial" w:eastAsia="Arial" w:hAnsi="Arial"/>
                <w:sz w:val="15"/>
                <w:szCs w:val="15"/>
                <w:color w:val="auto"/>
              </w:rPr>
              <w:t>(6)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233,100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2,505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BNP Credit Facility</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171,000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2,066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2019 Notes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2,919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250,000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2,998</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2,794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250,000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2,586</w:t>
            </w:r>
          </w:p>
        </w:tc>
        <w:tc>
          <w:tcPr>
            <w:tcW w:w="12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3,215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2024 Notes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2,066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7"/>
              </w:rPr>
              <w:t>24.87</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2025 Notes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71,250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2,794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7"/>
              </w:rPr>
              <w:t>24.68</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71,250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2,586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w w:val="97"/>
              </w:rPr>
              <w:t>25.13</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71,250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7"/>
              </w:rPr>
              <w:t>24.51</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71,250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4,205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w w:val="97"/>
              </w:rPr>
              <w:t>24.79</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SBA Debentures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Fiscal 2010</w:t>
            </w:r>
            <w:r>
              <w:rPr>
                <w:rFonts w:ascii="Arial" w:cs="Arial" w:eastAsia="Arial" w:hAnsi="Arial"/>
                <w:sz w:val="15"/>
                <w:szCs w:val="15"/>
                <w:color w:val="auto"/>
              </w:rPr>
              <w:t>(6)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14,500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2,505</w:t>
            </w:r>
          </w:p>
        </w:tc>
        <w:tc>
          <w:tcPr>
            <w:tcW w:w="120" w:type="dxa"/>
            <w:vAlign w:val="bottom"/>
          </w:tcPr>
          <w:p>
            <w:pPr>
              <w:spacing w:after="0"/>
              <w:rPr>
                <w:sz w:val="20"/>
                <w:szCs w:val="20"/>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540" w:hanging="424"/>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23" w:lineRule="exact"/>
        <w:rPr>
          <w:rFonts w:ascii="Arial" w:cs="Arial" w:eastAsia="Arial" w:hAnsi="Arial"/>
          <w:sz w:val="18"/>
          <w:szCs w:val="18"/>
          <w:color w:val="auto"/>
        </w:rPr>
      </w:pPr>
    </w:p>
    <w:p>
      <w:pPr>
        <w:ind w:left="540" w:right="260" w:hanging="424"/>
        <w:spacing w:after="0" w:line="250"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1" w:lineRule="exact"/>
        <w:rPr>
          <w:rFonts w:ascii="Arial" w:cs="Arial" w:eastAsia="Arial" w:hAnsi="Arial"/>
          <w:sz w:val="18"/>
          <w:szCs w:val="18"/>
          <w:color w:val="auto"/>
        </w:rPr>
      </w:pPr>
    </w:p>
    <w:p>
      <w:pPr>
        <w:ind w:left="540" w:right="380" w:hanging="424"/>
        <w:spacing w:after="0" w:line="250"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amounts exclude SBA debentures from our total amount outstanding and asset coverage per unit computation pursuant to an exemptive relief letter provided by the SEC in June 2011.</w:t>
      </w:r>
    </w:p>
    <w:p>
      <w:pPr>
        <w:ind w:left="540" w:right="460" w:hanging="424"/>
        <w:spacing w:after="0" w:line="281"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average market value per unit is derived based on the daily closing price of the 2024 Notes trading on The Nasdaq Global Select Market under the symbol “PNNTG.” The 2024 Notes were issued in increments of $25 per unit and commenced trading on September 30, 2019.</w:t>
      </w:r>
    </w:p>
    <w:p>
      <w:pPr>
        <w:spacing w:after="0" w:line="1" w:lineRule="exact"/>
        <w:rPr>
          <w:rFonts w:ascii="Arial" w:cs="Arial" w:eastAsia="Arial" w:hAnsi="Arial"/>
          <w:sz w:val="16"/>
          <w:szCs w:val="16"/>
          <w:color w:val="auto"/>
        </w:rPr>
      </w:pPr>
    </w:p>
    <w:p>
      <w:pPr>
        <w:ind w:left="540" w:right="200" w:hanging="424"/>
        <w:spacing w:after="0" w:line="265" w:lineRule="auto"/>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average market value per unit is derived based on the monthly average closing price of the 2025 Notes, which were traded on the New York Stock Exchange, or NYSE, under the symbol “PNTA” since issuance. The 2025 Notes were issued in increments of $25 per unit. On June 29, 2017, the 2025 Notes were redeemed in full and no amounts were outstanding as of September 30, 2019.</w:t>
      </w:r>
    </w:p>
    <w:p>
      <w:pPr>
        <w:ind w:left="540" w:hanging="424"/>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Fiscal 2010 includes SBIC LP’s SBA debentures in the total amount outstanding and our asset coverage per unit computation.</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PRICE RANGE OF COMMON STOCK</w:t>
      </w:r>
    </w:p>
    <w:p>
      <w:pPr>
        <w:spacing w:after="0" w:line="202"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prices for our common stock, the closing sale prices as a premium or (discount) to our NAV and quarterly distributions per share since October 1, 2017. On January 28, 2020, the last reported closing price of our common stock was $6.58 per share.</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gridSpan w:val="4"/>
            <w:vMerge w:val="restart"/>
          </w:tcPr>
          <w:p>
            <w:pPr>
              <w:jc w:val="right"/>
              <w:ind w:right="88"/>
              <w:spacing w:after="0"/>
              <w:rPr>
                <w:sz w:val="20"/>
                <w:szCs w:val="20"/>
                <w:color w:val="auto"/>
              </w:rPr>
            </w:pPr>
            <w:r>
              <w:rPr>
                <w:rFonts w:ascii="Arial" w:cs="Arial" w:eastAsia="Arial" w:hAnsi="Arial"/>
                <w:sz w:val="14"/>
                <w:szCs w:val="14"/>
                <w:b w:val="1"/>
                <w:bCs w:val="1"/>
                <w:color w:val="auto"/>
                <w:w w:val="98"/>
              </w:rPr>
              <w:t>Closing Sales Price</w:t>
            </w:r>
          </w:p>
        </w:tc>
        <w:tc>
          <w:tcPr>
            <w:tcW w:w="420" w:type="dxa"/>
            <w:vAlign w:val="bottom"/>
            <w:vMerge w:val="restart"/>
          </w:tcPr>
          <w:p>
            <w:pPr>
              <w:spacing w:after="0"/>
              <w:rPr>
                <w:sz w:val="14"/>
                <w:szCs w:val="14"/>
                <w:color w:val="auto"/>
              </w:rPr>
            </w:pPr>
          </w:p>
        </w:tc>
        <w:tc>
          <w:tcPr>
            <w:tcW w:w="18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Premium (Discount)</w:t>
            </w:r>
          </w:p>
        </w:tc>
        <w:tc>
          <w:tcPr>
            <w:tcW w:w="18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Premium (Discount)</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4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60" w:type="dxa"/>
            <w:vAlign w:val="bottom"/>
            <w:tcBorders>
              <w:bottom w:val="single" w:sz="8" w:color="auto"/>
            </w:tcBorders>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1820" w:type="dxa"/>
            <w:vAlign w:val="bottom"/>
            <w:gridSpan w:val="2"/>
            <w:vMerge w:val="restart"/>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of High Sales</w:t>
            </w:r>
          </w:p>
        </w:tc>
        <w:tc>
          <w:tcPr>
            <w:tcW w:w="1820" w:type="dxa"/>
            <w:vAlign w:val="bottom"/>
            <w:gridSpan w:val="2"/>
            <w:vMerge w:val="restart"/>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of Low Sales</w:t>
            </w:r>
          </w:p>
        </w:tc>
        <w:tc>
          <w:tcPr>
            <w:tcW w:w="880" w:type="dxa"/>
            <w:vAlign w:val="bottom"/>
            <w:gridSpan w:val="3"/>
            <w:vMerge w:val="restart"/>
          </w:tcPr>
          <w:p>
            <w:pPr>
              <w:jc w:val="right"/>
              <w:ind w:right="6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0" w:type="dxa"/>
            <w:vAlign w:val="bottom"/>
          </w:tcPr>
          <w:p>
            <w:pPr>
              <w:spacing w:after="0"/>
              <w:rPr>
                <w:sz w:val="1"/>
                <w:szCs w:val="1"/>
                <w:color w:val="auto"/>
              </w:rPr>
            </w:pPr>
          </w:p>
        </w:tc>
      </w:tr>
      <w:tr>
        <w:trPr>
          <w:trHeight w:val="5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2900" w:type="dxa"/>
            <w:vAlign w:val="bottom"/>
            <w:vMerge w:val="restart"/>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4"/>
              </w:rPr>
              <w:t>NAV</w:t>
            </w:r>
            <w:r>
              <w:rPr>
                <w:rFonts w:ascii="Arial" w:cs="Arial" w:eastAsia="Arial" w:hAnsi="Arial"/>
                <w:sz w:val="12"/>
                <w:szCs w:val="12"/>
                <w:b w:val="1"/>
                <w:bCs w:val="1"/>
                <w:color w:val="auto"/>
                <w:w w:val="94"/>
              </w:rPr>
              <w:t>(1)</w:t>
            </w: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4"/>
                <w:szCs w:val="4"/>
                <w:color w:val="auto"/>
              </w:rPr>
            </w:pPr>
          </w:p>
        </w:tc>
        <w:tc>
          <w:tcPr>
            <w:tcW w:w="9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Low</w:t>
            </w:r>
          </w:p>
        </w:tc>
        <w:tc>
          <w:tcPr>
            <w:tcW w:w="1820" w:type="dxa"/>
            <w:vAlign w:val="bottom"/>
            <w:gridSpan w:val="2"/>
            <w:vMerge w:val="continue"/>
          </w:tcPr>
          <w:p>
            <w:pPr>
              <w:spacing w:after="0"/>
              <w:rPr>
                <w:sz w:val="4"/>
                <w:szCs w:val="4"/>
                <w:color w:val="auto"/>
              </w:rPr>
            </w:pPr>
          </w:p>
        </w:tc>
        <w:tc>
          <w:tcPr>
            <w:tcW w:w="1820" w:type="dxa"/>
            <w:vAlign w:val="bottom"/>
            <w:gridSpan w:val="2"/>
            <w:vMerge w:val="continue"/>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29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82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4"/>
              </w:rPr>
              <w:t>Price to NAV</w:t>
            </w:r>
            <w:r>
              <w:rPr>
                <w:rFonts w:ascii="Arial" w:cs="Arial" w:eastAsia="Arial" w:hAnsi="Arial"/>
                <w:sz w:val="12"/>
                <w:szCs w:val="12"/>
                <w:b w:val="1"/>
                <w:bCs w:val="1"/>
                <w:color w:val="auto"/>
                <w:w w:val="94"/>
              </w:rPr>
              <w:t>(2)</w:t>
            </w:r>
          </w:p>
        </w:tc>
        <w:tc>
          <w:tcPr>
            <w:tcW w:w="182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4"/>
              </w:rPr>
              <w:t>Price to NAV</w:t>
            </w:r>
            <w:r>
              <w:rPr>
                <w:rFonts w:ascii="Arial" w:cs="Arial" w:eastAsia="Arial" w:hAnsi="Arial"/>
                <w:sz w:val="12"/>
                <w:szCs w:val="12"/>
                <w:b w:val="1"/>
                <w:bCs w:val="1"/>
                <w:color w:val="auto"/>
                <w:w w:val="94"/>
              </w:rPr>
              <w:t>(2)</w:t>
            </w:r>
          </w:p>
        </w:tc>
        <w:tc>
          <w:tcPr>
            <w:tcW w:w="120" w:type="dxa"/>
            <w:vAlign w:val="bottom"/>
          </w:tcPr>
          <w:p>
            <w:pPr>
              <w:spacing w:after="0"/>
              <w:rPr>
                <w:sz w:val="15"/>
                <w:szCs w:val="15"/>
                <w:color w:val="auto"/>
              </w:rPr>
            </w:pPr>
          </w:p>
        </w:tc>
        <w:tc>
          <w:tcPr>
            <w:tcW w:w="7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89"/>
        </w:trPr>
        <w:tc>
          <w:tcPr>
            <w:tcW w:w="33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Year Ending September 30, 2020</w:t>
            </w:r>
          </w:p>
        </w:tc>
        <w:tc>
          <w:tcPr>
            <w:tcW w:w="4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Second quarter (As of January 28, 2020)</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 N/A</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$ 6.68</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  6.54</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9"/>
              </w:rPr>
              <w:t>N/A%</w:t>
            </w:r>
          </w:p>
        </w:tc>
        <w:tc>
          <w:tcPr>
            <w:tcW w:w="1820" w:type="dxa"/>
            <w:vAlign w:val="bottom"/>
            <w:gridSpan w:val="2"/>
          </w:tcPr>
          <w:p>
            <w:pPr>
              <w:jc w:val="center"/>
              <w:ind w:left="474"/>
              <w:spacing w:after="0"/>
              <w:rPr>
                <w:sz w:val="20"/>
                <w:szCs w:val="20"/>
                <w:color w:val="auto"/>
              </w:rPr>
            </w:pPr>
            <w:r>
              <w:rPr>
                <w:rFonts w:ascii="Arial" w:cs="Arial" w:eastAsia="Arial" w:hAnsi="Arial"/>
                <w:sz w:val="18"/>
                <w:szCs w:val="18"/>
                <w:color w:val="auto"/>
                <w:w w:val="99"/>
              </w:rPr>
              <w:t>N/A%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N/A</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5.92</w:t>
            </w:r>
          </w:p>
        </w:tc>
        <w:tc>
          <w:tcPr>
            <w:tcW w:w="18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N/A</w:t>
            </w:r>
          </w:p>
        </w:tc>
        <w:tc>
          <w:tcPr>
            <w:tcW w:w="18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Year Ended September 30, 2019</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8.68</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6.18</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(23)</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(29)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8.74</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7.15</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6.23</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(18)</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(29)</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8.83</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6.61</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(17)</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(25)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9.05</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7.64</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6.30</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(16)</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(30)</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September 30, 2018</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9.11</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7.84</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7.04</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(14)</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(23)</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9.09</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6.64</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(18)</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(27)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9.00</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7.17</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6.41</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(20)</w:t>
            </w:r>
          </w:p>
        </w:tc>
        <w:tc>
          <w:tcPr>
            <w:tcW w:w="1820" w:type="dxa"/>
            <w:vAlign w:val="bottom"/>
            <w:gridSpan w:val="2"/>
          </w:tcPr>
          <w:p>
            <w:pPr>
              <w:jc w:val="center"/>
              <w:ind w:left="434"/>
              <w:spacing w:after="0"/>
              <w:rPr>
                <w:sz w:val="20"/>
                <w:szCs w:val="20"/>
                <w:color w:val="auto"/>
              </w:rPr>
            </w:pPr>
            <w:r>
              <w:rPr>
                <w:rFonts w:ascii="Arial" w:cs="Arial" w:eastAsia="Arial" w:hAnsi="Arial"/>
                <w:sz w:val="18"/>
                <w:szCs w:val="18"/>
                <w:color w:val="auto"/>
                <w:w w:val="93"/>
              </w:rPr>
              <w:t>(29)</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9.10</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7.79</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6.91</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(14)</w:t>
            </w:r>
          </w:p>
        </w:tc>
        <w:tc>
          <w:tcPr>
            <w:tcW w:w="182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3"/>
              </w:rPr>
              <w:t>(24)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540" w:right="160" w:hanging="424"/>
        <w:spacing w:after="0" w:line="258"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less NAV per share, divided by the quarter-end NAV per share.</w:t>
      </w:r>
    </w:p>
    <w:p>
      <w:pPr>
        <w:spacing w:after="0" w:line="211" w:lineRule="exact"/>
        <w:rPr>
          <w:sz w:val="20"/>
          <w:szCs w:val="20"/>
          <w:color w:val="auto"/>
        </w:rPr>
      </w:pPr>
    </w:p>
    <w:p>
      <w:pPr>
        <w:jc w:val="both"/>
        <w:ind w:left="120" w:right="80" w:firstLine="440"/>
        <w:spacing w:after="0" w:line="296" w:lineRule="auto"/>
        <w:rPr>
          <w:sz w:val="20"/>
          <w:szCs w:val="20"/>
          <w:color w:val="auto"/>
        </w:rPr>
      </w:pPr>
      <w:r>
        <w:rPr>
          <w:rFonts w:ascii="Arial" w:cs="Arial" w:eastAsia="Arial" w:hAnsi="Arial"/>
          <w:sz w:val="16"/>
          <w:szCs w:val="16"/>
          <w:color w:val="auto"/>
        </w:rPr>
        <w:t>Shares of BDCs may trade at a market price both above and below the NAV that is attributable to those shares. Our shares have traded above and below our NAV. Our shares closed on The Nasdaq Global Select Market at $6.27 and $7.46 as of September 30, 2019 and 2018, respectively. Our NAV per share was $8.68 and $9.11 as of September 30, 2019 and 2018,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December 31, 2019, we had 9 stockholders of record.</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stockholders have in the past and may again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92" w:lineRule="exact"/>
        <w:rPr>
          <w:sz w:val="20"/>
          <w:szCs w:val="20"/>
          <w:color w:val="auto"/>
        </w:rPr>
      </w:pPr>
    </w:p>
    <w:p>
      <w:pPr>
        <w:ind w:left="1080" w:right="2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the most recently determined NAV per share;</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leverage available to us and our SBIC Funds, both before and after the offering and other borrowing terms;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potential investment opportunities available relative to the potential dilutive effect of additional capital at the time of the offering.</w:t>
      </w:r>
    </w:p>
    <w:p>
      <w:pPr>
        <w:spacing w:after="0" w:line="23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6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70" w:lineRule="exact"/>
        <w:rPr>
          <w:sz w:val="20"/>
          <w:szCs w:val="20"/>
          <w:color w:val="auto"/>
        </w:rPr>
      </w:pPr>
    </w:p>
    <w:p>
      <w:pPr>
        <w:ind w:left="120" w:right="160" w:firstLine="440"/>
        <w:spacing w:after="0" w:line="269" w:lineRule="auto"/>
        <w:rPr>
          <w:sz w:val="20"/>
          <w:szCs w:val="20"/>
          <w:color w:val="auto"/>
        </w:rPr>
      </w:pPr>
      <w:r>
        <w:rPr>
          <w:rFonts w:ascii="Arial" w:cs="Arial" w:eastAsia="Arial" w:hAnsi="Arial"/>
          <w:sz w:val="17"/>
          <w:szCs w:val="17"/>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2"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existing stockholders who purchase a relatively small amount of shares in the offering or a relatively large amount of shares in the offering;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7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95"/>
              </w:rPr>
              <w:t>Example 1</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43"/>
              <w:spacing w:after="0"/>
              <w:rPr>
                <w:sz w:val="20"/>
                <w:szCs w:val="20"/>
                <w:color w:val="auto"/>
              </w:rPr>
            </w:pPr>
            <w:r>
              <w:rPr>
                <w:rFonts w:ascii="Arial" w:cs="Arial" w:eastAsia="Arial" w:hAnsi="Arial"/>
                <w:sz w:val="14"/>
                <w:szCs w:val="14"/>
                <w:b w:val="1"/>
                <w:bCs w:val="1"/>
                <w:color w:val="auto"/>
                <w:w w:val="95"/>
              </w:rPr>
              <w:t>Example 2</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43"/>
              <w:spacing w:after="0"/>
              <w:rPr>
                <w:sz w:val="20"/>
                <w:szCs w:val="20"/>
                <w:color w:val="auto"/>
              </w:rPr>
            </w:pPr>
            <w:r>
              <w:rPr>
                <w:rFonts w:ascii="Arial" w:cs="Arial" w:eastAsia="Arial" w:hAnsi="Arial"/>
                <w:sz w:val="14"/>
                <w:szCs w:val="14"/>
                <w:b w:val="1"/>
                <w:bCs w:val="1"/>
                <w:color w:val="auto"/>
                <w:w w:val="95"/>
              </w:rPr>
              <w:t>Example 3</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99"/>
              </w:rPr>
              <w:t>5% Offering</w:t>
            </w:r>
          </w:p>
        </w:tc>
        <w:tc>
          <w:tcPr>
            <w:tcW w:w="80" w:type="dxa"/>
            <w:vAlign w:val="bottom"/>
          </w:tcPr>
          <w:p>
            <w:pPr>
              <w:spacing w:after="0"/>
              <w:rPr>
                <w:sz w:val="12"/>
                <w:szCs w:val="12"/>
                <w:color w:val="auto"/>
              </w:rPr>
            </w:pPr>
          </w:p>
        </w:tc>
        <w:tc>
          <w:tcPr>
            <w:tcW w:w="196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5"/>
              </w:rPr>
              <w:t>at 5% Discount</w:t>
            </w:r>
          </w:p>
        </w:tc>
        <w:tc>
          <w:tcPr>
            <w:tcW w:w="80" w:type="dxa"/>
            <w:vAlign w:val="bottom"/>
          </w:tcPr>
          <w:p>
            <w:pPr>
              <w:spacing w:after="0"/>
              <w:rPr>
                <w:sz w:val="14"/>
                <w:szCs w:val="14"/>
                <w:color w:val="auto"/>
              </w:rPr>
            </w:pPr>
          </w:p>
        </w:tc>
        <w:tc>
          <w:tcPr>
            <w:tcW w:w="19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346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52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0"/>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34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6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9.47</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9.00</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2"/>
              </w:rPr>
              <w:t>1,000,000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1,050,000</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89"/>
              </w:rPr>
              <w:t>1,100,000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1,250,000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25.00 %</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6"/>
                <w:szCs w:val="16"/>
                <w:color w:val="auto"/>
              </w:rPr>
              <w:t>NAV per share</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10.00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9.98</w:t>
            </w:r>
          </w:p>
        </w:tc>
        <w:tc>
          <w:tcPr>
            <w:tcW w:w="46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9.91</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(0.90)%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9.50</w:t>
            </w:r>
          </w:p>
        </w:tc>
        <w:tc>
          <w:tcPr>
            <w:tcW w:w="4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Stockholder A</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10,000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w:t>
            </w:r>
          </w:p>
        </w:tc>
        <w:tc>
          <w:tcPr>
            <w:tcW w:w="46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10,000</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w:t>
            </w:r>
          </w:p>
        </w:tc>
        <w:tc>
          <w:tcPr>
            <w:tcW w:w="4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0.95%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0.91%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0.80%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365"/>
        </w:trPr>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5"/>
              </w:rPr>
              <w:t>Example 1</w:t>
            </w:r>
          </w:p>
        </w:tc>
        <w:tc>
          <w:tcPr>
            <w:tcW w:w="80" w:type="dxa"/>
            <w:vAlign w:val="bottom"/>
          </w:tcPr>
          <w:p>
            <w:pPr>
              <w:spacing w:after="0"/>
              <w:rPr>
                <w:sz w:val="14"/>
                <w:szCs w:val="14"/>
                <w:color w:val="auto"/>
              </w:rPr>
            </w:pPr>
          </w:p>
        </w:tc>
        <w:tc>
          <w:tcPr>
            <w:tcW w:w="17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5"/>
              </w:rPr>
              <w:t>Example 2</w:t>
            </w:r>
          </w:p>
        </w:tc>
        <w:tc>
          <w:tcPr>
            <w:tcW w:w="80" w:type="dxa"/>
            <w:vAlign w:val="bottom"/>
          </w:tcPr>
          <w:p>
            <w:pPr>
              <w:spacing w:after="0"/>
              <w:rPr>
                <w:sz w:val="14"/>
                <w:szCs w:val="14"/>
                <w:color w:val="auto"/>
              </w:rPr>
            </w:pPr>
          </w:p>
        </w:tc>
        <w:tc>
          <w:tcPr>
            <w:tcW w:w="15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Example 3</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9"/>
              </w:rPr>
              <w:t>5% Offering</w:t>
            </w:r>
          </w:p>
        </w:tc>
        <w:tc>
          <w:tcPr>
            <w:tcW w:w="80" w:type="dxa"/>
            <w:vAlign w:val="bottom"/>
          </w:tcPr>
          <w:p>
            <w:pPr>
              <w:spacing w:after="0"/>
              <w:rPr>
                <w:sz w:val="12"/>
                <w:szCs w:val="12"/>
                <w:color w:val="auto"/>
              </w:rPr>
            </w:pPr>
          </w:p>
        </w:tc>
        <w:tc>
          <w:tcPr>
            <w:tcW w:w="176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80" w:type="dxa"/>
            <w:vAlign w:val="bottom"/>
          </w:tcPr>
          <w:p>
            <w:pPr>
              <w:spacing w:after="0"/>
              <w:rPr>
                <w:sz w:val="12"/>
                <w:szCs w:val="12"/>
                <w:color w:val="auto"/>
              </w:rPr>
            </w:pPr>
          </w:p>
        </w:tc>
        <w:tc>
          <w:tcPr>
            <w:tcW w:w="154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Pr>
          <w:p>
            <w:pPr>
              <w:spacing w:after="0"/>
              <w:rPr>
                <w:sz w:val="14"/>
                <w:szCs w:val="14"/>
                <w:color w:val="auto"/>
              </w:rPr>
            </w:pPr>
          </w:p>
        </w:tc>
        <w:tc>
          <w:tcPr>
            <w:tcW w:w="17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5"/>
              </w:rPr>
              <w:t>at 5% Discount</w:t>
            </w:r>
          </w:p>
        </w:tc>
        <w:tc>
          <w:tcPr>
            <w:tcW w:w="80" w:type="dxa"/>
            <w:vAlign w:val="bottom"/>
          </w:tcPr>
          <w:p>
            <w:pPr>
              <w:spacing w:after="0"/>
              <w:rPr>
                <w:sz w:val="14"/>
                <w:szCs w:val="14"/>
                <w:color w:val="auto"/>
              </w:rPr>
            </w:pPr>
          </w:p>
        </w:tc>
        <w:tc>
          <w:tcPr>
            <w:tcW w:w="17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4"/>
              </w:rPr>
              <w:t>at 10% Discount</w:t>
            </w:r>
          </w:p>
        </w:tc>
        <w:tc>
          <w:tcPr>
            <w:tcW w:w="80" w:type="dxa"/>
            <w:vAlign w:val="bottom"/>
          </w:tcPr>
          <w:p>
            <w:pPr>
              <w:spacing w:after="0"/>
              <w:rPr>
                <w:sz w:val="14"/>
                <w:szCs w:val="14"/>
                <w:color w:val="auto"/>
              </w:rPr>
            </w:pPr>
          </w:p>
        </w:tc>
        <w:tc>
          <w:tcPr>
            <w:tcW w:w="15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466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9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ind w:left="160"/>
              <w:spacing w:after="0" w:line="119" w:lineRule="exact"/>
              <w:rPr>
                <w:sz w:val="20"/>
                <w:szCs w:val="20"/>
                <w:color w:val="auto"/>
              </w:rPr>
            </w:pPr>
            <w:r>
              <w:rPr>
                <w:rFonts w:ascii="Arial" w:cs="Arial" w:eastAsia="Arial" w:hAnsi="Arial"/>
                <w:sz w:val="13"/>
                <w:szCs w:val="13"/>
                <w:b w:val="1"/>
                <w:bCs w:val="1"/>
                <w:color w:val="auto"/>
              </w:rPr>
              <w:t>%</w:t>
            </w:r>
          </w:p>
        </w:tc>
        <w:tc>
          <w:tcPr>
            <w:tcW w:w="440" w:type="dxa"/>
            <w:vAlign w:val="bottom"/>
          </w:tcPr>
          <w:p>
            <w:pPr>
              <w:spacing w:after="0"/>
              <w:rPr>
                <w:sz w:val="10"/>
                <w:szCs w:val="10"/>
                <w:color w:val="auto"/>
              </w:rPr>
            </w:pPr>
          </w:p>
        </w:tc>
        <w:tc>
          <w:tcPr>
            <w:tcW w:w="9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ind w:left="160"/>
              <w:spacing w:after="0" w:line="119" w:lineRule="exact"/>
              <w:rPr>
                <w:sz w:val="20"/>
                <w:szCs w:val="20"/>
                <w:color w:val="auto"/>
              </w:rPr>
            </w:pPr>
            <w:r>
              <w:rPr>
                <w:rFonts w:ascii="Arial" w:cs="Arial" w:eastAsia="Arial" w:hAnsi="Arial"/>
                <w:sz w:val="13"/>
                <w:szCs w:val="13"/>
                <w:b w:val="1"/>
                <w:bCs w:val="1"/>
                <w:color w:val="auto"/>
              </w:rPr>
              <w:t>%</w:t>
            </w:r>
          </w:p>
        </w:tc>
        <w:tc>
          <w:tcPr>
            <w:tcW w:w="460" w:type="dxa"/>
            <w:vAlign w:val="bottom"/>
          </w:tcPr>
          <w:p>
            <w:pPr>
              <w:spacing w:after="0"/>
              <w:rPr>
                <w:sz w:val="10"/>
                <w:szCs w:val="10"/>
                <w:color w:val="auto"/>
              </w:rPr>
            </w:pPr>
          </w:p>
        </w:tc>
        <w:tc>
          <w:tcPr>
            <w:tcW w:w="9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80" w:type="dxa"/>
            <w:vAlign w:val="bottom"/>
          </w:tcPr>
          <w:p>
            <w:pPr>
              <w:spacing w:after="0"/>
              <w:rPr>
                <w:sz w:val="14"/>
                <w:szCs w:val="14"/>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Sale</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Sale</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46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Asset Values</w:t>
            </w: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320"/>
              <w:spacing w:after="0"/>
              <w:rPr>
                <w:sz w:val="20"/>
                <w:szCs w:val="20"/>
                <w:color w:val="auto"/>
              </w:rPr>
            </w:pPr>
            <w:r>
              <w:rPr>
                <w:rFonts w:ascii="Arial" w:cs="Arial" w:eastAsia="Arial" w:hAnsi="Arial"/>
                <w:sz w:val="16"/>
                <w:szCs w:val="16"/>
                <w:color w:val="auto"/>
              </w:rPr>
              <w:t>Total NAV held by stockholder A</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99,800</w:t>
            </w:r>
          </w:p>
        </w:tc>
        <w:tc>
          <w:tcPr>
            <w:tcW w:w="320" w:type="dxa"/>
            <w:vAlign w:val="bottom"/>
          </w:tcPr>
          <w:p>
            <w:pPr>
              <w:spacing w:after="0"/>
              <w:rPr>
                <w:sz w:val="17"/>
                <w:szCs w:val="17"/>
                <w:color w:val="auto"/>
              </w:rPr>
            </w:pPr>
          </w:p>
        </w:tc>
        <w:tc>
          <w:tcPr>
            <w:tcW w:w="920" w:type="dxa"/>
            <w:vAlign w:val="bottom"/>
            <w:gridSpan w:val="2"/>
          </w:tcPr>
          <w:p>
            <w:pPr>
              <w:ind w:left="140"/>
              <w:spacing w:after="0"/>
              <w:rPr>
                <w:sz w:val="20"/>
                <w:szCs w:val="20"/>
                <w:color w:val="auto"/>
              </w:rPr>
            </w:pPr>
            <w:r>
              <w:rPr>
                <w:rFonts w:ascii="Arial" w:cs="Arial" w:eastAsia="Arial" w:hAnsi="Arial"/>
                <w:sz w:val="16"/>
                <w:szCs w:val="16"/>
                <w:color w:val="auto"/>
              </w:rPr>
              <w:t>(0.20)%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99,100</w:t>
            </w:r>
          </w:p>
        </w:tc>
        <w:tc>
          <w:tcPr>
            <w:tcW w:w="32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Arial" w:cs="Arial" w:eastAsia="Arial" w:hAnsi="Arial"/>
                <w:sz w:val="16"/>
                <w:szCs w:val="16"/>
                <w:color w:val="auto"/>
              </w:rPr>
              <w:t>(0.90)%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95,000</w:t>
            </w:r>
          </w:p>
        </w:tc>
        <w:tc>
          <w:tcPr>
            <w:tcW w:w="3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93"/>
        </w:trPr>
        <w:tc>
          <w:tcPr>
            <w:tcW w:w="46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9"/>
              </w:rPr>
              <w:t>Total investment by stockholder A (assumed to be $10.00 per</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share)</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100,000</w:t>
            </w:r>
          </w:p>
        </w:tc>
        <w:tc>
          <w:tcPr>
            <w:tcW w:w="3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100,000</w:t>
            </w:r>
          </w:p>
        </w:tc>
        <w:tc>
          <w:tcPr>
            <w:tcW w:w="3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100,000</w:t>
            </w:r>
          </w:p>
        </w:tc>
        <w:tc>
          <w:tcPr>
            <w:tcW w:w="3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660" w:type="dxa"/>
            <w:vAlign w:val="bottom"/>
          </w:tcPr>
          <w:p>
            <w:pPr>
              <w:ind w:left="320"/>
              <w:spacing w:after="0"/>
              <w:rPr>
                <w:sz w:val="20"/>
                <w:szCs w:val="20"/>
                <w:color w:val="auto"/>
              </w:rPr>
            </w:pPr>
            <w:r>
              <w:rPr>
                <w:rFonts w:ascii="Arial" w:cs="Arial" w:eastAsia="Arial" w:hAnsi="Arial"/>
                <w:sz w:val="16"/>
                <w:szCs w:val="16"/>
                <w:color w:val="auto"/>
              </w:rPr>
              <w:t>Total dilution to stockholder A (total NAV less total</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660" w:type="dxa"/>
            <w:vAlign w:val="bottom"/>
          </w:tcPr>
          <w:p>
            <w:pPr>
              <w:ind w:left="480"/>
              <w:spacing w:after="0"/>
              <w:rPr>
                <w:sz w:val="20"/>
                <w:szCs w:val="20"/>
                <w:color w:val="auto"/>
              </w:rPr>
            </w:pPr>
            <w:r>
              <w:rPr>
                <w:rFonts w:ascii="Arial" w:cs="Arial" w:eastAsia="Arial" w:hAnsi="Arial"/>
                <w:sz w:val="16"/>
                <w:szCs w:val="16"/>
                <w:color w:val="auto"/>
              </w:rPr>
              <w:t>investment)</w:t>
            </w:r>
          </w:p>
        </w:tc>
        <w:tc>
          <w:tcPr>
            <w:tcW w:w="1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(200)</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(900)</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(5,000)</w:t>
            </w: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 Share Amounts</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20"/>
              <w:spacing w:after="0"/>
              <w:rPr>
                <w:sz w:val="20"/>
                <w:szCs w:val="20"/>
                <w:color w:val="auto"/>
              </w:rPr>
            </w:pPr>
            <w:r>
              <w:rPr>
                <w:rFonts w:ascii="Arial" w:cs="Arial" w:eastAsia="Arial" w:hAnsi="Arial"/>
                <w:sz w:val="16"/>
                <w:szCs w:val="16"/>
                <w:color w:val="auto"/>
              </w:rPr>
              <w:t>NAV per share held by stockholder A</w:t>
            </w:r>
          </w:p>
        </w:tc>
        <w:tc>
          <w:tcPr>
            <w:tcW w:w="1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9.98</w:t>
            </w:r>
          </w:p>
        </w:tc>
        <w:tc>
          <w:tcPr>
            <w:tcW w:w="320" w:type="dxa"/>
            <w:vAlign w:val="bottom"/>
          </w:tcPr>
          <w:p>
            <w:pPr>
              <w:spacing w:after="0"/>
              <w:rPr>
                <w:sz w:val="18"/>
                <w:szCs w:val="18"/>
                <w:color w:val="auto"/>
              </w:rPr>
            </w:pP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9.91</w:t>
            </w:r>
          </w:p>
        </w:tc>
        <w:tc>
          <w:tcPr>
            <w:tcW w:w="320" w:type="dxa"/>
            <w:vAlign w:val="bottom"/>
          </w:tcPr>
          <w:p>
            <w:pPr>
              <w:spacing w:after="0"/>
              <w:rPr>
                <w:sz w:val="18"/>
                <w:szCs w:val="18"/>
                <w:color w:val="auto"/>
              </w:rPr>
            </w:pP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9.50</w:t>
            </w:r>
          </w:p>
        </w:tc>
        <w:tc>
          <w:tcPr>
            <w:tcW w:w="3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4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Investment per share held by stockholder A (assumed to be</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$10.00 per share on shares held prior to sale)</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660" w:type="dxa"/>
            <w:vAlign w:val="bottom"/>
          </w:tcPr>
          <w:p>
            <w:pPr>
              <w:ind w:left="320"/>
              <w:spacing w:after="0"/>
              <w:rPr>
                <w:sz w:val="20"/>
                <w:szCs w:val="20"/>
                <w:color w:val="auto"/>
              </w:rPr>
            </w:pPr>
            <w:r>
              <w:rPr>
                <w:rFonts w:ascii="Arial" w:cs="Arial" w:eastAsia="Arial" w:hAnsi="Arial"/>
                <w:sz w:val="16"/>
                <w:szCs w:val="16"/>
                <w:color w:val="auto"/>
              </w:rPr>
              <w:t>Dilution per share held by stockholder A (NAV per share less</w:t>
            </w:r>
          </w:p>
        </w:tc>
        <w:tc>
          <w:tcPr>
            <w:tcW w:w="180" w:type="dxa"/>
            <w:vAlign w:val="bottom"/>
          </w:tcPr>
          <w:p>
            <w:pPr>
              <w:spacing w:after="0"/>
              <w:rPr>
                <w:sz w:val="16"/>
                <w:szCs w:val="16"/>
                <w:color w:val="auto"/>
              </w:rPr>
            </w:pP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660" w:type="dxa"/>
            <w:vAlign w:val="bottom"/>
          </w:tcPr>
          <w:p>
            <w:pPr>
              <w:ind w:left="480"/>
              <w:spacing w:after="0"/>
              <w:rPr>
                <w:sz w:val="20"/>
                <w:szCs w:val="20"/>
                <w:color w:val="auto"/>
              </w:rPr>
            </w:pPr>
            <w:r>
              <w:rPr>
                <w:rFonts w:ascii="Arial" w:cs="Arial" w:eastAsia="Arial" w:hAnsi="Arial"/>
                <w:sz w:val="16"/>
                <w:szCs w:val="16"/>
                <w:color w:val="auto"/>
              </w:rPr>
              <w:t>investment per share)</w:t>
            </w: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(0.02)</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(0.09)</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(0.50)</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6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7"/>
              </w:rPr>
              <w:t>Percentage dilution to stockholder A (dilution per share divided</w:t>
            </w:r>
          </w:p>
        </w:tc>
        <w:tc>
          <w:tcPr>
            <w:tcW w:w="18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by investment per share)</w:t>
            </w:r>
          </w:p>
        </w:tc>
        <w:tc>
          <w:tcPr>
            <w:tcW w:w="1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(0.20)%</w:t>
            </w:r>
          </w:p>
        </w:tc>
        <w:tc>
          <w:tcPr>
            <w:tcW w:w="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(0.90)%</w:t>
            </w:r>
          </w:p>
        </w:tc>
        <w:tc>
          <w:tcPr>
            <w:tcW w:w="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11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86"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 (2) 150% of their proportionate</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 of the offering (i.e., 3,750 shares which is 1.50% of the offering of 250,000 shares rather than their 1.00% proportionate share).</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00" w:type="dxa"/>
            <w:vAlign w:val="bottom"/>
          </w:tcPr>
          <w:p>
            <w:pPr>
              <w:spacing w:after="0"/>
              <w:rPr>
                <w:sz w:val="14"/>
                <w:szCs w:val="14"/>
                <w:color w:val="auto"/>
              </w:rPr>
            </w:pPr>
          </w:p>
        </w:tc>
        <w:tc>
          <w:tcPr>
            <w:tcW w:w="19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50% Participation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5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118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10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56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7.89</w:t>
            </w:r>
          </w:p>
        </w:tc>
        <w:tc>
          <w:tcPr>
            <w:tcW w:w="8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7.89</w:t>
            </w:r>
          </w:p>
        </w:tc>
        <w:tc>
          <w:tcPr>
            <w:tcW w:w="44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Net proceeds per share to issuer</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7.50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4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b w:val="1"/>
                <w:bCs w:val="1"/>
                <w:i w:val="1"/>
                <w:iCs w:val="1"/>
                <w:color w:val="auto"/>
              </w:rPr>
              <w:t>Increases in Shares and Decrease to NAV</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1,000,000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w w:val="87"/>
              </w:rPr>
              <w:t>1,250,000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25.00 %</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1,250,000</w:t>
            </w:r>
          </w:p>
        </w:tc>
        <w:tc>
          <w:tcPr>
            <w:tcW w:w="4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25.00 %</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NAV per share</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9.50</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(5.00)%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9.50</w:t>
            </w:r>
          </w:p>
        </w:tc>
        <w:tc>
          <w:tcPr>
            <w:tcW w:w="4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(Dilution)/Accretion to Participating Stockholder A</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11,250</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12.50 %</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13,750</w:t>
            </w:r>
          </w:p>
        </w:tc>
        <w:tc>
          <w:tcPr>
            <w:tcW w:w="44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37.50 %</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0.90%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8"/>
              </w:rPr>
              <w:t>(10.00)%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Total NAV held by stockholder A</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106,875</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6.88 %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130,625</w:t>
            </w:r>
          </w:p>
        </w:tc>
        <w:tc>
          <w:tcPr>
            <w:tcW w:w="4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30.63 %</w:t>
            </w:r>
          </w:p>
        </w:tc>
        <w:tc>
          <w:tcPr>
            <w:tcW w:w="0" w:type="dxa"/>
            <w:vAlign w:val="bottom"/>
          </w:tcPr>
          <w:p>
            <w:pPr>
              <w:spacing w:after="0"/>
              <w:rPr>
                <w:sz w:val="1"/>
                <w:szCs w:val="1"/>
                <w:color w:val="auto"/>
              </w:rPr>
            </w:pPr>
          </w:p>
        </w:tc>
      </w:tr>
      <w:tr>
        <w:trPr>
          <w:trHeight w:val="193"/>
        </w:trPr>
        <w:tc>
          <w:tcPr>
            <w:tcW w:w="5620" w:type="dxa"/>
            <w:vAlign w:val="bottom"/>
          </w:tcPr>
          <w:p>
            <w:pPr>
              <w:spacing w:after="0"/>
              <w:rPr>
                <w:sz w:val="20"/>
                <w:szCs w:val="20"/>
                <w:color w:val="auto"/>
              </w:rPr>
            </w:pPr>
            <w:r>
              <w:rPr>
                <w:rFonts w:ascii="Arial" w:cs="Arial" w:eastAsia="Arial" w:hAnsi="Arial"/>
                <w:sz w:val="16"/>
                <w:szCs w:val="16"/>
                <w:color w:val="auto"/>
                <w:w w:val="94"/>
              </w:rPr>
              <w:t>Total investment by stockholder A (assumed to be $10.00 per share on shares held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20" w:type="dxa"/>
            <w:vAlign w:val="bottom"/>
          </w:tcPr>
          <w:p>
            <w:pPr>
              <w:ind w:left="160"/>
              <w:spacing w:after="0"/>
              <w:rPr>
                <w:sz w:val="20"/>
                <w:szCs w:val="20"/>
                <w:color w:val="auto"/>
              </w:rPr>
            </w:pPr>
            <w:r>
              <w:rPr>
                <w:rFonts w:ascii="Arial" w:cs="Arial" w:eastAsia="Arial" w:hAnsi="Arial"/>
                <w:sz w:val="16"/>
                <w:szCs w:val="16"/>
                <w:color w:val="auto"/>
              </w:rPr>
              <w:t>prior to sale)</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100,000</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109,863</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9.86 %</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129,588</w:t>
            </w:r>
          </w:p>
        </w:tc>
        <w:tc>
          <w:tcPr>
            <w:tcW w:w="4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29.59 %</w:t>
            </w:r>
          </w:p>
        </w:tc>
        <w:tc>
          <w:tcPr>
            <w:tcW w:w="0" w:type="dxa"/>
            <w:vAlign w:val="bottom"/>
          </w:tcPr>
          <w:p>
            <w:pPr>
              <w:spacing w:after="0"/>
              <w:rPr>
                <w:sz w:val="1"/>
                <w:szCs w:val="1"/>
                <w:color w:val="auto"/>
              </w:rPr>
            </w:pPr>
          </w:p>
        </w:tc>
      </w:tr>
      <w:tr>
        <w:trPr>
          <w:trHeight w:val="206"/>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Total (dilution)/accretion to stockholder A (total NAV less total investment)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(2,988)</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4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NAV per share held by stockholder A</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9.50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620" w:type="dxa"/>
            <w:vAlign w:val="bottom"/>
          </w:tcPr>
          <w:p>
            <w:pPr>
              <w:ind w:left="320"/>
              <w:spacing w:after="0"/>
              <w:rPr>
                <w:sz w:val="20"/>
                <w:szCs w:val="20"/>
                <w:color w:val="auto"/>
              </w:rPr>
            </w:pPr>
            <w:r>
              <w:rPr>
                <w:rFonts w:ascii="Arial" w:cs="Arial" w:eastAsia="Arial" w:hAnsi="Arial"/>
                <w:sz w:val="16"/>
                <w:szCs w:val="16"/>
                <w:color w:val="auto"/>
                <w:w w:val="92"/>
              </w:rPr>
              <w:t>Investment per share held by stockholder A (assumed to be $10.00 per share on</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20" w:type="dxa"/>
            <w:vAlign w:val="bottom"/>
          </w:tcPr>
          <w:p>
            <w:pPr>
              <w:ind w:left="480"/>
              <w:spacing w:after="0"/>
              <w:rPr>
                <w:sz w:val="20"/>
                <w:szCs w:val="20"/>
                <w:color w:val="auto"/>
              </w:rPr>
            </w:pPr>
            <w:r>
              <w:rPr>
                <w:rFonts w:ascii="Arial" w:cs="Arial" w:eastAsia="Arial" w:hAnsi="Arial"/>
                <w:sz w:val="16"/>
                <w:szCs w:val="16"/>
                <w:color w:val="auto"/>
              </w:rPr>
              <w:t>shares held prior to sale)</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9.77</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(2.30)%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9.42</w:t>
            </w:r>
          </w:p>
        </w:tc>
        <w:tc>
          <w:tcPr>
            <w:tcW w:w="4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(Dilution)/accretion per share held by stockholder A (NAV per share less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 per share)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(0.27)</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620" w:type="dxa"/>
            <w:vAlign w:val="bottom"/>
          </w:tcPr>
          <w:p>
            <w:pPr>
              <w:ind w:left="320"/>
              <w:spacing w:after="0"/>
              <w:rPr>
                <w:sz w:val="20"/>
                <w:szCs w:val="20"/>
                <w:color w:val="auto"/>
              </w:rPr>
            </w:pPr>
            <w:r>
              <w:rPr>
                <w:rFonts w:ascii="Arial" w:cs="Arial" w:eastAsia="Arial" w:hAnsi="Arial"/>
                <w:sz w:val="16"/>
                <w:szCs w:val="16"/>
                <w:color w:val="auto"/>
                <w:w w:val="97"/>
              </w:rPr>
              <w:t>Percentage (dilution)/accretion to stockholder A (dilution)/accretion per share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620" w:type="dxa"/>
            <w:vAlign w:val="bottom"/>
          </w:tcPr>
          <w:p>
            <w:pPr>
              <w:ind w:left="480"/>
              <w:spacing w:after="0"/>
              <w:rPr>
                <w:sz w:val="20"/>
                <w:szCs w:val="20"/>
                <w:color w:val="auto"/>
              </w:rPr>
            </w:pPr>
            <w:r>
              <w:rPr>
                <w:rFonts w:ascii="Arial" w:cs="Arial" w:eastAsia="Arial" w:hAnsi="Arial"/>
                <w:sz w:val="16"/>
                <w:szCs w:val="16"/>
                <w:color w:val="auto"/>
              </w:rPr>
              <w:t>divided by investment per share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(2.76)%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11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4"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95"/>
              </w:rPr>
              <w:t>Example 1</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95"/>
              </w:rPr>
              <w:t>Example 2</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95"/>
              </w:rPr>
              <w:t>Example 3</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99"/>
              </w:rPr>
              <w:t>5% Offering</w:t>
            </w:r>
          </w:p>
        </w:tc>
        <w:tc>
          <w:tcPr>
            <w:tcW w:w="80" w:type="dxa"/>
            <w:vAlign w:val="bottom"/>
          </w:tcPr>
          <w:p>
            <w:pPr>
              <w:spacing w:after="0"/>
              <w:rPr>
                <w:sz w:val="12"/>
                <w:szCs w:val="12"/>
                <w:color w:val="auto"/>
              </w:rPr>
            </w:pPr>
          </w:p>
        </w:tc>
        <w:tc>
          <w:tcPr>
            <w:tcW w:w="196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5"/>
              </w:rPr>
              <w:t>at 5% Discount</w:t>
            </w:r>
          </w:p>
        </w:tc>
        <w:tc>
          <w:tcPr>
            <w:tcW w:w="80" w:type="dxa"/>
            <w:vAlign w:val="bottom"/>
          </w:tcPr>
          <w:p>
            <w:pPr>
              <w:spacing w:after="0"/>
              <w:rPr>
                <w:sz w:val="14"/>
                <w:szCs w:val="14"/>
                <w:color w:val="auto"/>
              </w:rPr>
            </w:pPr>
          </w:p>
        </w:tc>
        <w:tc>
          <w:tcPr>
            <w:tcW w:w="19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ind w:left="180"/>
              <w:spacing w:after="0" w:line="119" w:lineRule="exact"/>
              <w:rPr>
                <w:sz w:val="20"/>
                <w:szCs w:val="20"/>
                <w:color w:val="auto"/>
              </w:rPr>
            </w:pPr>
            <w:r>
              <w:rPr>
                <w:rFonts w:ascii="Arial" w:cs="Arial" w:eastAsia="Arial" w:hAnsi="Arial"/>
                <w:sz w:val="13"/>
                <w:szCs w:val="13"/>
                <w:b w:val="1"/>
                <w:bCs w:val="1"/>
                <w:color w:val="auto"/>
              </w:rPr>
              <w:t>%</w:t>
            </w:r>
          </w:p>
        </w:tc>
        <w:tc>
          <w:tcPr>
            <w:tcW w:w="52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Arial" w:cs="Arial" w:eastAsia="Arial" w:hAnsi="Arial"/>
                <w:sz w:val="14"/>
                <w:szCs w:val="14"/>
                <w:b w:val="1"/>
                <w:bCs w:val="1"/>
                <w:color w:val="auto"/>
              </w:rPr>
              <w:t>Below NAV</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35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9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94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60" w:type="dxa"/>
            <w:vAlign w:val="bottom"/>
          </w:tcPr>
          <w:p>
            <w:pPr>
              <w:spacing w:after="0"/>
              <w:rPr>
                <w:sz w:val="17"/>
                <w:szCs w:val="17"/>
                <w:color w:val="auto"/>
              </w:rPr>
            </w:pPr>
          </w:p>
        </w:tc>
        <w:tc>
          <w:tcPr>
            <w:tcW w:w="10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9.47</w:t>
            </w: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6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9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9.00</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9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1,050,000</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5.00 %</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89"/>
              </w:rPr>
              <w:t>1,100,000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10.00 %</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1,250,000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25.00 %</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Arial" w:cs="Arial" w:eastAsia="Arial" w:hAnsi="Arial"/>
                <w:sz w:val="16"/>
                <w:szCs w:val="16"/>
                <w:color w:val="auto"/>
              </w:rPr>
              <w:t>NAV per share</w:t>
            </w:r>
          </w:p>
        </w:tc>
        <w:tc>
          <w:tcPr>
            <w:tcW w:w="94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9.98</w:t>
            </w:r>
          </w:p>
        </w:tc>
        <w:tc>
          <w:tcPr>
            <w:tcW w:w="46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Arial" w:cs="Arial" w:eastAsia="Arial" w:hAnsi="Arial"/>
                <w:sz w:val="16"/>
                <w:szCs w:val="16"/>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9.91</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(0.90)%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9.50</w:t>
            </w:r>
          </w:p>
        </w:tc>
        <w:tc>
          <w:tcPr>
            <w:tcW w:w="4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Stockholder A</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940" w:type="dxa"/>
            <w:vAlign w:val="bottom"/>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500</w:t>
            </w:r>
          </w:p>
        </w:tc>
        <w:tc>
          <w:tcPr>
            <w:tcW w:w="460" w:type="dxa"/>
            <w:vAlign w:val="bottom"/>
          </w:tcPr>
          <w:p>
            <w:pPr>
              <w:spacing w:after="0"/>
              <w:rPr>
                <w:sz w:val="17"/>
                <w:szCs w:val="17"/>
                <w:color w:val="auto"/>
              </w:rPr>
            </w:pPr>
          </w:p>
        </w:tc>
        <w:tc>
          <w:tcPr>
            <w:tcW w:w="10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1,000</w:t>
            </w: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2,500</w:t>
            </w:r>
          </w:p>
        </w:tc>
        <w:tc>
          <w:tcPr>
            <w:tcW w:w="46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9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0.05%</w:t>
            </w: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0.09%</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0.20%</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NAV held by stockholder A</w:t>
            </w:r>
          </w:p>
        </w:tc>
        <w:tc>
          <w:tcPr>
            <w:tcW w:w="9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4,990</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9,910</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80" w:type="dxa"/>
            <w:vAlign w:val="bottom"/>
          </w:tcPr>
          <w:p>
            <w:pPr>
              <w:ind w:left="320"/>
              <w:spacing w:after="0"/>
              <w:rPr>
                <w:sz w:val="20"/>
                <w:szCs w:val="20"/>
                <w:color w:val="auto"/>
              </w:rPr>
            </w:pPr>
            <w:r>
              <w:rPr>
                <w:rFonts w:ascii="Arial" w:cs="Arial" w:eastAsia="Arial" w:hAnsi="Arial"/>
                <w:sz w:val="16"/>
                <w:szCs w:val="16"/>
                <w:color w:val="auto"/>
              </w:rPr>
              <w:t>Total investment by stockholder A</w:t>
            </w:r>
          </w:p>
        </w:tc>
        <w:tc>
          <w:tcPr>
            <w:tcW w:w="94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5,000</w:t>
            </w:r>
          </w:p>
        </w:tc>
        <w:tc>
          <w:tcPr>
            <w:tcW w:w="460" w:type="dxa"/>
            <w:vAlign w:val="bottom"/>
          </w:tcPr>
          <w:p>
            <w:pPr>
              <w:spacing w:after="0"/>
              <w:rPr>
                <w:sz w:val="17"/>
                <w:szCs w:val="17"/>
                <w:color w:val="auto"/>
              </w:rPr>
            </w:pPr>
          </w:p>
        </w:tc>
        <w:tc>
          <w:tcPr>
            <w:tcW w:w="10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9,470</w:t>
            </w: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19,725</w:t>
            </w:r>
          </w:p>
        </w:tc>
        <w:tc>
          <w:tcPr>
            <w:tcW w:w="46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(dilution)/accretion to stockholder A</w:t>
            </w: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NAV less total investment)</w:t>
            </w:r>
          </w:p>
        </w:tc>
        <w:tc>
          <w:tcPr>
            <w:tcW w:w="9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(10)</w:t>
            </w: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440</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4,025</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58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NAV per share held by stockholder A</w:t>
            </w:r>
          </w:p>
        </w:tc>
        <w:tc>
          <w:tcPr>
            <w:tcW w:w="9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9.91</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80" w:type="dxa"/>
            <w:vAlign w:val="bottom"/>
          </w:tcPr>
          <w:p>
            <w:pPr>
              <w:ind w:left="320"/>
              <w:spacing w:after="0"/>
              <w:rPr>
                <w:sz w:val="20"/>
                <w:szCs w:val="20"/>
                <w:color w:val="auto"/>
              </w:rPr>
            </w:pPr>
            <w:r>
              <w:rPr>
                <w:rFonts w:ascii="Arial" w:cs="Arial" w:eastAsia="Arial" w:hAnsi="Arial"/>
                <w:sz w:val="16"/>
                <w:szCs w:val="16"/>
                <w:color w:val="auto"/>
              </w:rPr>
              <w:t>Investment per share held by stockholder A</w:t>
            </w:r>
          </w:p>
        </w:tc>
        <w:tc>
          <w:tcPr>
            <w:tcW w:w="94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60" w:type="dxa"/>
            <w:vAlign w:val="bottom"/>
          </w:tcPr>
          <w:p>
            <w:pPr>
              <w:spacing w:after="0"/>
              <w:rPr>
                <w:sz w:val="17"/>
                <w:szCs w:val="17"/>
                <w:color w:val="auto"/>
              </w:rPr>
            </w:pPr>
          </w:p>
        </w:tc>
        <w:tc>
          <w:tcPr>
            <w:tcW w:w="10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9.47</w:t>
            </w: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6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(Dilution)/accretion per share held by</w:t>
            </w: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stockholder A (NAV per share less</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 per share)</w:t>
            </w:r>
          </w:p>
        </w:tc>
        <w:tc>
          <w:tcPr>
            <w:tcW w:w="9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(0.02)</w:t>
            </w: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0.44</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580" w:type="dxa"/>
            <w:vAlign w:val="bottom"/>
          </w:tcPr>
          <w:p>
            <w:pPr>
              <w:ind w:left="320"/>
              <w:spacing w:after="0"/>
              <w:rPr>
                <w:sz w:val="20"/>
                <w:szCs w:val="20"/>
                <w:color w:val="auto"/>
              </w:rPr>
            </w:pPr>
            <w:r>
              <w:rPr>
                <w:rFonts w:ascii="Arial" w:cs="Arial" w:eastAsia="Arial" w:hAnsi="Arial"/>
                <w:sz w:val="16"/>
                <w:szCs w:val="16"/>
                <w:color w:val="auto"/>
              </w:rPr>
              <w:t>Percentage (dilution)/accretion to</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480"/>
              <w:spacing w:after="0"/>
              <w:rPr>
                <w:sz w:val="20"/>
                <w:szCs w:val="20"/>
                <w:color w:val="auto"/>
              </w:rPr>
            </w:pPr>
            <w:r>
              <w:rPr>
                <w:rFonts w:ascii="Arial" w:cs="Arial" w:eastAsia="Arial" w:hAnsi="Arial"/>
                <w:sz w:val="16"/>
                <w:szCs w:val="16"/>
                <w:color w:val="auto"/>
              </w:rPr>
              <w:t>stockholder A (dilution)/ accretion per</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80" w:type="dxa"/>
            <w:vAlign w:val="bottom"/>
          </w:tcPr>
          <w:p>
            <w:pPr>
              <w:ind w:left="480"/>
              <w:spacing w:after="0"/>
              <w:rPr>
                <w:sz w:val="20"/>
                <w:szCs w:val="20"/>
                <w:color w:val="auto"/>
              </w:rPr>
            </w:pPr>
            <w:r>
              <w:rPr>
                <w:rFonts w:ascii="Arial" w:cs="Arial" w:eastAsia="Arial" w:hAnsi="Arial"/>
                <w:sz w:val="16"/>
                <w:szCs w:val="16"/>
                <w:color w:val="auto"/>
              </w:rPr>
              <w:t>share divided by investment per share</w:t>
            </w:r>
          </w:p>
        </w:tc>
        <w:tc>
          <w:tcPr>
            <w:tcW w:w="940" w:type="dxa"/>
            <w:vAlign w:val="bottom"/>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140"/>
              <w:spacing w:after="0"/>
              <w:rPr>
                <w:sz w:val="20"/>
                <w:szCs w:val="20"/>
                <w:color w:val="auto"/>
              </w:rPr>
            </w:pPr>
            <w:r>
              <w:rPr>
                <w:rFonts w:ascii="Arial" w:cs="Arial" w:eastAsia="Arial" w:hAnsi="Arial"/>
                <w:sz w:val="16"/>
                <w:szCs w:val="16"/>
                <w:color w:val="auto"/>
              </w:rPr>
              <w:t>(0.20)%</w:t>
            </w:r>
          </w:p>
        </w:tc>
        <w:tc>
          <w:tcPr>
            <w:tcW w:w="80" w:type="dxa"/>
            <w:vAlign w:val="bottom"/>
          </w:tcPr>
          <w:p>
            <w:pPr>
              <w:spacing w:after="0"/>
              <w:rPr>
                <w:sz w:val="17"/>
                <w:szCs w:val="17"/>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4.65 %</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88"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Each year, a Form 1099-DIV will be sent to stockholders subject to information reporting that will state the amount and composition of distributions, and provided information with respect to appropriate tax treatment of our distributions.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tax characteristics of distributions declared, in accordance with Section 19(a) of the 1940 Act, during the years ended September 30, 2019 and</w:t>
      </w:r>
    </w:p>
    <w:p>
      <w:pPr>
        <w:spacing w:after="0" w:line="46" w:lineRule="exact"/>
        <w:rPr>
          <w:sz w:val="20"/>
          <w:szCs w:val="20"/>
          <w:color w:val="auto"/>
        </w:rPr>
      </w:pPr>
    </w:p>
    <w:p>
      <w:pPr>
        <w:ind w:left="120" w:right="400"/>
        <w:spacing w:after="0" w:line="260" w:lineRule="auto"/>
        <w:rPr>
          <w:sz w:val="20"/>
          <w:szCs w:val="20"/>
          <w:color w:val="auto"/>
        </w:rPr>
      </w:pPr>
      <w:r>
        <w:rPr>
          <w:rFonts w:ascii="Arial" w:cs="Arial" w:eastAsia="Arial" w:hAnsi="Arial"/>
          <w:sz w:val="18"/>
          <w:szCs w:val="18"/>
          <w:color w:val="auto"/>
        </w:rPr>
        <w:t>2018 from ordinary income (including short-term gains, if any), totaled $48.4 million and $50.6 million, or $0.72 and $0.72 per share, respectively, based on weighted average shares outstanding for the respective periods.</w:t>
      </w:r>
    </w:p>
    <w:p>
      <w:pPr>
        <w:spacing w:after="0" w:line="18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84"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as of September 30, 2019.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September 30, 2019 Consolidated Financial Statements included in our most recent Annual Report on Form 10-K.</w:t>
      </w:r>
    </w:p>
    <w:p>
      <w:pPr>
        <w:spacing w:after="0" w:line="188"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generally presumed to be controlled by us under the 1940 Act. We make available significant managerial assistance to our portfolio companies. Substantially all of our investments (except those of SBIC II) are pledged as collateral under our Credit Facilities. Unless otherwise noted, we held no voting board membership on any of our portfolio companies.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Type of Investment,</w:t>
            </w: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Voting</w:t>
            </w:r>
          </w:p>
        </w:tc>
        <w:tc>
          <w:tcPr>
            <w:tcW w:w="8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3800" w:type="dxa"/>
            <w:vAlign w:val="bottom"/>
            <w:gridSpan w:val="2"/>
            <w:vMerge w:val="continue"/>
          </w:tcPr>
          <w:p>
            <w:pPr>
              <w:spacing w:after="0"/>
              <w:rPr>
                <w:sz w:val="12"/>
                <w:szCs w:val="12"/>
                <w:color w:val="auto"/>
              </w:rPr>
            </w:pPr>
          </w:p>
        </w:tc>
        <w:tc>
          <w:tcPr>
            <w:tcW w:w="1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Nature of Business</w:t>
            </w:r>
          </w:p>
        </w:tc>
        <w:tc>
          <w:tcPr>
            <w:tcW w:w="3260" w:type="dxa"/>
            <w:vAlign w:val="bottom"/>
            <w:gridSpan w:val="2"/>
            <w:vMerge w:val="continue"/>
          </w:tcPr>
          <w:p>
            <w:pPr>
              <w:spacing w:after="0"/>
              <w:rPr>
                <w:sz w:val="12"/>
                <w:szCs w:val="12"/>
                <w:color w:val="auto"/>
              </w:rPr>
            </w:pPr>
          </w:p>
        </w:tc>
        <w:tc>
          <w:tcPr>
            <w:tcW w:w="1260" w:type="dxa"/>
            <w:vAlign w:val="bottom"/>
            <w:gridSpan w:val="2"/>
          </w:tcPr>
          <w:p>
            <w:pPr>
              <w:jc w:val="right"/>
              <w:ind w:right="520"/>
              <w:spacing w:after="0" w:line="145" w:lineRule="exact"/>
              <w:rPr>
                <w:sz w:val="20"/>
                <w:szCs w:val="20"/>
                <w:color w:val="auto"/>
              </w:rPr>
            </w:pPr>
            <w:r>
              <w:rPr>
                <w:rFonts w:ascii="Arial" w:cs="Arial" w:eastAsia="Arial" w:hAnsi="Arial"/>
                <w:sz w:val="14"/>
                <w:szCs w:val="14"/>
                <w:b w:val="1"/>
                <w:bCs w:val="1"/>
                <w:color w:val="auto"/>
                <w:w w:val="95"/>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192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3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22"/>
        </w:trPr>
        <w:tc>
          <w:tcPr>
            <w:tcW w:w="380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Companies Less than 5% Owned</w:t>
            </w:r>
          </w:p>
        </w:tc>
        <w:tc>
          <w:tcPr>
            <w:tcW w:w="15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29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800" w:type="dxa"/>
            <w:vAlign w:val="bottom"/>
            <w:gridSpan w:val="2"/>
          </w:tcPr>
          <w:p>
            <w:pPr>
              <w:spacing w:after="0" w:line="130" w:lineRule="exact"/>
              <w:rPr>
                <w:sz w:val="20"/>
                <w:szCs w:val="20"/>
                <w:color w:val="auto"/>
              </w:rPr>
            </w:pPr>
            <w:r>
              <w:rPr>
                <w:rFonts w:ascii="Arial" w:cs="Arial" w:eastAsia="Arial" w:hAnsi="Arial"/>
                <w:sz w:val="14"/>
                <w:szCs w:val="14"/>
                <w:color w:val="auto"/>
              </w:rPr>
              <w:t>Affinion Group Holdings, Inc.</w:t>
            </w:r>
          </w:p>
        </w:tc>
        <w:tc>
          <w:tcPr>
            <w:tcW w:w="1780" w:type="dxa"/>
            <w:vAlign w:val="bottom"/>
            <w:gridSpan w:val="2"/>
          </w:tcPr>
          <w:p>
            <w:pPr>
              <w:jc w:val="center"/>
              <w:ind w:right="280"/>
              <w:spacing w:after="0" w:line="130" w:lineRule="exact"/>
              <w:rPr>
                <w:sz w:val="20"/>
                <w:szCs w:val="20"/>
                <w:color w:val="auto"/>
              </w:rPr>
            </w:pPr>
            <w:r>
              <w:rPr>
                <w:rFonts w:ascii="Arial" w:cs="Arial" w:eastAsia="Arial" w:hAnsi="Arial"/>
                <w:sz w:val="14"/>
                <w:szCs w:val="14"/>
                <w:color w:val="auto"/>
                <w:w w:val="89"/>
              </w:rPr>
              <w:t>Consumer</w:t>
            </w:r>
          </w:p>
        </w:tc>
        <w:tc>
          <w:tcPr>
            <w:tcW w:w="3260" w:type="dxa"/>
            <w:vAlign w:val="bottom"/>
            <w:gridSpan w:val="2"/>
          </w:tcPr>
          <w:p>
            <w:pPr>
              <w:jc w:val="center"/>
              <w:ind w:right="280"/>
              <w:spacing w:after="0" w:line="130" w:lineRule="exact"/>
              <w:rPr>
                <w:sz w:val="20"/>
                <w:szCs w:val="20"/>
                <w:color w:val="auto"/>
              </w:rPr>
            </w:pPr>
            <w:r>
              <w:rPr>
                <w:rFonts w:ascii="Arial" w:cs="Arial" w:eastAsia="Arial" w:hAnsi="Arial"/>
                <w:sz w:val="14"/>
                <w:szCs w:val="14"/>
                <w:color w:val="auto"/>
                <w:w w:val="87"/>
              </w:rPr>
              <w:t>Warrants</w:t>
            </w:r>
          </w:p>
        </w:tc>
        <w:tc>
          <w:tcPr>
            <w:tcW w:w="1260" w:type="dxa"/>
            <w:vAlign w:val="bottom"/>
            <w:gridSpan w:val="2"/>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30"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817</w:t>
            </w:r>
          </w:p>
        </w:tc>
        <w:tc>
          <w:tcPr>
            <w:tcW w:w="0" w:type="dxa"/>
            <w:vAlign w:val="bottom"/>
          </w:tcPr>
          <w:p>
            <w:pPr>
              <w:spacing w:after="0"/>
              <w:rPr>
                <w:sz w:val="1"/>
                <w:szCs w:val="1"/>
                <w:color w:val="auto"/>
              </w:rPr>
            </w:pPr>
          </w:p>
        </w:tc>
      </w:tr>
      <w:tr>
        <w:trPr>
          <w:trHeight w:val="148"/>
        </w:trPr>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100 Connecticut Avenue</w:t>
            </w: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Products</w:t>
            </w:r>
          </w:p>
        </w:tc>
        <w:tc>
          <w:tcPr>
            <w:tcW w:w="2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0" w:type="dxa"/>
            <w:vAlign w:val="bottom"/>
            <w:gridSpan w:val="2"/>
          </w:tcPr>
          <w:p>
            <w:pPr>
              <w:spacing w:after="0"/>
              <w:rPr>
                <w:sz w:val="20"/>
                <w:szCs w:val="20"/>
                <w:color w:val="auto"/>
              </w:rPr>
            </w:pPr>
            <w:r>
              <w:rPr>
                <w:rFonts w:ascii="Arial" w:cs="Arial" w:eastAsia="Arial" w:hAnsi="Arial"/>
                <w:sz w:val="14"/>
                <w:szCs w:val="14"/>
                <w:color w:val="auto"/>
              </w:rPr>
              <w:t>Norwalk, CT 06850</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AG Investco LP</w:t>
            </w:r>
            <w:r>
              <w:rPr>
                <w:rFonts w:ascii="Arial" w:cs="Arial" w:eastAsia="Arial" w:hAnsi="Arial"/>
                <w:sz w:val="12"/>
                <w:szCs w:val="12"/>
                <w:color w:val="auto"/>
              </w:rPr>
              <w:t>(5)</w:t>
            </w:r>
          </w:p>
        </w:tc>
        <w:tc>
          <w:tcPr>
            <w:tcW w:w="178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89"/>
              </w:rPr>
              <w:t>Business Services</w:t>
            </w:r>
          </w:p>
        </w:tc>
        <w:tc>
          <w:tcPr>
            <w:tcW w:w="32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149"/>
        </w:trPr>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251 Little Falls Drive</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Herndon, VA 19808</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00" w:type="dxa"/>
            <w:vAlign w:val="bottom"/>
            <w:gridSpan w:val="2"/>
          </w:tcPr>
          <w:p>
            <w:pPr>
              <w:spacing w:after="0"/>
              <w:rPr>
                <w:sz w:val="20"/>
                <w:szCs w:val="20"/>
                <w:color w:val="auto"/>
              </w:rPr>
            </w:pPr>
            <w:r>
              <w:rPr>
                <w:rFonts w:ascii="Arial" w:cs="Arial" w:eastAsia="Arial" w:hAnsi="Arial"/>
                <w:sz w:val="14"/>
                <w:szCs w:val="14"/>
                <w:color w:val="auto"/>
              </w:rPr>
              <w:t>AH Holdings, Inc.</w:t>
            </w: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Healthcare, Education</w:t>
            </w:r>
          </w:p>
        </w:tc>
        <w:tc>
          <w:tcPr>
            <w:tcW w:w="32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Preferred Equity</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48"/>
        </w:trPr>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10039 Bissonnet Street, Ste. 250</w:t>
            </w:r>
          </w:p>
        </w:tc>
        <w:tc>
          <w:tcPr>
            <w:tcW w:w="17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and Childcare</w:t>
            </w:r>
          </w:p>
        </w:tc>
        <w:tc>
          <w:tcPr>
            <w:tcW w:w="32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7"/>
              </w:rPr>
              <w:t>Warrants</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0" w:type="dxa"/>
            <w:vAlign w:val="bottom"/>
            <w:gridSpan w:val="2"/>
          </w:tcPr>
          <w:p>
            <w:pPr>
              <w:spacing w:after="0"/>
              <w:rPr>
                <w:sz w:val="20"/>
                <w:szCs w:val="20"/>
                <w:color w:val="auto"/>
              </w:rPr>
            </w:pPr>
            <w:r>
              <w:rPr>
                <w:rFonts w:ascii="Arial" w:cs="Arial" w:eastAsia="Arial" w:hAnsi="Arial"/>
                <w:sz w:val="14"/>
                <w:szCs w:val="14"/>
                <w:color w:val="auto"/>
              </w:rPr>
              <w:t>Houston, TX 77036</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Altamira Technologies, LLC</w:t>
            </w:r>
          </w:p>
        </w:tc>
        <w:tc>
          <w:tcPr>
            <w:tcW w:w="178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Aerospace and Defense</w:t>
            </w:r>
          </w:p>
        </w:tc>
        <w:tc>
          <w:tcPr>
            <w:tcW w:w="32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1,125</w:t>
            </w:r>
          </w:p>
        </w:tc>
        <w:tc>
          <w:tcPr>
            <w:tcW w:w="0" w:type="dxa"/>
            <w:vAlign w:val="bottom"/>
          </w:tcPr>
          <w:p>
            <w:pPr>
              <w:spacing w:after="0"/>
              <w:rPr>
                <w:sz w:val="1"/>
                <w:szCs w:val="1"/>
                <w:color w:val="auto"/>
              </w:rPr>
            </w:pPr>
          </w:p>
        </w:tc>
      </w:tr>
      <w:tr>
        <w:trPr>
          <w:trHeight w:val="149"/>
        </w:trPr>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(Altamira Intermediate Company II, Inc.)</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3M L+600, 07/24/2025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8201 Greensboro Drive, Suite 800</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4"/>
              </w:rPr>
              <w:t>Common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McLean, VA 22102</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00" w:type="dxa"/>
            <w:vAlign w:val="bottom"/>
            <w:gridSpan w:val="2"/>
          </w:tcPr>
          <w:p>
            <w:pPr>
              <w:spacing w:after="0"/>
              <w:rPr>
                <w:sz w:val="20"/>
                <w:szCs w:val="20"/>
                <w:color w:val="auto"/>
              </w:rPr>
            </w:pPr>
            <w:r>
              <w:rPr>
                <w:rFonts w:ascii="Arial" w:cs="Arial" w:eastAsia="Arial" w:hAnsi="Arial"/>
                <w:sz w:val="14"/>
                <w:szCs w:val="14"/>
                <w:color w:val="auto"/>
              </w:rPr>
              <w:t>American Insulated Glass, LLC</w:t>
            </w: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Building Materials</w:t>
            </w:r>
          </w:p>
        </w:tc>
        <w:tc>
          <w:tcPr>
            <w:tcW w:w="32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31,247</w:t>
            </w:r>
          </w:p>
        </w:tc>
        <w:tc>
          <w:tcPr>
            <w:tcW w:w="0" w:type="dxa"/>
            <w:vAlign w:val="bottom"/>
          </w:tcPr>
          <w:p>
            <w:pPr>
              <w:spacing w:after="0"/>
              <w:rPr>
                <w:sz w:val="1"/>
                <w:szCs w:val="1"/>
                <w:color w:val="auto"/>
              </w:rPr>
            </w:pPr>
          </w:p>
        </w:tc>
      </w:tr>
      <w:tr>
        <w:trPr>
          <w:trHeight w:val="149"/>
        </w:trPr>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(Go Dawgs Capital III, LP</w:t>
            </w:r>
            <w:r>
              <w:rPr>
                <w:rFonts w:ascii="Arial" w:cs="Arial" w:eastAsia="Arial" w:hAnsi="Arial"/>
                <w:sz w:val="12"/>
                <w:szCs w:val="12"/>
                <w:color w:val="auto"/>
              </w:rPr>
              <w:t>(5)</w:t>
            </w:r>
            <w:r>
              <w:rPr>
                <w:rFonts w:ascii="Arial" w:cs="Arial" w:eastAsia="Arial" w:hAnsi="Arial"/>
                <w:sz w:val="14"/>
                <w:szCs w:val="14"/>
                <w:color w:val="auto"/>
              </w:rPr>
              <w:t>)</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3M L+550, 12/21/2023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3965 E. Conley Road</w:t>
            </w: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0" w:type="dxa"/>
            <w:vAlign w:val="bottom"/>
            <w:gridSpan w:val="2"/>
          </w:tcPr>
          <w:p>
            <w:pPr>
              <w:spacing w:after="0"/>
              <w:rPr>
                <w:sz w:val="20"/>
                <w:szCs w:val="20"/>
                <w:color w:val="auto"/>
              </w:rPr>
            </w:pPr>
            <w:r>
              <w:rPr>
                <w:rFonts w:ascii="Arial" w:cs="Arial" w:eastAsia="Arial" w:hAnsi="Arial"/>
                <w:sz w:val="14"/>
                <w:szCs w:val="14"/>
                <w:color w:val="auto"/>
              </w:rPr>
              <w:t>Conley, GA 30288</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ASP LCG Holdings, Inc.</w:t>
            </w:r>
          </w:p>
        </w:tc>
        <w:tc>
          <w:tcPr>
            <w:tcW w:w="178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3"/>
              </w:rPr>
              <w:t>Education</w:t>
            </w:r>
          </w:p>
        </w:tc>
        <w:tc>
          <w:tcPr>
            <w:tcW w:w="32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87"/>
              </w:rPr>
              <w:t>Warrants</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2,260</w:t>
            </w:r>
          </w:p>
        </w:tc>
        <w:tc>
          <w:tcPr>
            <w:tcW w:w="0" w:type="dxa"/>
            <w:vAlign w:val="bottom"/>
          </w:tcPr>
          <w:p>
            <w:pPr>
              <w:spacing w:after="0"/>
              <w:rPr>
                <w:sz w:val="1"/>
                <w:szCs w:val="1"/>
                <w:color w:val="auto"/>
              </w:rPr>
            </w:pPr>
          </w:p>
        </w:tc>
      </w:tr>
      <w:tr>
        <w:trPr>
          <w:trHeight w:val="149"/>
        </w:trPr>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21333 Haggerty Road, Ste. 300</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Novi, MI 48375</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00" w:type="dxa"/>
            <w:vAlign w:val="bottom"/>
            <w:gridSpan w:val="2"/>
          </w:tcPr>
          <w:p>
            <w:pPr>
              <w:spacing w:after="0"/>
              <w:rPr>
                <w:sz w:val="20"/>
                <w:szCs w:val="20"/>
                <w:color w:val="auto"/>
              </w:rPr>
            </w:pPr>
            <w:r>
              <w:rPr>
                <w:rFonts w:ascii="Arial" w:cs="Arial" w:eastAsia="Arial" w:hAnsi="Arial"/>
                <w:sz w:val="14"/>
                <w:szCs w:val="14"/>
                <w:color w:val="auto"/>
              </w:rPr>
              <w:t>Autumn Games, LLC</w:t>
            </w: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Broadcasting and</w:t>
            </w:r>
          </w:p>
        </w:tc>
        <w:tc>
          <w:tcPr>
            <w:tcW w:w="32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Common Equity</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20"/>
                <w:szCs w:val="20"/>
                <w:color w:val="auto"/>
              </w:rPr>
            </w:pPr>
          </w:p>
        </w:tc>
        <w:tc>
          <w:tcPr>
            <w:tcW w:w="8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54 Thompson Street</w:t>
            </w: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Entertainment</w:t>
            </w:r>
          </w:p>
        </w:tc>
        <w:tc>
          <w:tcPr>
            <w:tcW w:w="2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00" w:type="dxa"/>
            <w:vAlign w:val="bottom"/>
            <w:gridSpan w:val="2"/>
          </w:tcPr>
          <w:p>
            <w:pPr>
              <w:spacing w:after="0"/>
              <w:rPr>
                <w:sz w:val="20"/>
                <w:szCs w:val="20"/>
                <w:color w:val="auto"/>
              </w:rPr>
            </w:pPr>
            <w:r>
              <w:rPr>
                <w:rFonts w:ascii="Arial" w:cs="Arial" w:eastAsia="Arial" w:hAnsi="Arial"/>
                <w:sz w:val="14"/>
                <w:szCs w:val="14"/>
                <w:color w:val="auto"/>
              </w:rPr>
              <w:t>New York, NY 10012</w:t>
            </w: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Bazaarvoice, Inc.</w:t>
            </w:r>
          </w:p>
        </w:tc>
        <w:tc>
          <w:tcPr>
            <w:tcW w:w="178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Printing and Publishing</w:t>
            </w:r>
          </w:p>
        </w:tc>
        <w:tc>
          <w:tcPr>
            <w:tcW w:w="32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14,628</w:t>
            </w:r>
          </w:p>
        </w:tc>
        <w:tc>
          <w:tcPr>
            <w:tcW w:w="0" w:type="dxa"/>
            <w:vAlign w:val="bottom"/>
          </w:tcPr>
          <w:p>
            <w:pPr>
              <w:spacing w:after="0"/>
              <w:rPr>
                <w:sz w:val="1"/>
                <w:szCs w:val="1"/>
                <w:color w:val="auto"/>
              </w:rPr>
            </w:pPr>
          </w:p>
        </w:tc>
      </w:tr>
      <w:tr>
        <w:trPr>
          <w:trHeight w:val="148"/>
        </w:trPr>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10901 South Stonelake Blvd.</w:t>
            </w:r>
          </w:p>
        </w:tc>
        <w:tc>
          <w:tcPr>
            <w:tcW w:w="1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1M L+575, 02/01/2024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Austin, TX 78759</w:t>
            </w: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Type of Investment,</w:t>
            </w: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Voting</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40" w:type="dxa"/>
            <w:vAlign w:val="bottom"/>
            <w:gridSpan w:val="2"/>
            <w:vMerge w:val="continue"/>
          </w:tcPr>
          <w:p>
            <w:pPr>
              <w:spacing w:after="0"/>
              <w:rPr>
                <w:sz w:val="12"/>
                <w:szCs w:val="12"/>
                <w:color w:val="auto"/>
              </w:rPr>
            </w:pPr>
          </w:p>
        </w:tc>
        <w:tc>
          <w:tcPr>
            <w:tcW w:w="1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Nature of Business</w:t>
            </w:r>
          </w:p>
        </w:tc>
        <w:tc>
          <w:tcPr>
            <w:tcW w:w="3320" w:type="dxa"/>
            <w:vAlign w:val="bottom"/>
            <w:gridSpan w:val="2"/>
            <w:vMerge w:val="continue"/>
          </w:tcPr>
          <w:p>
            <w:pPr>
              <w:spacing w:after="0"/>
              <w:rPr>
                <w:sz w:val="12"/>
                <w:szCs w:val="12"/>
                <w:color w:val="auto"/>
              </w:rPr>
            </w:pPr>
          </w:p>
        </w:tc>
        <w:tc>
          <w:tcPr>
            <w:tcW w:w="1200" w:type="dxa"/>
            <w:vAlign w:val="bottom"/>
            <w:gridSpan w:val="2"/>
          </w:tcPr>
          <w:p>
            <w:pPr>
              <w:jc w:val="right"/>
              <w:ind w:right="440"/>
              <w:spacing w:after="0" w:line="145" w:lineRule="exact"/>
              <w:rPr>
                <w:sz w:val="20"/>
                <w:szCs w:val="20"/>
                <w:color w:val="auto"/>
              </w:rPr>
            </w:pPr>
            <w:r>
              <w:rPr>
                <w:rFonts w:ascii="Arial" w:cs="Arial" w:eastAsia="Arial" w:hAnsi="Arial"/>
                <w:sz w:val="14"/>
                <w:szCs w:val="14"/>
                <w:b w:val="1"/>
                <w:bCs w:val="1"/>
                <w:color w:val="auto"/>
                <w:w w:val="97"/>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196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3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8"/>
        </w:trPr>
        <w:tc>
          <w:tcPr>
            <w:tcW w:w="384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Bottom Line Systems, LLC</w:t>
            </w:r>
          </w:p>
        </w:tc>
        <w:tc>
          <w:tcPr>
            <w:tcW w:w="15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Healthcare, Education and</w:t>
            </w:r>
          </w:p>
        </w:tc>
        <w:tc>
          <w:tcPr>
            <w:tcW w:w="200" w:type="dxa"/>
            <w:vAlign w:val="bottom"/>
            <w:tcBorders>
              <w:top w:val="single" w:sz="8" w:color="CCEEFF"/>
            </w:tcBorders>
            <w:shd w:val="clear" w:color="auto" w:fill="CCEEFF"/>
          </w:tcPr>
          <w:p>
            <w:pPr>
              <w:spacing w:after="0"/>
              <w:rPr>
                <w:sz w:val="9"/>
                <w:szCs w:val="9"/>
                <w:color w:val="auto"/>
              </w:rPr>
            </w:pPr>
          </w:p>
        </w:tc>
        <w:tc>
          <w:tcPr>
            <w:tcW w:w="312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w:t>
            </w:r>
          </w:p>
        </w:tc>
        <w:tc>
          <w:tcPr>
            <w:tcW w:w="38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21,718</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541 Buttermilk Pike, Suite 401</w:t>
            </w:r>
          </w:p>
        </w:tc>
        <w:tc>
          <w:tcPr>
            <w:tcW w:w="17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4"/>
              </w:rPr>
              <w:t>Childcare</w:t>
            </w:r>
          </w:p>
        </w:tc>
        <w:tc>
          <w:tcPr>
            <w:tcW w:w="33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5"/>
              </w:rPr>
              <w:t>1M L+600, 02/13/2023</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Crescent Springs, KY 41017</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2"/>
          </w:tcPr>
          <w:p>
            <w:pPr>
              <w:spacing w:after="0"/>
              <w:rPr>
                <w:sz w:val="20"/>
                <w:szCs w:val="20"/>
                <w:color w:val="auto"/>
              </w:rPr>
            </w:pPr>
            <w:r>
              <w:rPr>
                <w:rFonts w:ascii="Arial" w:cs="Arial" w:eastAsia="Arial" w:hAnsi="Arial"/>
                <w:sz w:val="14"/>
                <w:szCs w:val="14"/>
                <w:color w:val="auto"/>
              </w:rPr>
              <w:t>Broder Bros., Co.</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Consumer</w:t>
            </w:r>
          </w:p>
        </w:tc>
        <w:tc>
          <w:tcPr>
            <w:tcW w:w="332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First Lien Secured Debt,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27,219</w:t>
            </w: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Six Neshaminy Interplex, 6 Floor</w:t>
            </w:r>
          </w:p>
        </w:tc>
        <w:tc>
          <w:tcPr>
            <w:tcW w:w="1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Products</w:t>
            </w:r>
          </w:p>
        </w:tc>
        <w:tc>
          <w:tcPr>
            <w:tcW w:w="33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3M L+850, 12/02/2022</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2"/>
          </w:tcPr>
          <w:p>
            <w:pPr>
              <w:spacing w:after="0"/>
              <w:rPr>
                <w:sz w:val="20"/>
                <w:szCs w:val="20"/>
                <w:color w:val="auto"/>
              </w:rPr>
            </w:pPr>
            <w:r>
              <w:rPr>
                <w:rFonts w:ascii="Arial" w:cs="Arial" w:eastAsia="Arial" w:hAnsi="Arial"/>
                <w:sz w:val="14"/>
                <w:szCs w:val="14"/>
                <w:color w:val="auto"/>
              </w:rPr>
              <w:t>Trevose, PA 19053</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Blackhawk Industrial Distribution, Inc.</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9"/>
              </w:rPr>
              <w:t>Distribution</w:t>
            </w:r>
          </w:p>
        </w:tc>
        <w:tc>
          <w:tcPr>
            <w:tcW w:w="332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Subordinated Debt,</w:t>
            </w:r>
          </w:p>
        </w:tc>
        <w:tc>
          <w:tcPr>
            <w:tcW w:w="120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1.5%</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16,052</w:t>
            </w: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(Cowboy Parent LLC)</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12.0% fixed (PIK 2.0%), 03/17/2025</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1501 SW Expressway Drive</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Broken Arrow, OK 74012</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2"/>
          </w:tcPr>
          <w:p>
            <w:pPr>
              <w:spacing w:after="0"/>
              <w:rPr>
                <w:sz w:val="20"/>
                <w:szCs w:val="20"/>
                <w:color w:val="auto"/>
              </w:rPr>
            </w:pPr>
            <w:r>
              <w:rPr>
                <w:rFonts w:ascii="Arial" w:cs="Arial" w:eastAsia="Arial" w:hAnsi="Arial"/>
                <w:sz w:val="14"/>
                <w:szCs w:val="14"/>
                <w:color w:val="auto"/>
              </w:rPr>
              <w:t>Cano Health, LLC</w:t>
            </w: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Healthcare, Education and</w:t>
            </w:r>
          </w:p>
        </w:tc>
        <w:tc>
          <w:tcPr>
            <w:tcW w:w="332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First Lien Secured Debt,</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3.2%</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36,185</w:t>
            </w: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(ITC Rumba, LLC</w:t>
            </w:r>
            <w:r>
              <w:rPr>
                <w:rFonts w:ascii="Arial" w:cs="Arial" w:eastAsia="Arial" w:hAnsi="Arial"/>
                <w:sz w:val="12"/>
                <w:szCs w:val="12"/>
                <w:color w:val="auto"/>
              </w:rPr>
              <w:t>(5)</w:t>
            </w:r>
            <w:r>
              <w:rPr>
                <w:rFonts w:ascii="Arial" w:cs="Arial" w:eastAsia="Arial" w:hAnsi="Arial"/>
                <w:sz w:val="14"/>
                <w:szCs w:val="14"/>
                <w:color w:val="auto"/>
              </w:rPr>
              <w:t>)</w:t>
            </w:r>
          </w:p>
        </w:tc>
        <w:tc>
          <w:tcPr>
            <w:tcW w:w="17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Childcare</w:t>
            </w:r>
          </w:p>
        </w:tc>
        <w:tc>
          <w:tcPr>
            <w:tcW w:w="33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1M L+625, 12/23/2021</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680 N. University Drive</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2"/>
          </w:tcPr>
          <w:p>
            <w:pPr>
              <w:spacing w:after="0"/>
              <w:rPr>
                <w:sz w:val="20"/>
                <w:szCs w:val="20"/>
                <w:color w:val="auto"/>
              </w:rPr>
            </w:pPr>
            <w:r>
              <w:rPr>
                <w:rFonts w:ascii="Arial" w:cs="Arial" w:eastAsia="Arial" w:hAnsi="Arial"/>
                <w:sz w:val="14"/>
                <w:szCs w:val="14"/>
                <w:color w:val="auto"/>
              </w:rPr>
              <w:t>Pembroke Pines, FL 33024</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Cascade Environmental LLC</w:t>
            </w:r>
            <w:r>
              <w:rPr>
                <w:rFonts w:ascii="Arial" w:cs="Arial" w:eastAsia="Arial" w:hAnsi="Arial"/>
                <w:sz w:val="12"/>
                <w:szCs w:val="12"/>
                <w:color w:val="auto"/>
              </w:rPr>
              <w:t>(5)</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Environmental Services</w:t>
            </w:r>
          </w:p>
        </w:tc>
        <w:tc>
          <w:tcPr>
            <w:tcW w:w="332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Subordinated Debt,</w:t>
            </w:r>
          </w:p>
        </w:tc>
        <w:tc>
          <w:tcPr>
            <w:tcW w:w="120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2.8%</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47,884</w:t>
            </w: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17270 Woodinville-Redmond Road</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15.0% fixed (PIK 15.0%), 08/20/2021</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Woodinville, WA 98072</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2"/>
          </w:tcPr>
          <w:p>
            <w:pPr>
              <w:spacing w:after="0"/>
              <w:rPr>
                <w:sz w:val="20"/>
                <w:szCs w:val="20"/>
                <w:color w:val="auto"/>
              </w:rPr>
            </w:pPr>
            <w:r>
              <w:rPr>
                <w:rFonts w:ascii="Arial" w:cs="Arial" w:eastAsia="Arial" w:hAnsi="Arial"/>
                <w:sz w:val="14"/>
                <w:szCs w:val="14"/>
                <w:color w:val="auto"/>
              </w:rPr>
              <w:t>CI (Summit) Investment Holdings, LLC</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Buildings and Real Estate</w:t>
            </w:r>
          </w:p>
        </w:tc>
        <w:tc>
          <w:tcPr>
            <w:tcW w:w="332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1.5%</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1,505</w:t>
            </w: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575 Minnehaha Ave. W.</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2"/>
          </w:tcPr>
          <w:p>
            <w:pPr>
              <w:spacing w:after="0"/>
              <w:rPr>
                <w:sz w:val="20"/>
                <w:szCs w:val="20"/>
                <w:color w:val="auto"/>
              </w:rPr>
            </w:pPr>
            <w:r>
              <w:rPr>
                <w:rFonts w:ascii="Arial" w:cs="Arial" w:eastAsia="Arial" w:hAnsi="Arial"/>
                <w:sz w:val="14"/>
                <w:szCs w:val="14"/>
                <w:color w:val="auto"/>
              </w:rPr>
              <w:t>St. Paul, MN 55103</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Condor Borrower, LLC</w:t>
            </w:r>
          </w:p>
        </w:tc>
        <w:tc>
          <w:tcPr>
            <w:tcW w:w="17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0"/>
              </w:rPr>
              <w:t>Business Services</w:t>
            </w:r>
          </w:p>
        </w:tc>
        <w:tc>
          <w:tcPr>
            <w:tcW w:w="33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2"/>
              </w:rPr>
              <w:t>Second Lien Secured Debt,</w:t>
            </w:r>
          </w:p>
        </w:tc>
        <w:tc>
          <w:tcPr>
            <w:tcW w:w="120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0.3%</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10,860</w:t>
            </w: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(Condor Holdings Limited</w:t>
            </w:r>
            <w:r>
              <w:rPr>
                <w:rFonts w:ascii="Arial" w:cs="Arial" w:eastAsia="Arial" w:hAnsi="Arial"/>
                <w:sz w:val="12"/>
                <w:szCs w:val="12"/>
                <w:color w:val="auto"/>
              </w:rPr>
              <w:t>(6)</w:t>
            </w:r>
            <w:r>
              <w:rPr>
                <w:rFonts w:ascii="Arial" w:cs="Arial" w:eastAsia="Arial" w:hAnsi="Arial"/>
                <w:sz w:val="14"/>
                <w:szCs w:val="14"/>
                <w:color w:val="auto"/>
              </w:rPr>
              <w:t>)</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5"/>
              </w:rPr>
              <w:t>3M L+875, 04/25/2025</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(Condor Top Holdco Limited</w:t>
            </w:r>
            <w:r>
              <w:rPr>
                <w:rFonts w:ascii="Arial" w:cs="Arial" w:eastAsia="Arial" w:hAnsi="Arial"/>
                <w:sz w:val="12"/>
                <w:szCs w:val="12"/>
                <w:color w:val="auto"/>
              </w:rPr>
              <w:t>(6)</w:t>
            </w:r>
            <w:r>
              <w:rPr>
                <w:rFonts w:ascii="Arial" w:cs="Arial" w:eastAsia="Arial" w:hAnsi="Arial"/>
                <w:sz w:val="14"/>
                <w:szCs w:val="14"/>
                <w:color w:val="auto"/>
              </w:rPr>
              <w:t>)</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 Becker Farm Road</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Roseland, NJ 07068</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2"/>
          </w:tcPr>
          <w:p>
            <w:pPr>
              <w:spacing w:after="0"/>
              <w:rPr>
                <w:sz w:val="20"/>
                <w:szCs w:val="20"/>
                <w:color w:val="auto"/>
              </w:rPr>
            </w:pPr>
            <w:r>
              <w:rPr>
                <w:rFonts w:ascii="Arial" w:cs="Arial" w:eastAsia="Arial" w:hAnsi="Arial"/>
                <w:sz w:val="14"/>
                <w:szCs w:val="14"/>
                <w:color w:val="auto"/>
              </w:rPr>
              <w:t>Confie Seguros Holding Co.</w:t>
            </w: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Insurance</w:t>
            </w:r>
          </w:p>
        </w:tc>
        <w:tc>
          <w:tcPr>
            <w:tcW w:w="332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Second Lien Secured Debt,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13,594</w:t>
            </w: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7711 Center Avenue, Suite 200</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3M L+850, 10/31/2025</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2"/>
          </w:tcPr>
          <w:p>
            <w:pPr>
              <w:spacing w:after="0"/>
              <w:rPr>
                <w:sz w:val="20"/>
                <w:szCs w:val="20"/>
                <w:color w:val="auto"/>
              </w:rPr>
            </w:pPr>
            <w:r>
              <w:rPr>
                <w:rFonts w:ascii="Arial" w:cs="Arial" w:eastAsia="Arial" w:hAnsi="Arial"/>
                <w:sz w:val="14"/>
                <w:szCs w:val="14"/>
                <w:color w:val="auto"/>
              </w:rPr>
              <w:t>Huntington Beach, CA 92647</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DecoPac, Inc.</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Beverage, Food</w:t>
            </w:r>
          </w:p>
        </w:tc>
        <w:tc>
          <w:tcPr>
            <w:tcW w:w="33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2"/>
              </w:rPr>
              <w:t>Second Lien Secured Debt,</w:t>
            </w:r>
          </w:p>
        </w:tc>
        <w:tc>
          <w:tcPr>
            <w:tcW w:w="120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2.0%</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26,279</w:t>
            </w: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(DecoPac Holdings Inc.)</w:t>
            </w:r>
          </w:p>
        </w:tc>
        <w:tc>
          <w:tcPr>
            <w:tcW w:w="1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1"/>
              </w:rPr>
              <w:t>and Tobacco</w:t>
            </w:r>
          </w:p>
        </w:tc>
        <w:tc>
          <w:tcPr>
            <w:tcW w:w="33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5"/>
              </w:rPr>
              <w:t>3M L+825, 03/31/2025</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3500 Thurston Avenue</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Anoka, MN 55303</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2"/>
          </w:tcPr>
          <w:p>
            <w:pPr>
              <w:spacing w:after="0"/>
              <w:rPr>
                <w:sz w:val="20"/>
                <w:szCs w:val="20"/>
                <w:color w:val="auto"/>
              </w:rPr>
            </w:pPr>
            <w:r>
              <w:rPr>
                <w:rFonts w:ascii="Arial" w:cs="Arial" w:eastAsia="Arial" w:hAnsi="Arial"/>
                <w:sz w:val="14"/>
                <w:szCs w:val="14"/>
                <w:color w:val="auto"/>
              </w:rPr>
              <w:t>DermaRite Industries LLC</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Manufacturing / Basic</w:t>
            </w:r>
          </w:p>
        </w:tc>
        <w:tc>
          <w:tcPr>
            <w:tcW w:w="332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First Lien Secured Debt,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9,256</w:t>
            </w: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7777 West Side Avenue</w:t>
            </w:r>
          </w:p>
        </w:tc>
        <w:tc>
          <w:tcPr>
            <w:tcW w:w="1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Industries</w:t>
            </w:r>
          </w:p>
        </w:tc>
        <w:tc>
          <w:tcPr>
            <w:tcW w:w="33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1M L+700, 03/03/2022</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2"/>
          </w:tcPr>
          <w:p>
            <w:pPr>
              <w:spacing w:after="0"/>
              <w:rPr>
                <w:sz w:val="20"/>
                <w:szCs w:val="20"/>
                <w:color w:val="auto"/>
              </w:rPr>
            </w:pPr>
            <w:r>
              <w:rPr>
                <w:rFonts w:ascii="Arial" w:cs="Arial" w:eastAsia="Arial" w:hAnsi="Arial"/>
                <w:sz w:val="14"/>
                <w:szCs w:val="14"/>
                <w:color w:val="auto"/>
              </w:rPr>
              <w:t>North Bergen, NJ 07047</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Deva Holdings, Inc.</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9"/>
              </w:rPr>
              <w:t>Consumer</w:t>
            </w:r>
          </w:p>
        </w:tc>
        <w:tc>
          <w:tcPr>
            <w:tcW w:w="332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0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4,486</w:t>
            </w: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75 Spring Street Floor 8</w:t>
            </w:r>
          </w:p>
        </w:tc>
        <w:tc>
          <w:tcPr>
            <w:tcW w:w="1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Products</w:t>
            </w:r>
          </w:p>
        </w:tc>
        <w:tc>
          <w:tcPr>
            <w:tcW w:w="33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5"/>
              </w:rPr>
              <w:t>3M L+550, 10/31/2023</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10012</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2"/>
          </w:tcPr>
          <w:p>
            <w:pPr>
              <w:spacing w:after="0"/>
              <w:rPr>
                <w:sz w:val="20"/>
                <w:szCs w:val="20"/>
                <w:color w:val="auto"/>
              </w:rPr>
            </w:pPr>
            <w:r>
              <w:rPr>
                <w:rFonts w:ascii="Arial" w:cs="Arial" w:eastAsia="Arial" w:hAnsi="Arial"/>
                <w:sz w:val="14"/>
                <w:szCs w:val="14"/>
                <w:color w:val="auto"/>
              </w:rPr>
              <w:t>eCommission Holding Corporation</w:t>
            </w:r>
            <w:r>
              <w:rPr>
                <w:rFonts w:ascii="Arial" w:cs="Arial" w:eastAsia="Arial" w:hAnsi="Arial"/>
                <w:sz w:val="12"/>
                <w:szCs w:val="12"/>
                <w:color w:val="auto"/>
              </w:rPr>
              <w:t>(6)</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Financial Services</w:t>
            </w:r>
          </w:p>
        </w:tc>
        <w:tc>
          <w:tcPr>
            <w:tcW w:w="332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1.3%</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1,482</w:t>
            </w: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11612 Bee Caves Road, Building II,</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Suite 200</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2"/>
          </w:tcPr>
          <w:p>
            <w:pPr>
              <w:spacing w:after="0"/>
              <w:rPr>
                <w:sz w:val="20"/>
                <w:szCs w:val="20"/>
                <w:color w:val="auto"/>
              </w:rPr>
            </w:pPr>
            <w:r>
              <w:rPr>
                <w:rFonts w:ascii="Arial" w:cs="Arial" w:eastAsia="Arial" w:hAnsi="Arial"/>
                <w:sz w:val="14"/>
                <w:szCs w:val="14"/>
                <w:color w:val="auto"/>
              </w:rPr>
              <w:t>Austin, TX, 78738</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Faraday Holdings, LLC</w:t>
            </w:r>
          </w:p>
        </w:tc>
        <w:tc>
          <w:tcPr>
            <w:tcW w:w="17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7"/>
              </w:rPr>
              <w:t>Building Materials</w:t>
            </w:r>
          </w:p>
        </w:tc>
        <w:tc>
          <w:tcPr>
            <w:tcW w:w="332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6"/>
              </w:rPr>
              <w:t>Common Equity</w:t>
            </w:r>
          </w:p>
        </w:tc>
        <w:tc>
          <w:tcPr>
            <w:tcW w:w="120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0.2%</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1,243</w:t>
            </w:r>
          </w:p>
        </w:tc>
        <w:tc>
          <w:tcPr>
            <w:tcW w:w="0" w:type="dxa"/>
            <w:vAlign w:val="bottom"/>
          </w:tcPr>
          <w:p>
            <w:pPr>
              <w:spacing w:after="0"/>
              <w:rPr>
                <w:sz w:val="1"/>
                <w:szCs w:val="1"/>
                <w:color w:val="auto"/>
              </w:rPr>
            </w:pPr>
          </w:p>
        </w:tc>
      </w:tr>
      <w:tr>
        <w:trPr>
          <w:trHeight w:val="149"/>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1630 Faraday Avenue</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Carlsbad, CA 92008</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2"/>
          </w:tcPr>
          <w:p>
            <w:pPr>
              <w:spacing w:after="0"/>
              <w:rPr>
                <w:sz w:val="20"/>
                <w:szCs w:val="20"/>
                <w:color w:val="auto"/>
              </w:rPr>
            </w:pPr>
            <w:r>
              <w:rPr>
                <w:rFonts w:ascii="Arial" w:cs="Arial" w:eastAsia="Arial" w:hAnsi="Arial"/>
                <w:sz w:val="14"/>
                <w:szCs w:val="14"/>
                <w:color w:val="auto"/>
              </w:rPr>
              <w:t>Halo Buyer, Inc.</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Consumer</w:t>
            </w:r>
          </w:p>
        </w:tc>
        <w:tc>
          <w:tcPr>
            <w:tcW w:w="332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Second Lien Secured Debt,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32,013</w:t>
            </w:r>
          </w:p>
        </w:tc>
        <w:tc>
          <w:tcPr>
            <w:tcW w:w="0" w:type="dxa"/>
            <w:vAlign w:val="bottom"/>
          </w:tcPr>
          <w:p>
            <w:pPr>
              <w:spacing w:after="0"/>
              <w:rPr>
                <w:sz w:val="1"/>
                <w:szCs w:val="1"/>
                <w:color w:val="auto"/>
              </w:rPr>
            </w:pP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1980 Industrial Drive</w:t>
            </w:r>
          </w:p>
        </w:tc>
        <w:tc>
          <w:tcPr>
            <w:tcW w:w="1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Products</w:t>
            </w:r>
          </w:p>
        </w:tc>
        <w:tc>
          <w:tcPr>
            <w:tcW w:w="33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1M L+825, 07/06/2026</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2"/>
          </w:tcPr>
          <w:p>
            <w:pPr>
              <w:spacing w:after="0"/>
              <w:rPr>
                <w:sz w:val="20"/>
                <w:szCs w:val="20"/>
                <w:color w:val="auto"/>
              </w:rPr>
            </w:pPr>
            <w:r>
              <w:rPr>
                <w:rFonts w:ascii="Arial" w:cs="Arial" w:eastAsia="Arial" w:hAnsi="Arial"/>
                <w:sz w:val="14"/>
                <w:szCs w:val="14"/>
                <w:color w:val="auto"/>
              </w:rPr>
              <w:t>Sterling, IL 61081</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HW Holdco, LLC</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9"/>
              </w:rPr>
              <w:t>Media</w:t>
            </w:r>
          </w:p>
        </w:tc>
        <w:tc>
          <w:tcPr>
            <w:tcW w:w="332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0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17,969</w:t>
            </w: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Thomas Circle, NW Suite 600</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5"/>
              </w:rPr>
              <w:t>3M L+625, 12/10/2024</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Washington, DC 20005</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Type of Investment,</w:t>
            </w: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Voting</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20" w:type="dxa"/>
            <w:vAlign w:val="bottom"/>
            <w:gridSpan w:val="2"/>
            <w:vMerge w:val="continue"/>
          </w:tcPr>
          <w:p>
            <w:pPr>
              <w:spacing w:after="0"/>
              <w:rPr>
                <w:sz w:val="12"/>
                <w:szCs w:val="12"/>
                <w:color w:val="auto"/>
              </w:rPr>
            </w:pPr>
          </w:p>
        </w:tc>
        <w:tc>
          <w:tcPr>
            <w:tcW w:w="1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Nature of Business</w:t>
            </w:r>
          </w:p>
        </w:tc>
        <w:tc>
          <w:tcPr>
            <w:tcW w:w="3280" w:type="dxa"/>
            <w:vAlign w:val="bottom"/>
            <w:gridSpan w:val="2"/>
            <w:vMerge w:val="continue"/>
          </w:tcPr>
          <w:p>
            <w:pPr>
              <w:spacing w:after="0"/>
              <w:rPr>
                <w:sz w:val="12"/>
                <w:szCs w:val="12"/>
                <w:color w:val="auto"/>
              </w:rPr>
            </w:pPr>
          </w:p>
        </w:tc>
        <w:tc>
          <w:tcPr>
            <w:tcW w:w="1200" w:type="dxa"/>
            <w:vAlign w:val="bottom"/>
            <w:gridSpan w:val="2"/>
          </w:tcPr>
          <w:p>
            <w:pPr>
              <w:jc w:val="right"/>
              <w:ind w:right="440"/>
              <w:spacing w:after="0" w:line="145" w:lineRule="exact"/>
              <w:rPr>
                <w:sz w:val="20"/>
                <w:szCs w:val="20"/>
                <w:color w:val="auto"/>
              </w:rPr>
            </w:pPr>
            <w:r>
              <w:rPr>
                <w:rFonts w:ascii="Arial" w:cs="Arial" w:eastAsia="Arial" w:hAnsi="Arial"/>
                <w:sz w:val="14"/>
                <w:szCs w:val="14"/>
                <w:b w:val="1"/>
                <w:bCs w:val="1"/>
                <w:color w:val="auto"/>
                <w:w w:val="97"/>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194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3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8"/>
        </w:trPr>
        <w:tc>
          <w:tcPr>
            <w:tcW w:w="382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Impact Group, LLC</w:t>
            </w:r>
          </w:p>
        </w:tc>
        <w:tc>
          <w:tcPr>
            <w:tcW w:w="160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Personal, Food</w:t>
            </w:r>
          </w:p>
        </w:tc>
        <w:tc>
          <w:tcPr>
            <w:tcW w:w="200" w:type="dxa"/>
            <w:vAlign w:val="bottom"/>
            <w:tcBorders>
              <w:top w:val="single" w:sz="8" w:color="CCEEFF"/>
            </w:tcBorders>
            <w:shd w:val="clear" w:color="auto" w:fill="CCEEFF"/>
          </w:tcPr>
          <w:p>
            <w:pPr>
              <w:spacing w:after="0"/>
              <w:rPr>
                <w:sz w:val="9"/>
                <w:szCs w:val="9"/>
                <w:color w:val="auto"/>
              </w:rPr>
            </w:pPr>
          </w:p>
        </w:tc>
        <w:tc>
          <w:tcPr>
            <w:tcW w:w="30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w:t>
            </w:r>
          </w:p>
        </w:tc>
        <w:tc>
          <w:tcPr>
            <w:tcW w:w="38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19,901</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915 W. Jefferson Street</w:t>
            </w:r>
          </w:p>
        </w:tc>
        <w:tc>
          <w:tcPr>
            <w:tcW w:w="18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and Miscelleneous Services</w:t>
            </w:r>
          </w:p>
        </w:tc>
        <w:tc>
          <w:tcPr>
            <w:tcW w:w="32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1M L+650, 06/27/2023</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Boise, ID 83702</w:t>
            </w: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Infogroup, Inc.</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Other Media</w:t>
            </w:r>
          </w:p>
        </w:tc>
        <w:tc>
          <w:tcPr>
            <w:tcW w:w="328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Second Lien Secured Debt,</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1.0%</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22,213</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(Infogroup Parent Holdings, Inc.)</w:t>
            </w: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3M L+925, 04/03/2024</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1020 E 1st Street</w:t>
            </w: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Papillion, NE 68046</w:t>
            </w: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Juniper Landscaping of Florida, LLC</w:t>
            </w:r>
          </w:p>
        </w:tc>
        <w:tc>
          <w:tcPr>
            <w:tcW w:w="18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Personal, Food</w:t>
            </w:r>
          </w:p>
        </w:tc>
        <w:tc>
          <w:tcPr>
            <w:tcW w:w="32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First Lien Secured Debt,</w:t>
            </w:r>
          </w:p>
        </w:tc>
        <w:tc>
          <w:tcPr>
            <w:tcW w:w="120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4.0%</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16,470</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(ZS Juniper L.P.</w:t>
            </w:r>
            <w:r>
              <w:rPr>
                <w:rFonts w:ascii="Arial" w:cs="Arial" w:eastAsia="Arial" w:hAnsi="Arial"/>
                <w:sz w:val="12"/>
                <w:szCs w:val="12"/>
                <w:color w:val="auto"/>
              </w:rPr>
              <w:t>(5)</w:t>
            </w:r>
            <w:r>
              <w:rPr>
                <w:rFonts w:ascii="Arial" w:cs="Arial" w:eastAsia="Arial" w:hAnsi="Arial"/>
                <w:sz w:val="14"/>
                <w:szCs w:val="14"/>
                <w:color w:val="auto"/>
              </w:rPr>
              <w:t>)</w:t>
            </w:r>
          </w:p>
        </w:tc>
        <w:tc>
          <w:tcPr>
            <w:tcW w:w="18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and Miscelleneous Services</w:t>
            </w:r>
          </w:p>
        </w:tc>
        <w:tc>
          <w:tcPr>
            <w:tcW w:w="32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1M L+850, 12/22/2021</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5880 Staley Road</w:t>
            </w: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Fort Myers, FL 33905</w:t>
            </w: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Kadmon Holdings, Inc.</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Healthcare, Education and</w:t>
            </w:r>
          </w:p>
        </w:tc>
        <w:tc>
          <w:tcPr>
            <w:tcW w:w="32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0.2%</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Alexandria Center for Life Sciences</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Childcare</w:t>
            </w:r>
          </w:p>
        </w:tc>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450 East 29 Street, 5 Floor</w:t>
            </w: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New York, NY 10016</w:t>
            </w: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K2 Pure Solutions NoCal, L.P.</w:t>
            </w:r>
          </w:p>
        </w:tc>
        <w:tc>
          <w:tcPr>
            <w:tcW w:w="18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Chemicals,</w:t>
            </w:r>
          </w:p>
        </w:tc>
        <w:tc>
          <w:tcPr>
            <w:tcW w:w="32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0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27,259</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3515 Massillion Road, Ste. 290</w:t>
            </w:r>
          </w:p>
        </w:tc>
        <w:tc>
          <w:tcPr>
            <w:tcW w:w="18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Plastics and Rubber</w:t>
            </w:r>
          </w:p>
        </w:tc>
        <w:tc>
          <w:tcPr>
            <w:tcW w:w="32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1M L+475, 12/20/2023</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Uniontown, OH 44685</w:t>
            </w: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Kentucky Downs, LLC</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Hotels, Motels,</w:t>
            </w:r>
          </w:p>
        </w:tc>
        <w:tc>
          <w:tcPr>
            <w:tcW w:w="328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10,332</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(Kentucky Racing Holdco, LLC</w:t>
            </w:r>
            <w:r>
              <w:rPr>
                <w:rFonts w:ascii="Arial" w:cs="Arial" w:eastAsia="Arial" w:hAnsi="Arial"/>
                <w:sz w:val="12"/>
                <w:szCs w:val="12"/>
                <w:color w:val="auto"/>
              </w:rPr>
              <w:t>(5)</w:t>
            </w:r>
            <w:r>
              <w:rPr>
                <w:rFonts w:ascii="Arial" w:cs="Arial" w:eastAsia="Arial" w:hAnsi="Arial"/>
                <w:sz w:val="14"/>
                <w:szCs w:val="14"/>
                <w:color w:val="auto"/>
              </w:rPr>
              <w:t>)</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Inns and Gaming</w:t>
            </w:r>
          </w:p>
        </w:tc>
        <w:tc>
          <w:tcPr>
            <w:tcW w:w="3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L+850, 03/07/2025</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5629 Nashville Road</w:t>
            </w: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Warrants</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Franklin, KY 42134</w:t>
            </w: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Lariat ecoserv Co-invest Holdings, LLC</w:t>
            </w:r>
            <w:r>
              <w:rPr>
                <w:rFonts w:ascii="Arial" w:cs="Arial" w:eastAsia="Arial" w:hAnsi="Arial"/>
                <w:sz w:val="12"/>
                <w:szCs w:val="12"/>
                <w:color w:val="auto"/>
              </w:rPr>
              <w:t>(5)</w:t>
            </w:r>
          </w:p>
        </w:tc>
        <w:tc>
          <w:tcPr>
            <w:tcW w:w="18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Environmental Services</w:t>
            </w:r>
          </w:p>
        </w:tc>
        <w:tc>
          <w:tcPr>
            <w:tcW w:w="32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6"/>
              </w:rPr>
              <w:t>Common Equity</w:t>
            </w:r>
          </w:p>
        </w:tc>
        <w:tc>
          <w:tcPr>
            <w:tcW w:w="120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1331 17th Street, Ste. 812</w:t>
            </w: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Denver, CO 80202</w:t>
            </w: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Lombart Brothers, Inc.</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Healthcare, Education and</w:t>
            </w:r>
          </w:p>
        </w:tc>
        <w:tc>
          <w:tcPr>
            <w:tcW w:w="328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17,539</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5358 Robin Hood Road</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Childcare</w:t>
            </w:r>
          </w:p>
        </w:tc>
        <w:tc>
          <w:tcPr>
            <w:tcW w:w="3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3M L+625, 04/13/2023</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Norfolk, VA 23513</w:t>
            </w: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MailSouth, Inc.</w:t>
            </w:r>
          </w:p>
        </w:tc>
        <w:tc>
          <w:tcPr>
            <w:tcW w:w="18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Printing and Publishing</w:t>
            </w:r>
          </w:p>
        </w:tc>
        <w:tc>
          <w:tcPr>
            <w:tcW w:w="32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1"/>
              </w:rPr>
              <w:t>Second Lien Secured Debt,</w:t>
            </w:r>
          </w:p>
        </w:tc>
        <w:tc>
          <w:tcPr>
            <w:tcW w:w="120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35,724</w:t>
            </w: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5901 Highway 52 East</w:t>
            </w: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5"/>
              </w:rPr>
              <w:t>12M L+925, 10/23/2024</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Helena, AL 35080</w:t>
            </w: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MBS Holdings, Inc.</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Telecommunications</w:t>
            </w:r>
          </w:p>
        </w:tc>
        <w:tc>
          <w:tcPr>
            <w:tcW w:w="328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Second Lien Secured Debt,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19,624</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880 Montclair Road Suite 400</w:t>
            </w: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L+850, 01/02/2024</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Birmingham, AL 35213</w:t>
            </w: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MeritDirect, LLC</w:t>
            </w:r>
          </w:p>
        </w:tc>
        <w:tc>
          <w:tcPr>
            <w:tcW w:w="18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Media</w:t>
            </w:r>
          </w:p>
        </w:tc>
        <w:tc>
          <w:tcPr>
            <w:tcW w:w="32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0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0.6%</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19,828</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(MeritDirect Holdings, LP)</w:t>
            </w: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3M L+550, 05/23/2024</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 International Drive</w:t>
            </w: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Rye Brook, NY 10573</w:t>
            </w: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Ox Two, LLC</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Building Materials</w:t>
            </w:r>
          </w:p>
        </w:tc>
        <w:tc>
          <w:tcPr>
            <w:tcW w:w="328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24,073</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22260 Haggerty Road #365</w:t>
            </w: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L+625, 02/27/2023</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Northville, MI 48167</w:t>
            </w: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Peninsula Pacific Entertainment LLC</w:t>
            </w:r>
          </w:p>
        </w:tc>
        <w:tc>
          <w:tcPr>
            <w:tcW w:w="18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Hotels, Motels,</w:t>
            </w:r>
          </w:p>
        </w:tc>
        <w:tc>
          <w:tcPr>
            <w:tcW w:w="32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First Lien Secured Debt,</w:t>
            </w:r>
          </w:p>
        </w:tc>
        <w:tc>
          <w:tcPr>
            <w:tcW w:w="120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8,495</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10515 Colonial Downs Parkway</w:t>
            </w:r>
          </w:p>
        </w:tc>
        <w:tc>
          <w:tcPr>
            <w:tcW w:w="18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Inns and Gaming</w:t>
            </w:r>
          </w:p>
        </w:tc>
        <w:tc>
          <w:tcPr>
            <w:tcW w:w="32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5"/>
              </w:rPr>
              <w:t>3M L+725, 11/13/2024</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Kent, VA 23124</w:t>
            </w: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Pestell Minerals and Ingredients Inc.</w:t>
            </w:r>
            <w:r>
              <w:rPr>
                <w:rFonts w:ascii="Arial" w:cs="Arial" w:eastAsia="Arial" w:hAnsi="Arial"/>
                <w:sz w:val="12"/>
                <w:szCs w:val="12"/>
                <w:color w:val="auto"/>
              </w:rPr>
              <w:t>(6)</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Beverage, Food</w:t>
            </w:r>
          </w:p>
        </w:tc>
        <w:tc>
          <w:tcPr>
            <w:tcW w:w="328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First Lien Secured Debt,</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5,404</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141 Hamilton Road</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and Tobacco</w:t>
            </w:r>
          </w:p>
        </w:tc>
        <w:tc>
          <w:tcPr>
            <w:tcW w:w="3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3M L+525, 06/01/2023</w:t>
            </w: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New Hamburg, Ontario, Canada N3A 2H1</w:t>
            </w: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PlayPower, Inc.</w:t>
            </w:r>
          </w:p>
        </w:tc>
        <w:tc>
          <w:tcPr>
            <w:tcW w:w="18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Consumer Products</w:t>
            </w:r>
          </w:p>
        </w:tc>
        <w:tc>
          <w:tcPr>
            <w:tcW w:w="32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First Lien Secured Debt,</w:t>
            </w:r>
          </w:p>
        </w:tc>
        <w:tc>
          <w:tcPr>
            <w:tcW w:w="120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4,184</w:t>
            </w: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11515 Vanstory Drive, Suite 100</w:t>
            </w:r>
          </w:p>
        </w:tc>
        <w:tc>
          <w:tcPr>
            <w:tcW w:w="1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3M L+550, 05/08/2026</w:t>
            </w: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Huntersville, NC 28078</w:t>
            </w: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Type of Investment,</w:t>
            </w:r>
          </w:p>
        </w:tc>
        <w:tc>
          <w:tcPr>
            <w:tcW w:w="1220" w:type="dxa"/>
            <w:vAlign w:val="bottom"/>
            <w:gridSpan w:val="2"/>
          </w:tcPr>
          <w:p>
            <w:pPr>
              <w:jc w:val="center"/>
              <w:ind w:right="338"/>
              <w:spacing w:after="0"/>
              <w:rPr>
                <w:sz w:val="20"/>
                <w:szCs w:val="20"/>
                <w:color w:val="auto"/>
              </w:rPr>
            </w:pPr>
            <w:r>
              <w:rPr>
                <w:rFonts w:ascii="Arial" w:cs="Arial" w:eastAsia="Arial" w:hAnsi="Arial"/>
                <w:sz w:val="14"/>
                <w:szCs w:val="14"/>
                <w:b w:val="1"/>
                <w:bCs w:val="1"/>
                <w:color w:val="auto"/>
                <w:w w:val="96"/>
              </w:rPr>
              <w:t>Voting</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20" w:type="dxa"/>
            <w:vAlign w:val="bottom"/>
            <w:gridSpan w:val="2"/>
            <w:vMerge w:val="continue"/>
          </w:tcPr>
          <w:p>
            <w:pPr>
              <w:spacing w:after="0"/>
              <w:rPr>
                <w:sz w:val="12"/>
                <w:szCs w:val="12"/>
                <w:color w:val="auto"/>
              </w:rPr>
            </w:pPr>
          </w:p>
        </w:tc>
        <w:tc>
          <w:tcPr>
            <w:tcW w:w="1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Nature of Business</w:t>
            </w:r>
          </w:p>
        </w:tc>
        <w:tc>
          <w:tcPr>
            <w:tcW w:w="3300" w:type="dxa"/>
            <w:vAlign w:val="bottom"/>
            <w:gridSpan w:val="2"/>
            <w:vMerge w:val="continue"/>
          </w:tcPr>
          <w:p>
            <w:pPr>
              <w:spacing w:after="0"/>
              <w:rPr>
                <w:sz w:val="12"/>
                <w:szCs w:val="12"/>
                <w:color w:val="auto"/>
              </w:rPr>
            </w:pPr>
          </w:p>
        </w:tc>
        <w:tc>
          <w:tcPr>
            <w:tcW w:w="1220" w:type="dxa"/>
            <w:vAlign w:val="bottom"/>
            <w:gridSpan w:val="2"/>
          </w:tcPr>
          <w:p>
            <w:pPr>
              <w:jc w:val="center"/>
              <w:ind w:right="338"/>
              <w:spacing w:after="0" w:line="145" w:lineRule="exact"/>
              <w:rPr>
                <w:sz w:val="20"/>
                <w:szCs w:val="20"/>
                <w:color w:val="auto"/>
              </w:rPr>
            </w:pPr>
            <w:r>
              <w:rPr>
                <w:rFonts w:ascii="Arial" w:cs="Arial" w:eastAsia="Arial" w:hAnsi="Arial"/>
                <w:sz w:val="14"/>
                <w:szCs w:val="14"/>
                <w:b w:val="1"/>
                <w:bCs w:val="1"/>
                <w:color w:val="auto"/>
                <w:w w:val="87"/>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194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3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220" w:type="dxa"/>
            <w:vAlign w:val="bottom"/>
            <w:gridSpan w:val="2"/>
          </w:tcPr>
          <w:p>
            <w:pPr>
              <w:jc w:val="center"/>
              <w:ind w:right="338"/>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8"/>
        </w:trPr>
        <w:tc>
          <w:tcPr>
            <w:tcW w:w="382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PRA Events, Inc.</w:t>
            </w:r>
          </w:p>
        </w:tc>
        <w:tc>
          <w:tcPr>
            <w:tcW w:w="15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Business Services</w:t>
            </w:r>
          </w:p>
        </w:tc>
        <w:tc>
          <w:tcPr>
            <w:tcW w:w="220" w:type="dxa"/>
            <w:vAlign w:val="bottom"/>
            <w:tcBorders>
              <w:top w:val="single" w:sz="8" w:color="CCEEFF"/>
            </w:tcBorders>
            <w:shd w:val="clear" w:color="auto" w:fill="CCEEFF"/>
          </w:tcPr>
          <w:p>
            <w:pPr>
              <w:spacing w:after="0"/>
              <w:rPr>
                <w:sz w:val="9"/>
                <w:szCs w:val="9"/>
                <w:color w:val="auto"/>
              </w:rPr>
            </w:pPr>
          </w:p>
        </w:tc>
        <w:tc>
          <w:tcPr>
            <w:tcW w:w="310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ind w:left="640"/>
              <w:spacing w:after="0" w:line="109" w:lineRule="exact"/>
              <w:rPr>
                <w:sz w:val="20"/>
                <w:szCs w:val="20"/>
                <w:color w:val="auto"/>
              </w:rPr>
            </w:pPr>
            <w:r>
              <w:rPr>
                <w:rFonts w:ascii="Arial" w:cs="Arial" w:eastAsia="Arial" w:hAnsi="Arial"/>
                <w:sz w:val="12"/>
                <w:szCs w:val="12"/>
                <w:color w:val="auto"/>
                <w:w w:val="95"/>
              </w:rPr>
              <w:t>1.5</w:t>
            </w:r>
          </w:p>
        </w:tc>
        <w:tc>
          <w:tcPr>
            <w:tcW w:w="400" w:type="dxa"/>
            <w:vAlign w:val="bottom"/>
            <w:tcBorders>
              <w:top w:val="single" w:sz="8" w:color="CCEEFF"/>
            </w:tcBorders>
            <w:shd w:val="clear" w:color="auto" w:fill="CCEEFF"/>
          </w:tcPr>
          <w:p>
            <w:pPr>
              <w:jc w:val="right"/>
              <w:ind w:right="218"/>
              <w:spacing w:after="0" w:line="109" w:lineRule="exact"/>
              <w:rPr>
                <w:sz w:val="20"/>
                <w:szCs w:val="20"/>
                <w:color w:val="auto"/>
              </w:rPr>
            </w:pPr>
            <w:r>
              <w:rPr>
                <w:rFonts w:ascii="Arial" w:cs="Arial" w:eastAsia="Arial" w:hAnsi="Arial"/>
                <w:sz w:val="12"/>
                <w:szCs w:val="12"/>
                <w:color w:val="auto"/>
                <w:w w:val="93"/>
              </w:rPr>
              <w:t>%</w:t>
            </w: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20,640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 (Allied) Investment Holdings, LLC</w:t>
            </w:r>
            <w:r>
              <w:rPr>
                <w:rFonts w:ascii="Arial" w:cs="Arial" w:eastAsia="Arial" w:hAnsi="Arial"/>
                <w:sz w:val="12"/>
                <w:szCs w:val="12"/>
                <w:color w:val="auto"/>
              </w:rPr>
              <w:t>(5)</w:t>
            </w:r>
            <w:r>
              <w:rPr>
                <w:rFonts w:ascii="Arial" w:cs="Arial" w:eastAsia="Arial" w:hAnsi="Arial"/>
                <w:sz w:val="14"/>
                <w:szCs w:val="14"/>
                <w:color w:val="auto"/>
              </w:rPr>
              <w:t>)</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3M L+700, 08/08/2022</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North LaSalle Street</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Chicago, IL 60602</w:t>
            </w:r>
          </w:p>
        </w:tc>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Provation Medical, Inc.</w:t>
            </w: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Electronics</w:t>
            </w:r>
          </w:p>
        </w:tc>
        <w:tc>
          <w:tcPr>
            <w:tcW w:w="33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First Lien Secured Debt,</w:t>
            </w:r>
          </w:p>
        </w:tc>
        <w:tc>
          <w:tcPr>
            <w:tcW w:w="12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26,422</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800 Washington Avenue North, Suite 400</w:t>
            </w: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3M L+700, 03/11/2024</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Minneapolis, MN 55401</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Quantum Spatial, Inc.</w:t>
            </w:r>
          </w:p>
        </w:tc>
        <w:tc>
          <w:tcPr>
            <w:tcW w:w="17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Aerospace and Defense</w:t>
            </w:r>
          </w:p>
        </w:tc>
        <w:tc>
          <w:tcPr>
            <w:tcW w:w="33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p>
        </w:tc>
        <w:tc>
          <w:tcPr>
            <w:tcW w:w="122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14,775</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421 SW 6th Ave #800</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1M L+525, 09/04/2024</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Portland, OR 97204</w:t>
            </w:r>
          </w:p>
        </w:tc>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Questex, LLC</w:t>
            </w: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Media</w:t>
            </w:r>
          </w:p>
        </w:tc>
        <w:tc>
          <w:tcPr>
            <w:tcW w:w="330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22,016</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275 Grove Street, Suite 2-130</w:t>
            </w: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3M L+500, 09/09/2024</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Newton, MA 02466</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Radius Aerospace, Inc.</w:t>
            </w:r>
          </w:p>
        </w:tc>
        <w:tc>
          <w:tcPr>
            <w:tcW w:w="17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Aerospace and Defense</w:t>
            </w:r>
          </w:p>
        </w:tc>
        <w:tc>
          <w:tcPr>
            <w:tcW w:w="330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2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8,882</w:t>
            </w: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153 Extrusion Place</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3M L+575, 03/31/2025</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Hot Springs, AR 71901</w:t>
            </w:r>
          </w:p>
        </w:tc>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Research Horizons, LLC</w:t>
            </w: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Media</w:t>
            </w:r>
          </w:p>
        </w:tc>
        <w:tc>
          <w:tcPr>
            <w:tcW w:w="33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First Lien Secured Debt,</w:t>
            </w:r>
          </w:p>
        </w:tc>
        <w:tc>
          <w:tcPr>
            <w:tcW w:w="12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30,416</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1140 Broadway, Suite 1002</w:t>
            </w: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1M L+625, 06/28/2022</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New York, NY 10001</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Research Now Group, Inc. and Survey Sampling International</w:t>
            </w:r>
          </w:p>
        </w:tc>
        <w:tc>
          <w:tcPr>
            <w:tcW w:w="17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Business Services</w:t>
            </w:r>
          </w:p>
        </w:tc>
        <w:tc>
          <w:tcPr>
            <w:tcW w:w="33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p>
        </w:tc>
        <w:tc>
          <w:tcPr>
            <w:tcW w:w="122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9,940</w:t>
            </w: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LLC</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3M L+550, 12/20/2024</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5800 Tennyson Parkway, Suite 600</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Plano, TX 75024</w:t>
            </w:r>
          </w:p>
        </w:tc>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Riverpoint Medical, LLC</w:t>
            </w:r>
          </w:p>
        </w:tc>
        <w:tc>
          <w:tcPr>
            <w:tcW w:w="176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Healthcare, Education and</w:t>
            </w:r>
          </w:p>
        </w:tc>
        <w:tc>
          <w:tcPr>
            <w:tcW w:w="330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1,983</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825 NE 25th Avenue</w:t>
            </w:r>
          </w:p>
        </w:tc>
        <w:tc>
          <w:tcPr>
            <w:tcW w:w="1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Childcare</w:t>
            </w:r>
          </w:p>
        </w:tc>
        <w:tc>
          <w:tcPr>
            <w:tcW w:w="33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3M L+500, 06/20/2025</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Portland, OR 97232</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Schlesinger Global, Inc.</w:t>
            </w:r>
          </w:p>
        </w:tc>
        <w:tc>
          <w:tcPr>
            <w:tcW w:w="17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Business Services</w:t>
            </w:r>
          </w:p>
        </w:tc>
        <w:tc>
          <w:tcPr>
            <w:tcW w:w="330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2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(7)</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(Gauge Schlesinger Coinvest, LLC)</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3M L+500, 07/14/2025</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101 Wood Avenue South, Suite 501</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Iselin, NJ 08830</w:t>
            </w:r>
          </w:p>
        </w:tc>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Shift4 Payments, LLC</w:t>
            </w: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Financial Services</w:t>
            </w:r>
          </w:p>
        </w:tc>
        <w:tc>
          <w:tcPr>
            <w:tcW w:w="33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Second Lien Secured Debt,</w:t>
            </w:r>
          </w:p>
        </w:tc>
        <w:tc>
          <w:tcPr>
            <w:tcW w:w="12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27,000</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1491 Center Crossing Road</w:t>
            </w: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3M L+850, 11/28/2025</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Las Vegas, NV 89144</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Signature Systems Holding Company</w:t>
            </w:r>
          </w:p>
        </w:tc>
        <w:tc>
          <w:tcPr>
            <w:tcW w:w="17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1"/>
              </w:rPr>
              <w:t>Chemicals, Plastics and</w:t>
            </w:r>
          </w:p>
        </w:tc>
        <w:tc>
          <w:tcPr>
            <w:tcW w:w="330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2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1.9%</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16,354</w:t>
            </w: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(Signature CR Intermediate Holdco, Inc.)</w:t>
            </w:r>
          </w:p>
        </w:tc>
        <w:tc>
          <w:tcPr>
            <w:tcW w:w="17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1"/>
              </w:rPr>
              <w:t>Rubber</w:t>
            </w:r>
          </w:p>
        </w:tc>
        <w:tc>
          <w:tcPr>
            <w:tcW w:w="33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P+650, 05/03/2024</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1201 Lakeside Parkway, Suite 150</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Flower Mound, TX 75028</w:t>
            </w:r>
          </w:p>
        </w:tc>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30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Solutionreach, Inc.</w:t>
            </w: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Communications</w:t>
            </w:r>
          </w:p>
        </w:tc>
        <w:tc>
          <w:tcPr>
            <w:tcW w:w="330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13,061</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2600 N. Ashton Blvd.</w:t>
            </w: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3M L+575, 01/17/2024</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Lehi, UT 84043</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SSC Dominion Holdings, LLC</w:t>
            </w:r>
          </w:p>
        </w:tc>
        <w:tc>
          <w:tcPr>
            <w:tcW w:w="176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6"/>
              </w:rPr>
              <w:t>Electronics</w:t>
            </w:r>
          </w:p>
        </w:tc>
        <w:tc>
          <w:tcPr>
            <w:tcW w:w="330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6"/>
              </w:rPr>
              <w:t>Common Equity</w:t>
            </w:r>
          </w:p>
        </w:tc>
        <w:tc>
          <w:tcPr>
            <w:tcW w:w="122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2.9%</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3,806</w:t>
            </w: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215 Spadina Avenue, Suite 200</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Toronto, ON MST 2C7</w:t>
            </w:r>
          </w:p>
        </w:tc>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2"/>
          </w:tcPr>
          <w:p>
            <w:pPr>
              <w:spacing w:after="0"/>
              <w:rPr>
                <w:sz w:val="20"/>
                <w:szCs w:val="20"/>
                <w:color w:val="auto"/>
              </w:rPr>
            </w:pPr>
            <w:r>
              <w:rPr>
                <w:rFonts w:ascii="Arial" w:cs="Arial" w:eastAsia="Arial" w:hAnsi="Arial"/>
                <w:sz w:val="14"/>
                <w:szCs w:val="14"/>
                <w:color w:val="auto"/>
              </w:rPr>
              <w:t>Triad Manufacturing, Inc.</w:t>
            </w: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Manufacturing / Basic</w:t>
            </w:r>
          </w:p>
        </w:tc>
        <w:tc>
          <w:tcPr>
            <w:tcW w:w="33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First Lien Secured Debt,</w:t>
            </w:r>
          </w:p>
        </w:tc>
        <w:tc>
          <w:tcPr>
            <w:tcW w:w="12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21,374</w:t>
            </w:r>
          </w:p>
        </w:tc>
        <w:tc>
          <w:tcPr>
            <w:tcW w:w="0" w:type="dxa"/>
            <w:vAlign w:val="bottom"/>
          </w:tcPr>
          <w:p>
            <w:pPr>
              <w:spacing w:after="0"/>
              <w:rPr>
                <w:sz w:val="1"/>
                <w:szCs w:val="1"/>
                <w:color w:val="auto"/>
              </w:rPr>
            </w:pPr>
          </w:p>
        </w:tc>
      </w:tr>
      <w:tr>
        <w:trPr>
          <w:trHeight w:val="148"/>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4321 Semple Avenue</w:t>
            </w:r>
          </w:p>
        </w:tc>
        <w:tc>
          <w:tcPr>
            <w:tcW w:w="17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Industries</w:t>
            </w:r>
          </w:p>
        </w:tc>
        <w:tc>
          <w:tcPr>
            <w:tcW w:w="33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3M L+1,325, 12/28/2020</w:t>
            </w: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St. Louis, MO 63120</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TVC Enterprises, LLC</w:t>
            </w:r>
          </w:p>
        </w:tc>
        <w:tc>
          <w:tcPr>
            <w:tcW w:w="17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Transportation</w:t>
            </w:r>
          </w:p>
        </w:tc>
        <w:tc>
          <w:tcPr>
            <w:tcW w:w="330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2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1.4%</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34,757</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(Gauge TVC Coinvest, LLC)</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1M L+550, 01/18/2024</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6100 Lake Forrest Drive</w:t>
            </w:r>
          </w:p>
        </w:tc>
        <w:tc>
          <w:tcPr>
            <w:tcW w:w="1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Atlanta, GA 30328</w:t>
            </w:r>
          </w:p>
        </w:tc>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Type of Investment,</w:t>
            </w:r>
          </w:p>
        </w:tc>
        <w:tc>
          <w:tcPr>
            <w:tcW w:w="13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Voting</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80" w:type="dxa"/>
            <w:vAlign w:val="bottom"/>
            <w:gridSpan w:val="2"/>
            <w:vMerge w:val="continue"/>
          </w:tcPr>
          <w:p>
            <w:pPr>
              <w:spacing w:after="0"/>
              <w:rPr>
                <w:sz w:val="12"/>
                <w:szCs w:val="12"/>
                <w:color w:val="auto"/>
              </w:rPr>
            </w:pPr>
          </w:p>
        </w:tc>
        <w:tc>
          <w:tcPr>
            <w:tcW w:w="16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Nature of Business</w:t>
            </w:r>
          </w:p>
        </w:tc>
        <w:tc>
          <w:tcPr>
            <w:tcW w:w="3240" w:type="dxa"/>
            <w:vAlign w:val="bottom"/>
            <w:gridSpan w:val="2"/>
            <w:vMerge w:val="continue"/>
          </w:tcPr>
          <w:p>
            <w:pPr>
              <w:spacing w:after="0"/>
              <w:rPr>
                <w:sz w:val="12"/>
                <w:szCs w:val="12"/>
                <w:color w:val="auto"/>
              </w:rPr>
            </w:pPr>
          </w:p>
        </w:tc>
        <w:tc>
          <w:tcPr>
            <w:tcW w:w="1320" w:type="dxa"/>
            <w:vAlign w:val="bottom"/>
            <w:gridSpan w:val="2"/>
          </w:tcPr>
          <w:p>
            <w:pPr>
              <w:jc w:val="right"/>
              <w:ind w:right="580"/>
              <w:spacing w:after="0" w:line="145" w:lineRule="exact"/>
              <w:rPr>
                <w:sz w:val="20"/>
                <w:szCs w:val="20"/>
                <w:color w:val="auto"/>
              </w:rPr>
            </w:pPr>
            <w:r>
              <w:rPr>
                <w:rFonts w:ascii="Arial" w:cs="Arial" w:eastAsia="Arial" w:hAnsi="Arial"/>
                <w:sz w:val="14"/>
                <w:szCs w:val="14"/>
                <w:b w:val="1"/>
                <w:bCs w:val="1"/>
                <w:color w:val="auto"/>
                <w:w w:val="95"/>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00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3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8"/>
        </w:trPr>
        <w:tc>
          <w:tcPr>
            <w:tcW w:w="388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TWS Acquisition Corporation</w:t>
            </w:r>
          </w:p>
        </w:tc>
        <w:tc>
          <w:tcPr>
            <w:tcW w:w="14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Education</w:t>
            </w:r>
          </w:p>
        </w:tc>
        <w:tc>
          <w:tcPr>
            <w:tcW w:w="180" w:type="dxa"/>
            <w:vAlign w:val="bottom"/>
            <w:tcBorders>
              <w:top w:val="single" w:sz="8" w:color="CCEEFF"/>
            </w:tcBorders>
            <w:shd w:val="clear" w:color="auto" w:fill="CCEEFF"/>
          </w:tcPr>
          <w:p>
            <w:pPr>
              <w:spacing w:after="0"/>
              <w:rPr>
                <w:sz w:val="9"/>
                <w:szCs w:val="9"/>
                <w:color w:val="auto"/>
              </w:rPr>
            </w:pPr>
          </w:p>
        </w:tc>
        <w:tc>
          <w:tcPr>
            <w:tcW w:w="30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ind w:right="9"/>
              <w:spacing w:after="0" w:line="109" w:lineRule="exact"/>
              <w:rPr>
                <w:sz w:val="20"/>
                <w:szCs w:val="20"/>
                <w:color w:val="auto"/>
              </w:rPr>
            </w:pPr>
            <w:r>
              <w:rPr>
                <w:rFonts w:ascii="Arial" w:cs="Arial" w:eastAsia="Arial" w:hAnsi="Arial"/>
                <w:sz w:val="12"/>
                <w:szCs w:val="12"/>
                <w:color w:val="auto"/>
              </w:rPr>
              <w:t>—</w:t>
            </w:r>
          </w:p>
        </w:tc>
        <w:tc>
          <w:tcPr>
            <w:tcW w:w="50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9,146</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 N. 44th Street #230</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1M L+625, 06/16/2025</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Phoenix, AZ 85034</w:t>
            </w:r>
          </w:p>
        </w:tc>
        <w:tc>
          <w:tcPr>
            <w:tcW w:w="1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2"/>
          </w:tcPr>
          <w:p>
            <w:pPr>
              <w:spacing w:after="0"/>
              <w:rPr>
                <w:sz w:val="20"/>
                <w:szCs w:val="20"/>
                <w:color w:val="auto"/>
              </w:rPr>
            </w:pPr>
            <w:r>
              <w:rPr>
                <w:rFonts w:ascii="Arial" w:cs="Arial" w:eastAsia="Arial" w:hAnsi="Arial"/>
                <w:sz w:val="14"/>
                <w:szCs w:val="14"/>
                <w:color w:val="auto"/>
              </w:rPr>
              <w:t>Tyto Athene, LLC</w:t>
            </w: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Aerospace and Defense</w:t>
            </w:r>
          </w:p>
        </w:tc>
        <w:tc>
          <w:tcPr>
            <w:tcW w:w="324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tcPr>
          <w:p>
            <w:pPr>
              <w:jc w:val="right"/>
              <w:ind w:right="380"/>
              <w:spacing w:after="0"/>
              <w:rPr>
                <w:sz w:val="20"/>
                <w:szCs w:val="20"/>
                <w:color w:val="auto"/>
              </w:rPr>
            </w:pPr>
            <w:r>
              <w:rPr>
                <w:rFonts w:ascii="Arial" w:cs="Arial" w:eastAsia="Arial" w:hAnsi="Arial"/>
                <w:sz w:val="14"/>
                <w:szCs w:val="14"/>
                <w:color w:val="auto"/>
              </w:rPr>
              <w:t>0.2%</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6,097</w:t>
            </w: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(NXOF Holdings, Inc.)</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L+575, 08/27/2024</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510 Spring Street, Suite 200</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Herndon, VA 20170</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4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UBEO, LLC</w:t>
            </w:r>
          </w:p>
        </w:tc>
        <w:tc>
          <w:tcPr>
            <w:tcW w:w="16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4"/>
              </w:rPr>
              <w:t>Printing and Publishing</w:t>
            </w:r>
          </w:p>
        </w:tc>
        <w:tc>
          <w:tcPr>
            <w:tcW w:w="32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shd w:val="clear" w:color="auto" w:fill="CCEEFF"/>
          </w:tcPr>
          <w:p>
            <w:pPr>
              <w:jc w:val="right"/>
              <w:ind w:right="58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2,277</w:t>
            </w: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401 East Sonterra Blvd., Suite 350</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3M L+450, 04/03/2024</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San Antonio, TX 78258</w:t>
            </w:r>
          </w:p>
        </w:tc>
        <w:tc>
          <w:tcPr>
            <w:tcW w:w="1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2"/>
          </w:tcPr>
          <w:p>
            <w:pPr>
              <w:spacing w:after="0"/>
              <w:rPr>
                <w:sz w:val="20"/>
                <w:szCs w:val="20"/>
                <w:color w:val="auto"/>
              </w:rPr>
            </w:pPr>
            <w:r>
              <w:rPr>
                <w:rFonts w:ascii="Arial" w:cs="Arial" w:eastAsia="Arial" w:hAnsi="Arial"/>
                <w:sz w:val="14"/>
                <w:szCs w:val="14"/>
                <w:color w:val="auto"/>
              </w:rPr>
              <w:t>US Med Acquisition, Inc.</w:t>
            </w: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Healthcare, Education</w:t>
            </w:r>
          </w:p>
        </w:tc>
        <w:tc>
          <w:tcPr>
            <w:tcW w:w="324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8,389</w:t>
            </w: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8260 NW 27th Street, Suite 401</w:t>
            </w:r>
          </w:p>
        </w:tc>
        <w:tc>
          <w:tcPr>
            <w:tcW w:w="16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and Childcare</w:t>
            </w: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L+900, 08/13/2021</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Doral, FL 33122</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Well Services, Inc.</w:t>
            </w:r>
            <w:r>
              <w:rPr>
                <w:rFonts w:ascii="Arial" w:cs="Arial" w:eastAsia="Arial" w:hAnsi="Arial"/>
                <w:sz w:val="12"/>
                <w:szCs w:val="12"/>
                <w:color w:val="auto"/>
              </w:rPr>
              <w:t>(6)</w:t>
            </w:r>
          </w:p>
        </w:tc>
        <w:tc>
          <w:tcPr>
            <w:tcW w:w="16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Oil and Gas</w:t>
            </w:r>
          </w:p>
        </w:tc>
        <w:tc>
          <w:tcPr>
            <w:tcW w:w="32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(8)</w:t>
            </w:r>
          </w:p>
        </w:tc>
        <w:tc>
          <w:tcPr>
            <w:tcW w:w="1320" w:type="dxa"/>
            <w:vAlign w:val="bottom"/>
            <w:gridSpan w:val="2"/>
            <w:shd w:val="clear" w:color="auto" w:fill="CCEEFF"/>
          </w:tcPr>
          <w:p>
            <w:pPr>
              <w:jc w:val="right"/>
              <w:ind w:right="380"/>
              <w:spacing w:after="0" w:line="130" w:lineRule="exact"/>
              <w:rPr>
                <w:sz w:val="20"/>
                <w:szCs w:val="20"/>
                <w:color w:val="auto"/>
              </w:rPr>
            </w:pPr>
            <w:r>
              <w:rPr>
                <w:rFonts w:ascii="Arial" w:cs="Arial" w:eastAsia="Arial" w:hAnsi="Arial"/>
                <w:sz w:val="14"/>
                <w:szCs w:val="14"/>
                <w:color w:val="auto"/>
              </w:rPr>
              <w:t>4.0%</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2,632</w:t>
            </w: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(USWS Holdings, LLC</w:t>
            </w:r>
            <w:r>
              <w:rPr>
                <w:rFonts w:ascii="Arial" w:cs="Arial" w:eastAsia="Arial" w:hAnsi="Arial"/>
                <w:sz w:val="12"/>
                <w:szCs w:val="12"/>
                <w:color w:val="auto"/>
              </w:rPr>
              <w:t>(5)(6)</w:t>
            </w:r>
            <w:r>
              <w:rPr>
                <w:rFonts w:ascii="Arial" w:cs="Arial" w:eastAsia="Arial" w:hAnsi="Arial"/>
                <w:sz w:val="14"/>
                <w:szCs w:val="14"/>
                <w:color w:val="auto"/>
              </w:rPr>
              <w:t>)</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770 South Post Oak Lane, Suite 405</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Houston, TX 77056</w:t>
            </w:r>
          </w:p>
        </w:tc>
        <w:tc>
          <w:tcPr>
            <w:tcW w:w="1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2"/>
          </w:tcPr>
          <w:p>
            <w:pPr>
              <w:spacing w:after="0"/>
              <w:rPr>
                <w:sz w:val="20"/>
                <w:szCs w:val="20"/>
                <w:color w:val="auto"/>
              </w:rPr>
            </w:pPr>
            <w:r>
              <w:rPr>
                <w:rFonts w:ascii="Arial" w:cs="Arial" w:eastAsia="Arial" w:hAnsi="Arial"/>
                <w:sz w:val="14"/>
                <w:szCs w:val="14"/>
                <w:color w:val="auto"/>
              </w:rPr>
              <w:t>Vision Purchaser Corporation</w:t>
            </w: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Media</w:t>
            </w:r>
          </w:p>
        </w:tc>
        <w:tc>
          <w:tcPr>
            <w:tcW w:w="324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3,407</w:t>
            </w: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7650 185th Street</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L+625, 06/10/2025</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Tinley Park, IL 60477</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VT Topco, Inc.</w:t>
            </w:r>
          </w:p>
        </w:tc>
        <w:tc>
          <w:tcPr>
            <w:tcW w:w="16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0"/>
              </w:rPr>
              <w:t>Business Services</w:t>
            </w:r>
          </w:p>
        </w:tc>
        <w:tc>
          <w:tcPr>
            <w:tcW w:w="32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2"/>
              </w:rPr>
              <w:t>Second Lien Secured Debt,</w:t>
            </w:r>
          </w:p>
        </w:tc>
        <w:tc>
          <w:tcPr>
            <w:tcW w:w="1320" w:type="dxa"/>
            <w:vAlign w:val="bottom"/>
            <w:gridSpan w:val="2"/>
            <w:shd w:val="clear" w:color="auto" w:fill="CCEEFF"/>
          </w:tcPr>
          <w:p>
            <w:pPr>
              <w:jc w:val="right"/>
              <w:ind w:right="380"/>
              <w:spacing w:after="0" w:line="130" w:lineRule="exact"/>
              <w:rPr>
                <w:sz w:val="20"/>
                <w:szCs w:val="20"/>
                <w:color w:val="auto"/>
              </w:rPr>
            </w:pPr>
            <w:r>
              <w:rPr>
                <w:rFonts w:ascii="Arial" w:cs="Arial" w:eastAsia="Arial" w:hAnsi="Arial"/>
                <w:sz w:val="14"/>
                <w:szCs w:val="14"/>
                <w:color w:val="auto"/>
              </w:rPr>
              <w:t>0.3%</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12,318</w:t>
            </w: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(Green Veracity Holdings, LP)</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3M L+700, 08/24/2026</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290 West Mount Pleasant Avenue,</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Suite 3200</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Livingston, NJ 07039</w:t>
            </w:r>
          </w:p>
        </w:tc>
        <w:tc>
          <w:tcPr>
            <w:tcW w:w="1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2"/>
          </w:tcPr>
          <w:p>
            <w:pPr>
              <w:spacing w:after="0"/>
              <w:rPr>
                <w:sz w:val="20"/>
                <w:szCs w:val="20"/>
                <w:color w:val="auto"/>
              </w:rPr>
            </w:pPr>
            <w:r>
              <w:rPr>
                <w:rFonts w:ascii="Arial" w:cs="Arial" w:eastAsia="Arial" w:hAnsi="Arial"/>
                <w:sz w:val="14"/>
                <w:szCs w:val="14"/>
                <w:color w:val="auto"/>
              </w:rPr>
              <w:t>Walker Edison Furniture Company LLC</w:t>
            </w: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color w:val="auto"/>
                <w:w w:val="95"/>
              </w:rPr>
              <w:t>Home and Office</w:t>
            </w:r>
          </w:p>
        </w:tc>
        <w:tc>
          <w:tcPr>
            <w:tcW w:w="324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tcPr>
          <w:p>
            <w:pPr>
              <w:jc w:val="right"/>
              <w:ind w:right="380"/>
              <w:spacing w:after="0"/>
              <w:rPr>
                <w:sz w:val="20"/>
                <w:szCs w:val="20"/>
                <w:color w:val="auto"/>
              </w:rPr>
            </w:pPr>
            <w:r>
              <w:rPr>
                <w:rFonts w:ascii="Arial" w:cs="Arial" w:eastAsia="Arial" w:hAnsi="Arial"/>
                <w:sz w:val="14"/>
                <w:szCs w:val="14"/>
                <w:color w:val="auto"/>
              </w:rPr>
              <w:t>1.8%</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27,205</w:t>
            </w: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(JWC-WE Holdings, L.P.)</w:t>
            </w:r>
          </w:p>
        </w:tc>
        <w:tc>
          <w:tcPr>
            <w:tcW w:w="16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Furnishings</w:t>
            </w: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3M L+650, 09/26/2024</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4350 West 2100 South, Suite A</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Salt Lake City, UT 84120</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Whitney, Bradley &amp; Brown, Inc.</w:t>
            </w:r>
          </w:p>
        </w:tc>
        <w:tc>
          <w:tcPr>
            <w:tcW w:w="16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0"/>
              </w:rPr>
              <w:t>Aerospace and Defense</w:t>
            </w:r>
          </w:p>
        </w:tc>
        <w:tc>
          <w:tcPr>
            <w:tcW w:w="32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shd w:val="clear" w:color="auto" w:fill="CCEEFF"/>
          </w:tcPr>
          <w:p>
            <w:pPr>
              <w:jc w:val="right"/>
              <w:ind w:right="380"/>
              <w:spacing w:after="0" w:line="130" w:lineRule="exact"/>
              <w:rPr>
                <w:sz w:val="20"/>
                <w:szCs w:val="20"/>
                <w:color w:val="auto"/>
              </w:rPr>
            </w:pPr>
            <w:r>
              <w:rPr>
                <w:rFonts w:ascii="Arial" w:cs="Arial" w:eastAsia="Arial" w:hAnsi="Arial"/>
                <w:sz w:val="14"/>
                <w:szCs w:val="14"/>
                <w:color w:val="auto"/>
              </w:rPr>
              <w:t>2.5%</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12,399</w:t>
            </w: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(WBB Equity, LLC</w:t>
            </w:r>
            <w:r>
              <w:rPr>
                <w:rFonts w:ascii="Arial" w:cs="Arial" w:eastAsia="Arial" w:hAnsi="Arial"/>
                <w:sz w:val="12"/>
                <w:szCs w:val="12"/>
                <w:color w:val="auto"/>
              </w:rPr>
              <w:t>(5)</w:t>
            </w:r>
            <w:r>
              <w:rPr>
                <w:rFonts w:ascii="Arial" w:cs="Arial" w:eastAsia="Arial" w:hAnsi="Arial"/>
                <w:sz w:val="14"/>
                <w:szCs w:val="14"/>
                <w:color w:val="auto"/>
              </w:rPr>
              <w:t>)</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1M L+750, 10/18/2022</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11790 Sunrise Valley Drive</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Reston, VA 20191</w:t>
            </w:r>
          </w:p>
        </w:tc>
        <w:tc>
          <w:tcPr>
            <w:tcW w:w="1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2"/>
          </w:tcPr>
          <w:p>
            <w:pPr>
              <w:spacing w:after="0"/>
              <w:rPr>
                <w:sz w:val="20"/>
                <w:szCs w:val="20"/>
                <w:color w:val="auto"/>
              </w:rPr>
            </w:pPr>
            <w:r>
              <w:rPr>
                <w:rFonts w:ascii="Arial" w:cs="Arial" w:eastAsia="Arial" w:hAnsi="Arial"/>
                <w:sz w:val="14"/>
                <w:szCs w:val="14"/>
                <w:color w:val="auto"/>
              </w:rPr>
              <w:t>Winter Park Intermediate, Inc.</w:t>
            </w: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Auto Sector</w:t>
            </w:r>
          </w:p>
        </w:tc>
        <w:tc>
          <w:tcPr>
            <w:tcW w:w="32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Second Lien Secured Debt,</w:t>
            </w:r>
          </w:p>
        </w:tc>
        <w:tc>
          <w:tcPr>
            <w:tcW w:w="1320" w:type="dxa"/>
            <w:vAlign w:val="bottom"/>
            <w:gridSpan w:val="2"/>
          </w:tcPr>
          <w:p>
            <w:pPr>
              <w:jc w:val="right"/>
              <w:ind w:right="380"/>
              <w:spacing w:after="0"/>
              <w:rPr>
                <w:sz w:val="20"/>
                <w:szCs w:val="20"/>
                <w:color w:val="auto"/>
              </w:rPr>
            </w:pPr>
            <w:r>
              <w:rPr>
                <w:rFonts w:ascii="Arial" w:cs="Arial" w:eastAsia="Arial" w:hAnsi="Arial"/>
                <w:sz w:val="14"/>
                <w:szCs w:val="14"/>
                <w:color w:val="auto"/>
              </w:rPr>
              <w:t>2.5%</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49,955</w:t>
            </w: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(Wheel Pros Holdings, L.P.)</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L+850, 04/06/2026</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44 Union Boulevard, Suite 620</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Lakewood, CO 80228</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5% to 24% Owned</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880" w:type="dxa"/>
            <w:vAlign w:val="bottom"/>
            <w:gridSpan w:val="2"/>
          </w:tcPr>
          <w:p>
            <w:pPr>
              <w:spacing w:after="0" w:line="130" w:lineRule="exact"/>
              <w:rPr>
                <w:sz w:val="20"/>
                <w:szCs w:val="20"/>
                <w:color w:val="auto"/>
              </w:rPr>
            </w:pPr>
            <w:r>
              <w:rPr>
                <w:rFonts w:ascii="Arial" w:cs="Arial" w:eastAsia="Arial" w:hAnsi="Arial"/>
                <w:sz w:val="14"/>
                <w:szCs w:val="14"/>
                <w:color w:val="auto"/>
              </w:rPr>
              <w:t>ETX Energy, LLC</w:t>
            </w:r>
            <w:r>
              <w:rPr>
                <w:rFonts w:ascii="Arial" w:cs="Arial" w:eastAsia="Arial" w:hAnsi="Arial"/>
                <w:sz w:val="12"/>
                <w:szCs w:val="12"/>
                <w:color w:val="auto"/>
              </w:rPr>
              <w:t>(5)</w:t>
            </w:r>
          </w:p>
        </w:tc>
        <w:tc>
          <w:tcPr>
            <w:tcW w:w="166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4"/>
              </w:rPr>
              <w:t>Oil and Gas</w:t>
            </w:r>
          </w:p>
        </w:tc>
        <w:tc>
          <w:tcPr>
            <w:tcW w:w="324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4"/>
              </w:rPr>
              <w:t>Preferred Equity</w:t>
            </w:r>
          </w:p>
        </w:tc>
        <w:tc>
          <w:tcPr>
            <w:tcW w:w="132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15.3%</w:t>
            </w:r>
            <w:r>
              <w:rPr>
                <w:rFonts w:ascii="Arial" w:cs="Arial" w:eastAsia="Arial" w:hAnsi="Arial"/>
                <w:sz w:val="12"/>
                <w:szCs w:val="12"/>
                <w:color w:val="auto"/>
              </w:rPr>
              <w:t>(3)</w:t>
            </w:r>
          </w:p>
        </w:tc>
        <w:tc>
          <w:tcPr>
            <w:tcW w:w="92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22,717</w:t>
            </w: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(ETX Energy Management</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Company, LLC)</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10441 S. Regal Blvd. Ste. 210</w:t>
            </w: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Tulsa, OK 74133</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25% or More Owned</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880" w:type="dxa"/>
            <w:vAlign w:val="bottom"/>
            <w:gridSpan w:val="2"/>
          </w:tcPr>
          <w:p>
            <w:pPr>
              <w:spacing w:after="0" w:line="130" w:lineRule="exact"/>
              <w:rPr>
                <w:sz w:val="20"/>
                <w:szCs w:val="20"/>
                <w:color w:val="auto"/>
              </w:rPr>
            </w:pPr>
            <w:r>
              <w:rPr>
                <w:rFonts w:ascii="Arial" w:cs="Arial" w:eastAsia="Arial" w:hAnsi="Arial"/>
                <w:sz w:val="14"/>
                <w:szCs w:val="14"/>
                <w:color w:val="auto"/>
              </w:rPr>
              <w:t>AKW Holdings Limited</w:t>
            </w:r>
            <w:r>
              <w:rPr>
                <w:rFonts w:ascii="Arial" w:cs="Arial" w:eastAsia="Arial" w:hAnsi="Arial"/>
                <w:sz w:val="12"/>
                <w:szCs w:val="12"/>
                <w:color w:val="auto"/>
              </w:rPr>
              <w:t>(6)</w:t>
            </w:r>
          </w:p>
        </w:tc>
        <w:tc>
          <w:tcPr>
            <w:tcW w:w="16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324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83.5%</w:t>
            </w:r>
            <w:r>
              <w:rPr>
                <w:rFonts w:ascii="Arial" w:cs="Arial" w:eastAsia="Arial" w:hAnsi="Arial"/>
                <w:sz w:val="12"/>
                <w:szCs w:val="12"/>
                <w:color w:val="auto"/>
              </w:rPr>
              <w:t>(3)</w:t>
            </w:r>
          </w:p>
        </w:tc>
        <w:tc>
          <w:tcPr>
            <w:tcW w:w="92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37,059</w:t>
            </w:r>
          </w:p>
        </w:tc>
        <w:tc>
          <w:tcPr>
            <w:tcW w:w="0" w:type="dxa"/>
            <w:vAlign w:val="bottom"/>
          </w:tcPr>
          <w:p>
            <w:pPr>
              <w:spacing w:after="0"/>
              <w:rPr>
                <w:sz w:val="1"/>
                <w:szCs w:val="1"/>
                <w:color w:val="auto"/>
              </w:rPr>
            </w:pPr>
          </w:p>
        </w:tc>
      </w:tr>
      <w:tr>
        <w:trPr>
          <w:trHeight w:val="148"/>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Unit L, Snugborough Trading Estate</w:t>
            </w:r>
          </w:p>
        </w:tc>
        <w:tc>
          <w:tcPr>
            <w:tcW w:w="16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and Childcare</w:t>
            </w: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3M L+575, 03/13/2024</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Braddan, Isle of Man IM4 4LH</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4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MidOcean JF Holdings Corp.</w:t>
            </w:r>
          </w:p>
        </w:tc>
        <w:tc>
          <w:tcPr>
            <w:tcW w:w="16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9"/>
              </w:rPr>
              <w:t>Distribution</w:t>
            </w:r>
          </w:p>
        </w:tc>
        <w:tc>
          <w:tcPr>
            <w:tcW w:w="32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Preferred Equity</w:t>
            </w:r>
          </w:p>
        </w:tc>
        <w:tc>
          <w:tcPr>
            <w:tcW w:w="13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35.8%</w:t>
            </w:r>
            <w:r>
              <w:rPr>
                <w:rFonts w:ascii="Arial" w:cs="Arial" w:eastAsia="Arial" w:hAnsi="Arial"/>
                <w:sz w:val="12"/>
                <w:szCs w:val="12"/>
                <w:color w:val="auto"/>
              </w:rPr>
              <w:t>(3)</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26,632</w:t>
            </w: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1330 St. Mary’s Street, Ste. 210</w:t>
            </w: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Raleigh, NC 27605</w:t>
            </w:r>
          </w:p>
        </w:tc>
        <w:tc>
          <w:tcPr>
            <w:tcW w:w="1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Type of Investment,</w:t>
            </w:r>
          </w:p>
        </w:tc>
        <w:tc>
          <w:tcPr>
            <w:tcW w:w="1320" w:type="dxa"/>
            <w:vAlign w:val="bottom"/>
            <w:gridSpan w:val="2"/>
          </w:tcPr>
          <w:p>
            <w:pPr>
              <w:jc w:val="center"/>
              <w:ind w:right="458"/>
              <w:spacing w:after="0"/>
              <w:rPr>
                <w:sz w:val="20"/>
                <w:szCs w:val="20"/>
                <w:color w:val="auto"/>
              </w:rPr>
            </w:pPr>
            <w:r>
              <w:rPr>
                <w:rFonts w:ascii="Arial" w:cs="Arial" w:eastAsia="Arial" w:hAnsi="Arial"/>
                <w:sz w:val="14"/>
                <w:szCs w:val="14"/>
                <w:b w:val="1"/>
                <w:bCs w:val="1"/>
                <w:color w:val="auto"/>
                <w:w w:val="91"/>
              </w:rPr>
              <w:t>Voting</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212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1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Nature of Business</w:t>
            </w:r>
          </w:p>
        </w:tc>
        <w:tc>
          <w:tcPr>
            <w:tcW w:w="3240" w:type="dxa"/>
            <w:vAlign w:val="bottom"/>
            <w:gridSpan w:val="2"/>
            <w:vMerge w:val="continue"/>
          </w:tcPr>
          <w:p>
            <w:pPr>
              <w:spacing w:after="0"/>
              <w:rPr>
                <w:sz w:val="12"/>
                <w:szCs w:val="12"/>
                <w:color w:val="auto"/>
              </w:rPr>
            </w:pPr>
          </w:p>
        </w:tc>
        <w:tc>
          <w:tcPr>
            <w:tcW w:w="1320" w:type="dxa"/>
            <w:vAlign w:val="bottom"/>
            <w:gridSpan w:val="2"/>
          </w:tcPr>
          <w:p>
            <w:pPr>
              <w:jc w:val="center"/>
              <w:ind w:right="458"/>
              <w:spacing w:after="0" w:line="145" w:lineRule="exact"/>
              <w:rPr>
                <w:sz w:val="20"/>
                <w:szCs w:val="20"/>
                <w:color w:val="auto"/>
              </w:rPr>
            </w:pPr>
            <w:r>
              <w:rPr>
                <w:rFonts w:ascii="Arial" w:cs="Arial" w:eastAsia="Arial" w:hAnsi="Arial"/>
                <w:sz w:val="14"/>
                <w:szCs w:val="14"/>
                <w:b w:val="1"/>
                <w:bCs w:val="1"/>
                <w:color w:val="auto"/>
                <w:w w:val="90"/>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3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320" w:type="dxa"/>
            <w:vAlign w:val="bottom"/>
            <w:gridSpan w:val="2"/>
          </w:tcPr>
          <w:p>
            <w:pPr>
              <w:jc w:val="center"/>
              <w:ind w:right="438"/>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9"/>
        </w:trPr>
        <w:tc>
          <w:tcPr>
            <w:tcW w:w="212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PT Network Intermediate Holdings,</w:t>
            </w:r>
          </w:p>
        </w:tc>
        <w:tc>
          <w:tcPr>
            <w:tcW w:w="1740" w:type="dxa"/>
            <w:vAlign w:val="bottom"/>
            <w:tcBorders>
              <w:top w:val="single" w:sz="8" w:color="CCEEFF"/>
            </w:tcBorders>
            <w:shd w:val="clear" w:color="auto" w:fill="CCEEFF"/>
          </w:tcPr>
          <w:p>
            <w:pPr>
              <w:ind w:left="120"/>
              <w:spacing w:after="0" w:line="109" w:lineRule="exact"/>
              <w:rPr>
                <w:sz w:val="20"/>
                <w:szCs w:val="20"/>
                <w:color w:val="auto"/>
              </w:rPr>
            </w:pPr>
            <w:r>
              <w:rPr>
                <w:rFonts w:ascii="Arial" w:cs="Arial" w:eastAsia="Arial" w:hAnsi="Arial"/>
                <w:sz w:val="12"/>
                <w:szCs w:val="12"/>
                <w:color w:val="auto"/>
              </w:rPr>
              <w:t>LLC</w:t>
            </w:r>
            <w:r>
              <w:rPr>
                <w:rFonts w:ascii="Arial" w:cs="Arial" w:eastAsia="Arial" w:hAnsi="Arial"/>
                <w:sz w:val="10"/>
                <w:szCs w:val="10"/>
                <w:color w:val="auto"/>
              </w:rPr>
              <w:t>(5)</w:t>
            </w:r>
          </w:p>
        </w:tc>
        <w:tc>
          <w:tcPr>
            <w:tcW w:w="14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Healthcare, Education</w:t>
            </w:r>
          </w:p>
        </w:tc>
        <w:tc>
          <w:tcPr>
            <w:tcW w:w="200" w:type="dxa"/>
            <w:vAlign w:val="bottom"/>
            <w:tcBorders>
              <w:top w:val="single" w:sz="8" w:color="CCEEFF"/>
            </w:tcBorders>
            <w:shd w:val="clear" w:color="auto" w:fill="CCEEFF"/>
          </w:tcPr>
          <w:p>
            <w:pPr>
              <w:spacing w:after="0"/>
              <w:rPr>
                <w:sz w:val="9"/>
                <w:szCs w:val="9"/>
                <w:color w:val="auto"/>
              </w:rPr>
            </w:pPr>
          </w:p>
        </w:tc>
        <w:tc>
          <w:tcPr>
            <w:tcW w:w="30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Second Lien Secured Debt,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62.1</w:t>
            </w:r>
          </w:p>
        </w:tc>
        <w:tc>
          <w:tcPr>
            <w:tcW w:w="500" w:type="dxa"/>
            <w:vAlign w:val="bottom"/>
            <w:tcBorders>
              <w:top w:val="single" w:sz="8" w:color="CCEEFF"/>
            </w:tcBorders>
            <w:shd w:val="clear" w:color="auto" w:fill="CCEEFF"/>
          </w:tcPr>
          <w:p>
            <w:pPr>
              <w:jc w:val="right"/>
              <w:ind w:right="178"/>
              <w:spacing w:after="0" w:line="109" w:lineRule="exact"/>
              <w:rPr>
                <w:sz w:val="20"/>
                <w:szCs w:val="20"/>
                <w:color w:val="auto"/>
              </w:rPr>
            </w:pPr>
            <w:r>
              <w:rPr>
                <w:rFonts w:ascii="Arial" w:cs="Arial" w:eastAsia="Arial" w:hAnsi="Arial"/>
                <w:sz w:val="12"/>
                <w:szCs w:val="12"/>
                <w:color w:val="auto"/>
              </w:rPr>
              <w:t>%</w:t>
            </w:r>
            <w:r>
              <w:rPr>
                <w:rFonts w:ascii="Arial" w:cs="Arial" w:eastAsia="Arial" w:hAnsi="Arial"/>
                <w:sz w:val="10"/>
                <w:szCs w:val="10"/>
                <w:color w:val="auto"/>
              </w:rPr>
              <w:t>(3)</w:t>
            </w: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72,434</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 (PTN) Investment Holdings II,</w:t>
            </w:r>
          </w:p>
        </w:tc>
        <w:tc>
          <w:tcPr>
            <w:tcW w:w="17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LLC</w:t>
            </w:r>
            <w:r>
              <w:rPr>
                <w:rFonts w:ascii="Arial" w:cs="Arial" w:eastAsia="Arial" w:hAnsi="Arial"/>
                <w:sz w:val="12"/>
                <w:szCs w:val="12"/>
                <w:color w:val="auto"/>
              </w:rPr>
              <w:t>(5)</w:t>
            </w:r>
            <w:r>
              <w:rPr>
                <w:rFonts w:ascii="Arial" w:cs="Arial" w:eastAsia="Arial" w:hAnsi="Arial"/>
                <w:sz w:val="14"/>
                <w:szCs w:val="14"/>
                <w:color w:val="auto"/>
              </w:rPr>
              <w:t>)</w:t>
            </w:r>
          </w:p>
        </w:tc>
        <w:tc>
          <w:tcPr>
            <w:tcW w:w="16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and Childcare</w:t>
            </w: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3M L+1,000 PIK, 11/30/2024</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501 Fairmount Avenue</w:t>
            </w:r>
          </w:p>
        </w:tc>
        <w:tc>
          <w:tcPr>
            <w:tcW w:w="17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Towson, MD 21286</w:t>
            </w:r>
          </w:p>
        </w:tc>
        <w:tc>
          <w:tcPr>
            <w:tcW w:w="17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RAM Energy LLC</w:t>
            </w:r>
          </w:p>
        </w:tc>
        <w:tc>
          <w:tcPr>
            <w:tcW w:w="174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Energy and Utilities</w:t>
            </w:r>
          </w:p>
        </w:tc>
        <w:tc>
          <w:tcPr>
            <w:tcW w:w="32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tcPr>
          <w:p>
            <w:pPr>
              <w:jc w:val="right"/>
              <w:ind w:right="178"/>
              <w:spacing w:after="0"/>
              <w:rPr>
                <w:sz w:val="20"/>
                <w:szCs w:val="20"/>
                <w:color w:val="auto"/>
              </w:rPr>
            </w:pPr>
            <w:r>
              <w:rPr>
                <w:rFonts w:ascii="Arial" w:cs="Arial" w:eastAsia="Arial" w:hAnsi="Arial"/>
                <w:sz w:val="14"/>
                <w:szCs w:val="14"/>
                <w:color w:val="auto"/>
              </w:rPr>
              <w:t>100.0%</w:t>
            </w:r>
            <w:r>
              <w:rPr>
                <w:rFonts w:ascii="Arial" w:cs="Arial" w:eastAsia="Arial" w:hAnsi="Arial"/>
                <w:sz w:val="12"/>
                <w:szCs w:val="12"/>
                <w:color w:val="auto"/>
              </w:rPr>
              <w:t>(3)</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123,958</w:t>
            </w:r>
          </w:p>
        </w:tc>
        <w:tc>
          <w:tcPr>
            <w:tcW w:w="0" w:type="dxa"/>
            <w:vAlign w:val="bottom"/>
          </w:tcPr>
          <w:p>
            <w:pPr>
              <w:spacing w:after="0"/>
              <w:rPr>
                <w:sz w:val="1"/>
                <w:szCs w:val="1"/>
                <w:color w:val="auto"/>
              </w:rPr>
            </w:pPr>
          </w:p>
        </w:tc>
      </w:tr>
      <w:tr>
        <w:trPr>
          <w:trHeight w:val="149"/>
        </w:trPr>
        <w:tc>
          <w:tcPr>
            <w:tcW w:w="2120" w:type="dxa"/>
            <w:vAlign w:val="bottom"/>
            <w:gridSpan w:val="2"/>
          </w:tcPr>
          <w:p>
            <w:pPr>
              <w:spacing w:after="0" w:line="149" w:lineRule="exact"/>
              <w:rPr>
                <w:sz w:val="20"/>
                <w:szCs w:val="20"/>
                <w:color w:val="auto"/>
              </w:rPr>
            </w:pPr>
            <w:r>
              <w:rPr>
                <w:rFonts w:ascii="Arial" w:cs="Arial" w:eastAsia="Arial" w:hAnsi="Arial"/>
                <w:sz w:val="14"/>
                <w:szCs w:val="14"/>
                <w:color w:val="auto"/>
              </w:rPr>
              <w:t>(RAM Energy Holdings LLC)</w:t>
            </w:r>
          </w:p>
        </w:tc>
        <w:tc>
          <w:tcPr>
            <w:tcW w:w="17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8.0% fixed, 07/01/2022</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gridSpan w:val="2"/>
          </w:tcPr>
          <w:p>
            <w:pPr>
              <w:spacing w:after="0" w:line="149" w:lineRule="exact"/>
              <w:rPr>
                <w:sz w:val="20"/>
                <w:szCs w:val="20"/>
                <w:color w:val="auto"/>
              </w:rPr>
            </w:pPr>
            <w:r>
              <w:rPr>
                <w:rFonts w:ascii="Arial" w:cs="Arial" w:eastAsia="Arial" w:hAnsi="Arial"/>
                <w:sz w:val="14"/>
                <w:szCs w:val="14"/>
                <w:color w:val="auto"/>
                <w:w w:val="96"/>
              </w:rPr>
              <w:t>2100 South Utica Avenue, Ste. 165</w:t>
            </w:r>
          </w:p>
        </w:tc>
        <w:tc>
          <w:tcPr>
            <w:tcW w:w="17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20" w:type="dxa"/>
            <w:vAlign w:val="bottom"/>
            <w:gridSpan w:val="2"/>
          </w:tcPr>
          <w:p>
            <w:pPr>
              <w:spacing w:after="0"/>
              <w:rPr>
                <w:sz w:val="20"/>
                <w:szCs w:val="20"/>
                <w:color w:val="auto"/>
              </w:rPr>
            </w:pPr>
            <w:r>
              <w:rPr>
                <w:rFonts w:ascii="Arial" w:cs="Arial" w:eastAsia="Arial" w:hAnsi="Arial"/>
                <w:sz w:val="14"/>
                <w:szCs w:val="14"/>
                <w:color w:val="auto"/>
              </w:rPr>
              <w:t>Tulsa, OK 74114</w:t>
            </w:r>
          </w:p>
        </w:tc>
        <w:tc>
          <w:tcPr>
            <w:tcW w:w="1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17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    1,219,433</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40" w:hanging="424"/>
        <w:spacing w:after="0" w:line="225" w:lineRule="auto"/>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basis point spread above index for floating rate instruments that accrue interest at a predetermined spread relative to an index, typically the applicable LIBOR or “L,” or Prime rate, or “P.” The spread may change based on the type of rate used. The terms disclosed are the actual interest rate in effect as of 9/30/19.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 w:lineRule="exact"/>
        <w:rPr>
          <w:rFonts w:ascii="Arial" w:cs="Arial" w:eastAsia="Arial" w:hAnsi="Arial"/>
          <w:sz w:val="14"/>
          <w:szCs w:val="14"/>
          <w:color w:val="auto"/>
        </w:rPr>
      </w:pPr>
    </w:p>
    <w:p>
      <w:pPr>
        <w:ind w:left="540" w:hanging="424"/>
        <w:spacing w:after="0" w:line="221" w:lineRule="auto"/>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were we to have voting rights.</w:t>
      </w:r>
    </w:p>
    <w:p>
      <w:pPr>
        <w:ind w:left="540" w:hanging="424"/>
        <w:spacing w:after="0" w:line="221" w:lineRule="auto"/>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We hold one or more voting seats on the portfolio company’s board of directors/managers.</w:t>
      </w:r>
    </w:p>
    <w:p>
      <w:pPr>
        <w:ind w:left="540" w:right="60" w:hanging="424"/>
        <w:spacing w:after="0" w:line="221" w:lineRule="auto"/>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the purchase of a security with delayed settlement or a revolving line of credit that is currently an unfunded investment, that does not earn a basis point spread above an index while it is unfunded.</w:t>
      </w:r>
    </w:p>
    <w:p>
      <w:pPr>
        <w:ind w:left="540" w:hanging="424"/>
        <w:spacing w:after="0" w:line="221" w:lineRule="auto"/>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Investment is held through our Taxable Subsidiaries.</w:t>
      </w:r>
    </w:p>
    <w:p>
      <w:pPr>
        <w:ind w:left="540" w:right="360" w:hanging="424"/>
        <w:spacing w:after="0" w:line="221" w:lineRule="auto"/>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2019, qualifying assets represent 96% of the Company’s total assets and non-qualifying assets represent 4% of the Company’s total assets.</w:t>
      </w:r>
    </w:p>
    <w:p>
      <w:pPr>
        <w:ind w:left="540" w:hanging="424"/>
        <w:spacing w:after="0" w:line="221" w:lineRule="auto"/>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Less than 0.1% voting ownership percentage.</w:t>
      </w:r>
    </w:p>
    <w:p>
      <w:pPr>
        <w:ind w:left="540" w:hanging="424"/>
        <w:spacing w:after="0"/>
        <w:tabs>
          <w:tab w:leader="none" w:pos="5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Portfolio company partially subject to temporary contractual restriction on sales as of September 30, 2019.</w:t>
      </w:r>
    </w:p>
    <w:p>
      <w:pPr>
        <w:spacing w:after="0" w:line="19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Set forth below is a brief description of each portfolio company in which we have made an investment that represents greater than 5% of our total assets as of September 30, 2019:</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PT Network Intermediate Holdings, LLC (CI (PTN) Investment Holdings II, LLC) (Healthcare, Education and Childcare)</w:t>
      </w:r>
    </w:p>
    <w:p>
      <w:pPr>
        <w:spacing w:after="0" w:line="117" w:lineRule="exact"/>
        <w:rPr>
          <w:sz w:val="20"/>
          <w:szCs w:val="20"/>
          <w:color w:val="auto"/>
        </w:rPr>
      </w:pPr>
    </w:p>
    <w:p>
      <w:pPr>
        <w:ind w:left="1100" w:right="280"/>
        <w:spacing w:after="0" w:line="277" w:lineRule="auto"/>
        <w:rPr>
          <w:sz w:val="20"/>
          <w:szCs w:val="20"/>
          <w:color w:val="auto"/>
        </w:rPr>
      </w:pPr>
      <w:r>
        <w:rPr>
          <w:rFonts w:ascii="Arial" w:cs="Arial" w:eastAsia="Arial" w:hAnsi="Arial"/>
          <w:sz w:val="18"/>
          <w:szCs w:val="18"/>
          <w:color w:val="auto"/>
        </w:rPr>
        <w:t>PT Network Intermediate Holdings, LLC (CI (PTN) Investment Holdings II, LLC) is a provider of physical therapy, corporate wellness and occupational health services.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RAM Energy LLC (RAM Energy Holdings LLC) (Energy and Utilities)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RAM Energy LLC (RAM Energy Holdings LLC) is an exploration and production company focused on operations in the East Texas.</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 as of:</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82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34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September 30, 2019</w:t>
            </w:r>
          </w:p>
        </w:tc>
        <w:tc>
          <w:tcPr>
            <w:tcW w:w="1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bottom w:val="single" w:sz="8" w:color="CCEEFF"/>
            </w:tcBorders>
            <w:shd w:val="clear" w:color="auto" w:fill="000000"/>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Healthcare, Education and Childcare</w:t>
            </w:r>
          </w:p>
        </w:tc>
        <w:tc>
          <w:tcPr>
            <w:tcW w:w="160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16%</w:t>
            </w:r>
          </w:p>
        </w:tc>
        <w:tc>
          <w:tcPr>
            <w:tcW w:w="5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Energy and Utilities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Materials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Manufacturing / Basic Industries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Food and Miscellaneous Services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Electronics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Office Furnishings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4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100%</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0" w:type="dxa"/>
            <w:vAlign w:val="bottom"/>
            <w:vMerge w:val="restart"/>
          </w:tcPr>
          <w:p>
            <w:pPr>
              <w:jc w:val="right"/>
              <w:ind w:right="611"/>
              <w:spacing w:after="0"/>
              <w:rPr>
                <w:sz w:val="20"/>
                <w:szCs w:val="20"/>
                <w:color w:val="auto"/>
              </w:rPr>
            </w:pPr>
            <w:r>
              <w:rPr>
                <w:rFonts w:ascii="Arial" w:cs="Arial" w:eastAsia="Arial" w:hAnsi="Arial"/>
                <w:sz w:val="18"/>
                <w:szCs w:val="18"/>
                <w:color w:val="auto"/>
              </w:rPr>
              <w:t>25</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320" w:top="459" w:right="11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PORTFOLIO MANAGEMENT</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Investment Adviser, which manages our day-to-day investment activities under the supervision of our board of directors, has four experienced senior investment professionals.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8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Arthur H. Penn became the Chief Executive Officer and a Director of PennantPark Investment at its inception in 2007.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185"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8"/>
          <w:szCs w:val="18"/>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8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76"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addition to managing our investments, as of September 30, 2019, our portfolio managers also managed investments on behalf of the following entities: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800" w:type="dxa"/>
            <w:vAlign w:val="bottom"/>
            <w:vMerge w:val="restart"/>
          </w:tcPr>
          <w:p>
            <w:pPr>
              <w:spacing w:after="0"/>
              <w:rPr>
                <w:sz w:val="14"/>
                <w:szCs w:val="14"/>
                <w:color w:val="auto"/>
              </w:rPr>
            </w:pPr>
          </w:p>
        </w:tc>
        <w:tc>
          <w:tcPr>
            <w:tcW w:w="600" w:type="dxa"/>
            <w:vAlign w:val="bottom"/>
          </w:tcPr>
          <w:p>
            <w:pPr>
              <w:spacing w:after="0"/>
              <w:rPr>
                <w:sz w:val="14"/>
                <w:szCs w:val="14"/>
                <w:color w:val="auto"/>
              </w:rPr>
            </w:pPr>
          </w:p>
        </w:tc>
        <w:tc>
          <w:tcPr>
            <w:tcW w:w="194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Entity</w:t>
            </w:r>
          </w:p>
        </w:tc>
        <w:tc>
          <w:tcPr>
            <w:tcW w:w="220" w:type="dxa"/>
            <w:vAlign w:val="bottom"/>
          </w:tcPr>
          <w:p>
            <w:pPr>
              <w:spacing w:after="0"/>
              <w:rPr>
                <w:sz w:val="14"/>
                <w:szCs w:val="14"/>
                <w:color w:val="auto"/>
              </w:rPr>
            </w:pPr>
          </w:p>
        </w:tc>
        <w:tc>
          <w:tcPr>
            <w:tcW w:w="4200" w:type="dxa"/>
            <w:vAlign w:val="bottom"/>
            <w:gridSpan w:val="2"/>
            <w:vMerge w:val="restart"/>
          </w:tcPr>
          <w:p>
            <w:pPr>
              <w:ind w:left="1460"/>
              <w:spacing w:after="0"/>
              <w:rPr>
                <w:sz w:val="20"/>
                <w:szCs w:val="20"/>
                <w:color w:val="auto"/>
              </w:rPr>
            </w:pPr>
            <w:r>
              <w:rPr>
                <w:rFonts w:ascii="Arial" w:cs="Arial" w:eastAsia="Arial" w:hAnsi="Arial"/>
                <w:sz w:val="14"/>
                <w:szCs w:val="14"/>
                <w:b w:val="1"/>
                <w:bCs w:val="1"/>
                <w:color w:val="auto"/>
              </w:rPr>
              <w:t>Investment Focus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8"/>
              </w:rPr>
              <w:t>Gross Assets</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80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9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200" w:type="dxa"/>
            <w:vAlign w:val="bottom"/>
            <w:gridSpan w:val="2"/>
            <w:vMerge w:val="continue"/>
          </w:tcPr>
          <w:p>
            <w:pPr>
              <w:spacing w:after="0"/>
              <w:rPr>
                <w:sz w:val="15"/>
                <w:szCs w:val="15"/>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0" w:type="dxa"/>
            <w:vAlign w:val="bottom"/>
          </w:tcPr>
          <w:p>
            <w:pPr>
              <w:spacing w:after="0"/>
              <w:rPr>
                <w:sz w:val="1"/>
                <w:szCs w:val="1"/>
                <w:color w:val="auto"/>
              </w:rPr>
            </w:pPr>
          </w:p>
        </w:tc>
      </w:tr>
      <w:tr>
        <w:trPr>
          <w:trHeight w:val="180"/>
        </w:trPr>
        <w:tc>
          <w:tcPr>
            <w:tcW w:w="3160" w:type="dxa"/>
            <w:vAlign w:val="bottom"/>
            <w:gridSpan w:val="2"/>
          </w:tcPr>
          <w:p>
            <w:pPr>
              <w:spacing w:after="0" w:line="180" w:lineRule="exact"/>
              <w:rPr>
                <w:sz w:val="20"/>
                <w:szCs w:val="20"/>
                <w:color w:val="auto"/>
              </w:rPr>
            </w:pPr>
            <w:r>
              <w:rPr>
                <w:rFonts w:ascii="Arial" w:cs="Arial" w:eastAsia="Arial" w:hAnsi="Arial"/>
                <w:sz w:val="16"/>
                <w:szCs w:val="16"/>
                <w:color w:val="auto"/>
              </w:rPr>
              <w:t>PennantPark Floating Rate Capital Ltd.</w:t>
            </w:r>
          </w:p>
        </w:tc>
        <w:tc>
          <w:tcPr>
            <w:tcW w:w="600" w:type="dxa"/>
            <w:vAlign w:val="bottom"/>
          </w:tcPr>
          <w:p>
            <w:pPr>
              <w:spacing w:after="0"/>
              <w:rPr>
                <w:sz w:val="15"/>
                <w:szCs w:val="15"/>
                <w:color w:val="auto"/>
              </w:rPr>
            </w:pPr>
          </w:p>
        </w:tc>
        <w:tc>
          <w:tcPr>
            <w:tcW w:w="194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Business development</w:t>
            </w:r>
          </w:p>
        </w:tc>
        <w:tc>
          <w:tcPr>
            <w:tcW w:w="220" w:type="dxa"/>
            <w:vAlign w:val="bottom"/>
          </w:tcPr>
          <w:p>
            <w:pPr>
              <w:spacing w:after="0"/>
              <w:rPr>
                <w:sz w:val="15"/>
                <w:szCs w:val="15"/>
                <w:color w:val="auto"/>
              </w:rPr>
            </w:pPr>
          </w:p>
        </w:tc>
        <w:tc>
          <w:tcPr>
            <w:tcW w:w="398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Primarily floating rate loans, with an emphasis on senior</w:t>
            </w:r>
          </w:p>
        </w:tc>
        <w:tc>
          <w:tcPr>
            <w:tcW w:w="220" w:type="dxa"/>
            <w:vAlign w:val="bottom"/>
          </w:tcPr>
          <w:p>
            <w:pPr>
              <w:spacing w:after="0"/>
              <w:rPr>
                <w:sz w:val="15"/>
                <w:szCs w:val="15"/>
                <w:color w:val="auto"/>
              </w:rPr>
            </w:pPr>
          </w:p>
        </w:tc>
        <w:tc>
          <w:tcPr>
            <w:tcW w:w="86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$1,152</w:t>
            </w: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540" w:type="dxa"/>
            <w:vAlign w:val="bottom"/>
            <w:gridSpan w:val="2"/>
          </w:tcPr>
          <w:p>
            <w:pPr>
              <w:ind w:left="600"/>
              <w:spacing w:after="0"/>
              <w:rPr>
                <w:sz w:val="20"/>
                <w:szCs w:val="20"/>
                <w:color w:val="auto"/>
              </w:rPr>
            </w:pPr>
            <w:r>
              <w:rPr>
                <w:rFonts w:ascii="Arial" w:cs="Arial" w:eastAsia="Arial" w:hAnsi="Arial"/>
                <w:sz w:val="16"/>
                <w:szCs w:val="16"/>
                <w:color w:val="auto"/>
              </w:rPr>
              <w:t>company</w:t>
            </w: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secured loans, in middle-market leveraged companies.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3160" w:type="dxa"/>
            <w:vAlign w:val="bottom"/>
            <w:gridSpan w:val="2"/>
          </w:tcPr>
          <w:p>
            <w:pPr>
              <w:spacing w:after="0"/>
              <w:rPr>
                <w:sz w:val="20"/>
                <w:szCs w:val="20"/>
                <w:color w:val="auto"/>
              </w:rPr>
            </w:pPr>
            <w:r>
              <w:rPr>
                <w:rFonts w:ascii="Arial" w:cs="Arial" w:eastAsia="Arial" w:hAnsi="Arial"/>
                <w:sz w:val="16"/>
                <w:szCs w:val="16"/>
                <w:color w:val="auto"/>
              </w:rPr>
              <w:t>PennantPark Senior Secured</w:t>
            </w:r>
          </w:p>
        </w:tc>
        <w:tc>
          <w:tcPr>
            <w:tcW w:w="2540" w:type="dxa"/>
            <w:vAlign w:val="bottom"/>
            <w:gridSpan w:val="2"/>
          </w:tcPr>
          <w:p>
            <w:pPr>
              <w:ind w:left="600"/>
              <w:spacing w:after="0"/>
              <w:rPr>
                <w:sz w:val="20"/>
                <w:szCs w:val="20"/>
                <w:color w:val="auto"/>
              </w:rPr>
            </w:pPr>
            <w:r>
              <w:rPr>
                <w:rFonts w:ascii="Arial" w:cs="Arial" w:eastAsia="Arial" w:hAnsi="Arial"/>
                <w:sz w:val="16"/>
                <w:szCs w:val="16"/>
                <w:color w:val="auto"/>
              </w:rPr>
              <w:t>Joint Venture</w:t>
            </w: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Primarily floating rate loans, with an emphasis on senior</w:t>
            </w:r>
          </w:p>
        </w:tc>
        <w:tc>
          <w:tcPr>
            <w:tcW w:w="860" w:type="dxa"/>
            <w:vAlign w:val="bottom"/>
          </w:tcPr>
          <w:p>
            <w:pPr>
              <w:jc w:val="right"/>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06"/>
        </w:trPr>
        <w:tc>
          <w:tcPr>
            <w:tcW w:w="3160" w:type="dxa"/>
            <w:vAlign w:val="bottom"/>
            <w:gridSpan w:val="2"/>
          </w:tcPr>
          <w:p>
            <w:pPr>
              <w:spacing w:after="0"/>
              <w:rPr>
                <w:sz w:val="20"/>
                <w:szCs w:val="20"/>
                <w:color w:val="auto"/>
              </w:rPr>
            </w:pPr>
            <w:r>
              <w:rPr>
                <w:rFonts w:ascii="Arial" w:cs="Arial" w:eastAsia="Arial" w:hAnsi="Arial"/>
                <w:sz w:val="16"/>
                <w:szCs w:val="16"/>
                <w:color w:val="auto"/>
              </w:rPr>
              <w:t>Loan Fund I LLC</w:t>
            </w:r>
          </w:p>
        </w:tc>
        <w:tc>
          <w:tcPr>
            <w:tcW w:w="6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secured loans, in middle-market leveraged companies.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3160" w:type="dxa"/>
            <w:vAlign w:val="bottom"/>
            <w:gridSpan w:val="2"/>
          </w:tcPr>
          <w:p>
            <w:pPr>
              <w:spacing w:after="0"/>
              <w:rPr>
                <w:sz w:val="20"/>
                <w:szCs w:val="20"/>
                <w:color w:val="auto"/>
              </w:rPr>
            </w:pPr>
            <w:r>
              <w:rPr>
                <w:rFonts w:ascii="Arial" w:cs="Arial" w:eastAsia="Arial" w:hAnsi="Arial"/>
                <w:sz w:val="16"/>
                <w:szCs w:val="16"/>
                <w:color w:val="auto"/>
              </w:rPr>
              <w:t>Other Managed Funds</w:t>
            </w:r>
          </w:p>
        </w:tc>
        <w:tc>
          <w:tcPr>
            <w:tcW w:w="2540" w:type="dxa"/>
            <w:vAlign w:val="bottom"/>
            <w:gridSpan w:val="2"/>
          </w:tcPr>
          <w:p>
            <w:pPr>
              <w:ind w:left="600"/>
              <w:spacing w:after="0"/>
              <w:rPr>
                <w:sz w:val="20"/>
                <w:szCs w:val="20"/>
                <w:color w:val="auto"/>
              </w:rPr>
            </w:pPr>
            <w:r>
              <w:rPr>
                <w:rFonts w:ascii="Arial" w:cs="Arial" w:eastAsia="Arial" w:hAnsi="Arial"/>
                <w:sz w:val="16"/>
                <w:szCs w:val="16"/>
                <w:color w:val="auto"/>
              </w:rPr>
              <w:t>Direct Lending</w:t>
            </w: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Other credit opportunities</w:t>
            </w:r>
          </w:p>
        </w:tc>
        <w:tc>
          <w:tcPr>
            <w:tcW w:w="860" w:type="dxa"/>
            <w:vAlign w:val="bottom"/>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540" w:type="dxa"/>
            <w:vAlign w:val="bottom"/>
            <w:gridSpan w:val="2"/>
          </w:tcPr>
          <w:p>
            <w:pPr>
              <w:ind w:left="600"/>
              <w:spacing w:after="0"/>
              <w:rPr>
                <w:sz w:val="20"/>
                <w:szCs w:val="20"/>
                <w:color w:val="auto"/>
              </w:rPr>
            </w:pPr>
            <w:r>
              <w:rPr>
                <w:rFonts w:ascii="Arial" w:cs="Arial" w:eastAsia="Arial" w:hAnsi="Arial"/>
                <w:sz w:val="16"/>
                <w:szCs w:val="16"/>
                <w:color w:val="auto"/>
              </w:rPr>
              <w:t>Funds</w:t>
            </w:r>
          </w:p>
        </w:tc>
        <w:tc>
          <w:tcPr>
            <w:tcW w:w="2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senior investment professionals as of January 28, 2020. Information as to the beneficial ownerships is based on information furnished to us by such persons. We are not part of a “family of investment companies,” as that term is defined in the 1940 Act.</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3"/>
              </w:rPr>
              <w:t>Dollar Range of the</w:t>
            </w:r>
          </w:p>
        </w:tc>
      </w:tr>
      <w:tr>
        <w:trPr>
          <w:trHeight w:val="148"/>
        </w:trPr>
        <w:tc>
          <w:tcPr>
            <w:tcW w:w="88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Stock of</w:t>
            </w:r>
          </w:p>
        </w:tc>
      </w:tr>
      <w:tr>
        <w:trPr>
          <w:trHeight w:val="148"/>
        </w:trPr>
        <w:tc>
          <w:tcPr>
            <w:tcW w:w="88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PennantPark Investment</w:t>
            </w:r>
          </w:p>
        </w:tc>
      </w:tr>
      <w:tr>
        <w:trPr>
          <w:trHeight w:val="185"/>
        </w:trPr>
        <w:tc>
          <w:tcPr>
            <w:tcW w:w="8820" w:type="dxa"/>
            <w:vAlign w:val="bottom"/>
            <w:tcBorders>
              <w:bottom w:val="single" w:sz="8" w:color="CCEEFF"/>
            </w:tcBorders>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Corporation</w:t>
            </w:r>
            <w:r>
              <w:rPr>
                <w:rFonts w:ascii="Arial" w:cs="Arial" w:eastAsia="Arial" w:hAnsi="Arial"/>
                <w:sz w:val="12"/>
                <w:szCs w:val="12"/>
                <w:b w:val="1"/>
                <w:bCs w:val="1"/>
                <w:color w:val="auto"/>
                <w:w w:val="94"/>
              </w:rPr>
              <w:t>(1)</w:t>
            </w:r>
          </w:p>
        </w:tc>
      </w:tr>
      <w:tr>
        <w:trPr>
          <w:trHeight w:val="196"/>
        </w:trPr>
        <w:tc>
          <w:tcPr>
            <w:tcW w:w="8820" w:type="dxa"/>
            <w:vAlign w:val="bottom"/>
            <w:shd w:val="clear" w:color="auto" w:fill="CCEEFF"/>
          </w:tcPr>
          <w:p>
            <w:pPr>
              <w:spacing w:after="0" w:line="195" w:lineRule="exact"/>
              <w:rPr>
                <w:sz w:val="20"/>
                <w:szCs w:val="20"/>
                <w:color w:val="auto"/>
              </w:rPr>
            </w:pPr>
            <w:r>
              <w:rPr>
                <w:rFonts w:ascii="Arial" w:cs="Arial" w:eastAsia="Arial" w:hAnsi="Arial"/>
                <w:sz w:val="14"/>
                <w:szCs w:val="14"/>
                <w:color w:val="auto"/>
              </w:rPr>
              <w:t>Arthur H. Penn</w:t>
            </w:r>
            <w:r>
              <w:rPr>
                <w:rFonts w:ascii="Arial" w:cs="Arial" w:eastAsia="Arial" w:hAnsi="Arial"/>
                <w:sz w:val="22"/>
                <w:szCs w:val="22"/>
                <w:color w:val="auto"/>
                <w:vertAlign w:val="superscript"/>
              </w:rPr>
              <w:t>(2)</w:t>
            </w: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Over $1,000,000</w:t>
            </w:r>
          </w:p>
        </w:tc>
      </w:tr>
      <w:tr>
        <w:trPr>
          <w:trHeight w:val="203"/>
        </w:trPr>
        <w:tc>
          <w:tcPr>
            <w:tcW w:w="8820" w:type="dxa"/>
            <w:vAlign w:val="bottom"/>
          </w:tcPr>
          <w:p>
            <w:pPr>
              <w:spacing w:after="0"/>
              <w:rPr>
                <w:sz w:val="20"/>
                <w:szCs w:val="20"/>
                <w:color w:val="auto"/>
              </w:rPr>
            </w:pPr>
            <w:r>
              <w:rPr>
                <w:rFonts w:ascii="Arial" w:cs="Arial" w:eastAsia="Arial" w:hAnsi="Arial"/>
                <w:sz w:val="16"/>
                <w:szCs w:val="16"/>
                <w:color w:val="auto"/>
              </w:rPr>
              <w:t>Jose A. Briones</w:t>
            </w:r>
          </w:p>
        </w:tc>
        <w:tc>
          <w:tcPr>
            <w:tcW w:w="2200" w:type="dxa"/>
            <w:vAlign w:val="bottom"/>
          </w:tcPr>
          <w:p>
            <w:pPr>
              <w:jc w:val="right"/>
              <w:spacing w:after="0"/>
              <w:rPr>
                <w:sz w:val="20"/>
                <w:szCs w:val="20"/>
                <w:color w:val="auto"/>
              </w:rPr>
            </w:pPr>
            <w:r>
              <w:rPr>
                <w:rFonts w:ascii="Arial" w:cs="Arial" w:eastAsia="Arial" w:hAnsi="Arial"/>
                <w:sz w:val="16"/>
                <w:szCs w:val="16"/>
                <w:color w:val="auto"/>
              </w:rPr>
              <w:t>$500,001 - $1,000,000</w:t>
            </w:r>
          </w:p>
        </w:tc>
      </w:tr>
      <w:tr>
        <w:trPr>
          <w:trHeight w:val="203"/>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Salvatore Giannetti III</w:t>
            </w: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$500,001 - $1,000,000</w:t>
            </w:r>
          </w:p>
        </w:tc>
      </w:tr>
      <w:tr>
        <w:trPr>
          <w:trHeight w:val="206"/>
        </w:trPr>
        <w:tc>
          <w:tcPr>
            <w:tcW w:w="8820" w:type="dxa"/>
            <w:vAlign w:val="bottom"/>
          </w:tcPr>
          <w:p>
            <w:pPr>
              <w:spacing w:after="0"/>
              <w:rPr>
                <w:sz w:val="20"/>
                <w:szCs w:val="20"/>
                <w:color w:val="auto"/>
              </w:rPr>
            </w:pPr>
            <w:r>
              <w:rPr>
                <w:rFonts w:ascii="Arial" w:cs="Arial" w:eastAsia="Arial" w:hAnsi="Arial"/>
                <w:sz w:val="16"/>
                <w:szCs w:val="16"/>
                <w:color w:val="auto"/>
              </w:rPr>
              <w:t>P. Whitridge Williams, Jr.</w:t>
            </w:r>
          </w:p>
        </w:tc>
        <w:tc>
          <w:tcPr>
            <w:tcW w:w="2200" w:type="dxa"/>
            <w:vAlign w:val="bottom"/>
          </w:tcPr>
          <w:p>
            <w:pPr>
              <w:jc w:val="right"/>
              <w:spacing w:after="0"/>
              <w:rPr>
                <w:sz w:val="20"/>
                <w:szCs w:val="20"/>
                <w:color w:val="auto"/>
              </w:rPr>
            </w:pPr>
            <w:r>
              <w:rPr>
                <w:rFonts w:ascii="Arial" w:cs="Arial" w:eastAsia="Arial" w:hAnsi="Arial"/>
                <w:sz w:val="16"/>
                <w:szCs w:val="16"/>
                <w:color w:val="auto"/>
              </w:rPr>
              <w:t>$500,001 - $1,000,000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7715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680" w:hanging="424"/>
        <w:spacing w:after="0" w:line="291" w:lineRule="auto"/>
        <w:tabs>
          <w:tab w:leader="none" w:pos="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 Beneficial ownership has been determined in accordance with Rule 16a-1(a)(2) promulgated under the Exchange Act.</w:t>
      </w:r>
    </w:p>
    <w:p>
      <w:pPr>
        <w:ind w:left="540" w:hanging="424"/>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 BDC, we generally invest in illiquid securities including debt and equity investments of middle-market companies.</w:t>
      </w:r>
    </w:p>
    <w:p>
      <w:pPr>
        <w:spacing w:after="0" w:line="22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 as described below.</w:t>
      </w:r>
    </w:p>
    <w:p>
      <w:pPr>
        <w:spacing w:after="0" w:line="17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108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1080" w:right="140" w:hanging="532"/>
        <w:spacing w:after="0" w:line="279"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1080" w:right="80" w:hanging="532"/>
        <w:spacing w:after="0" w:line="311"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54" w:lineRule="exact"/>
        <w:rPr>
          <w:rFonts w:ascii="Arial" w:cs="Arial" w:eastAsia="Arial" w:hAnsi="Arial"/>
          <w:sz w:val="16"/>
          <w:szCs w:val="16"/>
          <w:color w:val="auto"/>
        </w:rPr>
      </w:pPr>
    </w:p>
    <w:p>
      <w:pPr>
        <w:ind w:left="1080" w:right="14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To the extent we invest in derivative instruments in the future, such instruments would be valued in accordance with our valuation policy.</w:t>
      </w:r>
    </w:p>
    <w:p>
      <w:pPr>
        <w:spacing w:after="0" w:line="23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Fair value, as defined under the Financial Accounting Standards Board’s Accounting Standards Codification,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52" w:lineRule="exact"/>
        <w:rPr>
          <w:sz w:val="20"/>
          <w:szCs w:val="20"/>
          <w:color w:val="auto"/>
        </w:rPr>
      </w:pPr>
    </w:p>
    <w:p>
      <w:pPr>
        <w:ind w:left="1680" w:right="1180" w:hanging="1120"/>
        <w:spacing w:after="0" w:line="277" w:lineRule="auto"/>
        <w:tabs>
          <w:tab w:leader="none" w:pos="16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680" w:right="440" w:hanging="1120"/>
        <w:spacing w:after="0" w:line="263" w:lineRule="auto"/>
        <w:tabs>
          <w:tab w:leader="none" w:pos="16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6" w:lineRule="exact"/>
        <w:rPr>
          <w:sz w:val="20"/>
          <w:szCs w:val="20"/>
          <w:color w:val="auto"/>
        </w:rPr>
      </w:pPr>
    </w:p>
    <w:p>
      <w:pPr>
        <w:ind w:left="1680" w:right="880" w:hanging="1120"/>
        <w:spacing w:after="0" w:line="277" w:lineRule="auto"/>
        <w:tabs>
          <w:tab w:leader="none" w:pos="16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our Credit Facilities and our SBA debentures are classified as Level 3. Our 2019 Notes were, and our 2024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93"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90" w:lineRule="exact"/>
        <w:rPr>
          <w:rFonts w:ascii="Arial" w:cs="Arial" w:eastAsia="Arial" w:hAnsi="Arial"/>
          <w:sz w:val="18"/>
          <w:szCs w:val="18"/>
          <w:color w:val="auto"/>
        </w:rPr>
      </w:pPr>
    </w:p>
    <w:p>
      <w:pPr>
        <w:ind w:left="1080" w:right="120" w:hanging="424"/>
        <w:spacing w:after="0" w:line="311"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70"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we will only sell shares of our common stock at a price below NAV per share if the following conditions are met:</w:t>
      </w:r>
    </w:p>
    <w:p>
      <w:pPr>
        <w:spacing w:after="0" w:line="131"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130" w:lineRule="exact"/>
        <w:rPr>
          <w:rFonts w:ascii="Arial" w:cs="Arial" w:eastAsia="Arial" w:hAnsi="Arial"/>
          <w:sz w:val="18"/>
          <w:szCs w:val="18"/>
          <w:color w:val="auto"/>
        </w:rPr>
      </w:pPr>
    </w:p>
    <w:p>
      <w:pPr>
        <w:ind w:left="1080" w:hanging="424"/>
        <w:spacing w:after="0" w:line="279"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7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8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40"/>
          </w:cols>
          <w:pgMar w:left="320" w:top="459" w:right="5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left="120" w:right="460" w:firstLine="440"/>
        <w:spacing w:after="0" w:line="279" w:lineRule="auto"/>
        <w:rPr>
          <w:sz w:val="20"/>
          <w:szCs w:val="20"/>
          <w:color w:val="auto"/>
        </w:rPr>
      </w:pPr>
      <w:r>
        <w:rPr>
          <w:rFonts w:ascii="Arial" w:cs="Arial" w:eastAsia="Arial" w:hAnsi="Arial"/>
          <w:sz w:val="17"/>
          <w:szCs w:val="17"/>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7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66"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70"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Generally, we intend to issue new shares to implement the plan, when our shares are trading at a premium to our NAV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92" w:lineRule="exact"/>
        <w:rPr>
          <w:sz w:val="20"/>
          <w:szCs w:val="20"/>
          <w:color w:val="auto"/>
        </w:rPr>
      </w:pPr>
    </w:p>
    <w:p>
      <w:pPr>
        <w:ind w:left="120" w:right="340" w:firstLine="440"/>
        <w:spacing w:after="0" w:line="301"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57"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Stockholders who receive dividends and other distributions in the form of stock are generally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8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6201 15</w:t>
      </w:r>
      <w:r>
        <w:rPr>
          <w:rFonts w:ascii="Arial" w:cs="Arial" w:eastAsia="Arial" w:hAnsi="Arial"/>
          <w:sz w:val="15"/>
          <w:szCs w:val="15"/>
          <w:color w:val="auto"/>
        </w:rPr>
        <w:t>th</w:t>
      </w:r>
      <w:r>
        <w:rPr>
          <w:rFonts w:ascii="Arial" w:cs="Arial" w:eastAsia="Arial" w:hAnsi="Arial"/>
          <w:sz w:val="18"/>
          <w:szCs w:val="18"/>
          <w:color w:val="auto"/>
        </w:rPr>
        <w:t xml:space="preserve"> Avenue, 3</w:t>
      </w:r>
      <w:r>
        <w:rPr>
          <w:rFonts w:ascii="Arial" w:cs="Arial" w:eastAsia="Arial" w:hAnsi="Arial"/>
          <w:sz w:val="15"/>
          <w:szCs w:val="15"/>
          <w:color w:val="auto"/>
        </w:rPr>
        <w:t>rd</w:t>
      </w:r>
      <w:r>
        <w:rPr>
          <w:rFonts w:ascii="Arial" w:cs="Arial" w:eastAsia="Arial" w:hAnsi="Arial"/>
          <w:sz w:val="18"/>
          <w:szCs w:val="18"/>
          <w:color w:val="auto"/>
        </w:rPr>
        <w:t xml:space="preserve"> Floor, Brooklyn, New York 11219, or by the plan administrator’s Interactive Voice Response System at 1-800-278-4353.</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 of December 31, 2019, our authorized capital stock consisted of 100,000,000 shares of stock, par value $0.001 per share, all of which is classified as common stock. Our common stock is quoted on The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8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last reported closing market price of our common stock on January 28, 2020 was $6.58 per share. As of December 31, 2019, we had 9 stockholders of record.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our outstanding classes of securities as of December 31, 2019:</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5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Amount</w:t>
            </w: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Amount Held by</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1"/>
              </w:rPr>
              <w:t>Title of Class</w:t>
            </w:r>
          </w:p>
        </w:tc>
        <w:tc>
          <w:tcPr>
            <w:tcW w:w="5320" w:type="dxa"/>
            <w:vAlign w:val="bottom"/>
            <w:vMerge w:val="restart"/>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Us or for Our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vMerge w:val="continue"/>
          </w:tcPr>
          <w:p>
            <w:pPr>
              <w:spacing w:after="0"/>
              <w:rPr>
                <w:sz w:val="15"/>
                <w:szCs w:val="15"/>
                <w:color w:val="auto"/>
              </w:rPr>
            </w:pPr>
          </w:p>
        </w:tc>
        <w:tc>
          <w:tcPr>
            <w:tcW w:w="5320" w:type="dxa"/>
            <w:vAlign w:val="bottom"/>
            <w:vMerge w:val="continue"/>
          </w:tcPr>
          <w:p>
            <w:pPr>
              <w:spacing w:after="0"/>
              <w:rPr>
                <w:sz w:val="15"/>
                <w:szCs w:val="15"/>
                <w:color w:val="auto"/>
              </w:rPr>
            </w:pPr>
          </w:p>
        </w:tc>
        <w:tc>
          <w:tcPr>
            <w:tcW w:w="150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5"/>
              </w:rPr>
              <w:t>Authorized</w:t>
            </w:r>
          </w:p>
        </w:tc>
        <w:tc>
          <w:tcPr>
            <w:tcW w:w="156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2"/>
              </w:rPr>
              <w:t>Account</w:t>
            </w:r>
          </w:p>
        </w:tc>
        <w:tc>
          <w:tcPr>
            <w:tcW w:w="92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3"/>
        </w:trPr>
        <w:tc>
          <w:tcPr>
            <w:tcW w:w="6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 par value $0.001 per share</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100,000,000</w:t>
            </w:r>
          </w:p>
        </w:tc>
        <w:tc>
          <w:tcPr>
            <w:tcW w:w="5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760"/>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67,045,105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jc w:val="both"/>
        <w:ind w:left="120" w:right="480" w:firstLine="440"/>
        <w:spacing w:after="0" w:line="263" w:lineRule="auto"/>
        <w:rPr>
          <w:sz w:val="20"/>
          <w:szCs w:val="20"/>
          <w:color w:val="auto"/>
        </w:rPr>
      </w:pPr>
      <w:r>
        <w:rPr>
          <w:rFonts w:ascii="Arial" w:cs="Arial" w:eastAsia="Arial" w:hAnsi="Arial"/>
          <w:sz w:val="18"/>
          <w:szCs w:val="18"/>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9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85" w:lineRule="exact"/>
        <w:rPr>
          <w:sz w:val="20"/>
          <w:szCs w:val="20"/>
          <w:color w:val="auto"/>
        </w:rPr>
      </w:pPr>
    </w:p>
    <w:p>
      <w:pPr>
        <w:ind w:left="120" w:right="480" w:firstLine="440"/>
        <w:spacing w:after="0" w:line="342" w:lineRule="auto"/>
        <w:rPr>
          <w:sz w:val="20"/>
          <w:szCs w:val="20"/>
          <w:color w:val="auto"/>
        </w:rPr>
      </w:pPr>
      <w:r>
        <w:rPr>
          <w:rFonts w:ascii="Arial" w:cs="Arial" w:eastAsia="Arial" w:hAnsi="Arial"/>
          <w:sz w:val="16"/>
          <w:szCs w:val="16"/>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2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Our board of directors is divided into three classes of directors serving staggered three-year terms. The terms of the first, second and third classes will expire at the annual meeting of stockholders held in 2020, 2021 and 2022,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78"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117"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6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17" w:lineRule="exact"/>
        <w:rPr>
          <w:sz w:val="20"/>
          <w:szCs w:val="20"/>
          <w:color w:val="auto"/>
        </w:rPr>
      </w:pPr>
    </w:p>
    <w:p>
      <w:pPr>
        <w:ind w:left="120" w:right="700" w:firstLine="440"/>
        <w:spacing w:after="0" w:line="308" w:lineRule="auto"/>
        <w:rPr>
          <w:sz w:val="20"/>
          <w:szCs w:val="20"/>
          <w:color w:val="auto"/>
        </w:rPr>
      </w:pPr>
      <w:r>
        <w:rPr>
          <w:rFonts w:ascii="Arial" w:cs="Arial" w:eastAsia="Arial" w:hAnsi="Arial"/>
          <w:sz w:val="17"/>
          <w:szCs w:val="17"/>
          <w:color w:val="auto"/>
        </w:rPr>
        <w:t>Except with respect to appraisal rights arising in connection with the Control Share Acquisition Act discussed below, as permitted by the Maryland General Corporation Law, our charter provides that stockholders will not be entitled to exercise appraisal rights.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bylaws contain a provision exempting from the Control Share Acquisition Act any and all acquisitions by any person of shares of our stock.</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There can be no assurance that such provision will not be amended or eliminated at any time in the future to the extent permitted by the 1940 Act.</w:t>
      </w:r>
    </w:p>
    <w:p>
      <w:pPr>
        <w:spacing w:after="0" w:line="22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98" w:lineRule="exact"/>
        <w:rPr>
          <w:sz w:val="20"/>
          <w:szCs w:val="20"/>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control shares, subject to certain exceptions.</w:t>
      </w:r>
    </w:p>
    <w:p>
      <w:pPr>
        <w:spacing w:after="0" w:line="149"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440" w:firstLine="440"/>
        <w:spacing w:after="0" w:line="259"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2" w:lineRule="exact"/>
        <w:rPr>
          <w:sz w:val="20"/>
          <w:szCs w:val="20"/>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10% or more of the voting power of the corporation’s shares; or</w:t>
      </w:r>
    </w:p>
    <w:p>
      <w:pPr>
        <w:spacing w:after="0" w:line="130" w:lineRule="exact"/>
        <w:rPr>
          <w:rFonts w:ascii="Arial" w:cs="Arial" w:eastAsia="Arial" w:hAnsi="Arial"/>
          <w:sz w:val="18"/>
          <w:szCs w:val="18"/>
          <w:color w:val="auto"/>
        </w:rPr>
      </w:pPr>
    </w:p>
    <w:p>
      <w:pPr>
        <w:ind w:left="1080" w:right="420" w:hanging="424"/>
        <w:spacing w:after="0" w:line="342"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24" w:lineRule="exact"/>
        <w:rPr>
          <w:sz w:val="20"/>
          <w:szCs w:val="20"/>
          <w:color w:val="auto"/>
        </w:rPr>
      </w:pPr>
    </w:p>
    <w:p>
      <w:pPr>
        <w:jc w:val="both"/>
        <w:ind w:left="120" w:right="300" w:firstLine="440"/>
        <w:spacing w:after="0" w:line="286" w:lineRule="auto"/>
        <w:rPr>
          <w:sz w:val="20"/>
          <w:szCs w:val="20"/>
          <w:color w:val="auto"/>
        </w:rPr>
      </w:pPr>
      <w:r>
        <w:rPr>
          <w:rFonts w:ascii="Arial" w:cs="Arial" w:eastAsia="Arial" w:hAnsi="Arial"/>
          <w:sz w:val="17"/>
          <w:szCs w:val="17"/>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6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76"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84"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2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95" w:lineRule="exact"/>
        <w:rPr>
          <w:sz w:val="20"/>
          <w:szCs w:val="20"/>
          <w:color w:val="auto"/>
        </w:rPr>
      </w:pPr>
    </w:p>
    <w:p>
      <w:pPr>
        <w:ind w:left="120" w:firstLine="440"/>
        <w:spacing w:after="0" w:line="264"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8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76" w:lineRule="exact"/>
        <w:rPr>
          <w:sz w:val="20"/>
          <w:szCs w:val="20"/>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rights and preferences, if any, of holders of shares of such series upon our liquidation, dissolution or winding up of our affairs;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7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9"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firstLine="440"/>
        <w:spacing w:after="0" w:line="301"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applicable prospectus supplement would describe the following terms of subscription rights in respect of which this prospectus is being delivered:</w:t>
      </w:r>
    </w:p>
    <w:p>
      <w:pPr>
        <w:spacing w:after="0" w:line="76" w:lineRule="exact"/>
        <w:rPr>
          <w:sz w:val="20"/>
          <w:szCs w:val="20"/>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applicable, a discussion of the material U.S. federal income tax considerations applicable to the issuance or exercise of such subscription rights;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Subscription Rights</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80"/>
          </w:cols>
          <w:pgMar w:left="320" w:top="459"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80"/>
          </w:cols>
          <w:pgMar w:left="320" w:top="459" w:right="4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ind w:left="120" w:right="440" w:firstLine="440"/>
        <w:spacing w:after="0" w:line="291" w:lineRule="auto"/>
        <w:rPr>
          <w:sz w:val="20"/>
          <w:szCs w:val="20"/>
          <w:color w:val="auto"/>
        </w:rPr>
      </w:pPr>
      <w:r>
        <w:rPr>
          <w:rFonts w:ascii="Arial" w:cs="Arial" w:eastAsia="Arial" w:hAnsi="Arial"/>
          <w:sz w:val="16"/>
          <w:szCs w:val="16"/>
          <w:color w:val="auto"/>
        </w:rPr>
        <w:t>In September 2019, we issued $75.0 million in aggregate principal amount of 2024 Notes, for net proceeds of $72.3 million after deducting underwriting discounts and offering costs. Interest on the 2024 Notes is paid quarterly on January 15, April 15, July 15 and October 15, at a rate of</w:t>
      </w:r>
    </w:p>
    <w:p>
      <w:pPr>
        <w:ind w:left="120" w:right="60"/>
        <w:spacing w:after="0" w:line="253" w:lineRule="auto"/>
        <w:rPr>
          <w:sz w:val="20"/>
          <w:szCs w:val="20"/>
          <w:color w:val="auto"/>
        </w:rPr>
      </w:pPr>
      <w:r>
        <w:rPr>
          <w:rFonts w:ascii="Arial" w:cs="Arial" w:eastAsia="Arial" w:hAnsi="Arial"/>
          <w:sz w:val="18"/>
          <w:szCs w:val="18"/>
          <w:color w:val="auto"/>
        </w:rPr>
        <w:t>5.50% per year, commencing January 15, 2020. The 2024 Notes mature on October 15, 2024. The 2024 Notes are direct unsecured obligations and rank pari passu in right of payment with our existing and future unsecured unsubordinated indebtedness. The 2024 Notes are structurally subordinated to all existing and future indebtedness and other obligations of any of our subsidiaries, financing vehicles, or similar facilities. The 2024 Notes may be redeemed in whole or in part at our option on or after October 15, 2021 at a redemption price of 100% of the outstanding principal amount of the 2024 Notes plus accrued and unpaid interest.</w:t>
      </w:r>
    </w:p>
    <w:p>
      <w:pPr>
        <w:spacing w:after="0" w:line="19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October 2019, we issued an additional $11.3 million in aggregate principal of the 2024 Notes at par value, generating net proceeds of $10.9 million after underwriting discounts and offering expenses payable by us, as a result of the underwriters’ full exercise of the option to purchase additional 2024 Notes we granted to them in connection with the offering that closed in September 2019. In total, the Company has issued $86.3 of 2024 Notes at par value, generating net proceeds of $83.2 million.</w:t>
      </w:r>
    </w:p>
    <w:p>
      <w:pPr>
        <w:spacing w:after="0" w:line="187"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In September 2014, we issued $250.0 million in aggregate principal amount of 2019 Notes. Interest on the 2019 Notes accrued at a rate of 4.50% per year and was paid semi-annually. The 2019 Notes were prepaid at 100% of the principal amount, plus accrued and unpaid interest through the payment date of March 4, 2019, as well as a make-whole premium. As of September 30, 2019 and 2018, we had zero and $250.0 million in aggregate principal amount of 2019 Notes outstanding, respectively. The 2019 Notes had been scheduled to mature on October 1, 2019. The 2019 Notes were general, unsecured obligations and ranked equal in right of payment with all of our existing and future senior unsecured indebtedness. The 2019 Notes were structurally subordinated to our SBA debentures and the assets pledged or secured under our SunTrust Credit Facility.</w:t>
      </w:r>
    </w:p>
    <w:p>
      <w:pPr>
        <w:spacing w:after="0" w:line="164"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for more information. Second, the trustee performs certain administrative duties for us, such as sending interest and principal payments to holders.</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See “Available Information” for information on how to obtain a copy of the indenture.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prospectus supplement, which will accompany this prospectus, will describe the particular series of debt securities being offered by including:</w:t>
      </w:r>
    </w:p>
    <w:p>
      <w:pPr>
        <w:spacing w:after="0" w:line="154" w:lineRule="exact"/>
        <w:rPr>
          <w:sz w:val="20"/>
          <w:szCs w:val="20"/>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City of New York, of payment, transfer, conversion and/or exchange of the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special federal income tax implications, including, if applicable, federal income tax considerations relating to OID;</w:t>
      </w:r>
    </w:p>
    <w:p>
      <w:pPr>
        <w:spacing w:after="0" w:line="130"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debt securities may be secured or unsecured obligations. Under the provisions of the 1940 Act, we are permitted, as a BDC, to issue debt only in amounts such that we are in compliance with our asset coverage ratio, as defined in the 1940 Act, excluding the SBA debentures due to SEC exemptive relief granted in June 2011. Unless the prospectus supplement states otherwise, principal (and premium, if any) and interest, if any, will be paid by us in immediately available funds.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The indenture provides that any debt securities proposed to be sold under this prospectus and any prospectus supplement, or offered debt securities, and any debt securities issuable upon the exercise of warrants or upon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conversion or exchange of other offered securities, or underlying debt securities may be issued under the indenture in one or more series.</w:t>
      </w:r>
    </w:p>
    <w:p>
      <w:pPr>
        <w:spacing w:after="0" w:line="225"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7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indenture does not contain any provisions that give you protection in the event we issue a large amount of debt or we are acquired by another entity.</w:t>
      </w:r>
    </w:p>
    <w:p>
      <w:pPr>
        <w:spacing w:after="0" w:line="170"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A prospectus supplement will contain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4"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440"/>
        <w:spacing w:after="0" w:line="296"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Book-Entry Holders</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7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76"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Street Name Holders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Legal Holders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76"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76" w:lineRule="exact"/>
        <w:rPr>
          <w:sz w:val="20"/>
          <w:szCs w:val="20"/>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2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11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131" w:lineRule="exact"/>
        <w:rPr>
          <w:sz w:val="20"/>
          <w:szCs w:val="20"/>
          <w:color w:val="auto"/>
        </w:rPr>
      </w:pPr>
    </w:p>
    <w:p>
      <w:pPr>
        <w:ind w:left="1080" w:right="24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75" w:lineRule="exact"/>
        <w:rPr>
          <w:rFonts w:ascii="Arial" w:cs="Arial" w:eastAsia="Arial" w:hAnsi="Arial"/>
          <w:sz w:val="18"/>
          <w:szCs w:val="18"/>
          <w:color w:val="auto"/>
        </w:rPr>
      </w:pPr>
    </w:p>
    <w:p>
      <w:pPr>
        <w:ind w:left="1080" w:right="480" w:hanging="424"/>
        <w:spacing w:after="0" w:line="308" w:lineRule="auto"/>
        <w:tabs>
          <w:tab w:leader="none" w:pos="10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1" w:lineRule="exact"/>
        <w:rPr>
          <w:rFonts w:ascii="Arial" w:cs="Arial" w:eastAsia="Arial" w:hAnsi="Arial"/>
          <w:sz w:val="17"/>
          <w:szCs w:val="17"/>
          <w:color w:val="auto"/>
        </w:rPr>
      </w:pPr>
    </w:p>
    <w:p>
      <w:pPr>
        <w:jc w:val="both"/>
        <w:ind w:left="1080" w:right="40" w:hanging="424"/>
        <w:spacing w:after="0" w:line="286" w:lineRule="auto"/>
        <w:tabs>
          <w:tab w:leader="none" w:pos="10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70"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75" w:lineRule="exact"/>
        <w:rPr>
          <w:rFonts w:ascii="Arial" w:cs="Arial" w:eastAsia="Arial" w:hAnsi="Arial"/>
          <w:sz w:val="18"/>
          <w:szCs w:val="18"/>
          <w:color w:val="auto"/>
        </w:rPr>
      </w:pPr>
    </w:p>
    <w:p>
      <w:pPr>
        <w:jc w:val="both"/>
        <w:ind w:left="1080" w:right="460" w:hanging="424"/>
        <w:spacing w:after="0" w:line="26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89"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89"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131" w:lineRule="exact"/>
        <w:rPr>
          <w:sz w:val="20"/>
          <w:szCs w:val="20"/>
          <w:color w:val="auto"/>
        </w:rPr>
      </w:pPr>
    </w:p>
    <w:p>
      <w:pPr>
        <w:ind w:left="1080" w:right="14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Payments on Global Securities</w:t>
      </w:r>
    </w:p>
    <w:p>
      <w:pPr>
        <w:spacing w:after="0" w:line="117"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Payments on Certificated Securities</w:t>
      </w:r>
    </w:p>
    <w:p>
      <w:pPr>
        <w:spacing w:after="0" w:line="117" w:lineRule="exact"/>
        <w:rPr>
          <w:sz w:val="20"/>
          <w:szCs w:val="20"/>
          <w:color w:val="auto"/>
        </w:rPr>
      </w:pPr>
    </w:p>
    <w:p>
      <w:pPr>
        <w:jc w:val="both"/>
        <w:ind w:left="120" w:right="60" w:firstLine="440"/>
        <w:spacing w:after="0" w:line="279" w:lineRule="auto"/>
        <w:rPr>
          <w:sz w:val="20"/>
          <w:szCs w:val="20"/>
          <w:color w:val="auto"/>
        </w:rPr>
      </w:pPr>
      <w:r>
        <w:rPr>
          <w:rFonts w:ascii="Arial" w:cs="Arial" w:eastAsia="Arial" w:hAnsi="Arial"/>
          <w:sz w:val="17"/>
          <w:szCs w:val="17"/>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7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 When Offices Are Closed</w:t>
      </w:r>
    </w:p>
    <w:p>
      <w:pPr>
        <w:spacing w:after="0" w:line="117"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5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they will receive payments on their debt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131" w:lineRule="exact"/>
        <w:rPr>
          <w:sz w:val="20"/>
          <w:szCs w:val="20"/>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 including certain defaults by any of our significant subsidiaries.</w:t>
      </w:r>
    </w:p>
    <w:p>
      <w:pPr>
        <w:spacing w:after="0" w:line="170"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11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5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40"/>
          </w:cols>
          <w:pgMar w:left="320" w:top="459" w:right="5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130"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However, you are entitled at any time to bring a lawsuit for the payment of money due on your debt securities on or after the due date.</w:t>
      </w:r>
    </w:p>
    <w:p>
      <w:pPr>
        <w:spacing w:after="0" w:line="233"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Waiver of Default</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29" w:lineRule="exact"/>
        <w:rPr>
          <w:sz w:val="20"/>
          <w:szCs w:val="20"/>
          <w:color w:val="auto"/>
        </w:rPr>
      </w:pPr>
    </w:p>
    <w:p>
      <w:pPr>
        <w:ind w:left="1080" w:right="26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we must satisfy any other requirements specified in the prospectus supplement relating to a particular series of debt securities.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Requiring Your Approval</w:t>
      </w:r>
    </w:p>
    <w:p>
      <w:pPr>
        <w:spacing w:after="0" w:line="11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First, there are changes that we cannot make to your debt securities without your specific approval. The following is a list of those types of changes:</w:t>
      </w:r>
    </w:p>
    <w:p>
      <w:pPr>
        <w:spacing w:after="0" w:line="76" w:lineRule="exact"/>
        <w:rPr>
          <w:sz w:val="20"/>
          <w:szCs w:val="20"/>
          <w:color w:val="auto"/>
        </w:rPr>
      </w:pPr>
    </w:p>
    <w:p>
      <w:pPr>
        <w:ind w:left="5540" w:right="4660" w:hanging="4884"/>
        <w:spacing w:after="0" w:line="490" w:lineRule="auto"/>
        <w:tabs>
          <w:tab w:leader="none" w:pos="1094" w:val="left"/>
        </w:tabs>
        <w:numPr>
          <w:ilvl w:val="0"/>
          <w:numId w:val="62"/>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interest on a debt security; 52</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Not Requiring Approval</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Requiring Majority Approval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1080" w:right="16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the change affects only one series of debt securities, it must be approved by the holders of a majority in principal amount of that series; and</w:t>
      </w:r>
    </w:p>
    <w:p>
      <w:pPr>
        <w:spacing w:after="0" w:line="3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Further Details Concerning Voting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080" w:right="68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OID securities, we will use the principal amount that would be due and payable on the voting date if the maturity of these debt securities were accelerated to that date because of a default;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74" w:lineRule="exact"/>
        <w:rPr>
          <w:sz w:val="20"/>
          <w:szCs w:val="20"/>
          <w:color w:val="auto"/>
        </w:rPr>
      </w:pPr>
    </w:p>
    <w:p>
      <w:pPr>
        <w:ind w:left="120" w:right="120" w:firstLine="440"/>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 Subordination” below. In order to achieve covenant defeasance, we must do the following:</w:t>
      </w:r>
    </w:p>
    <w:p>
      <w:pPr>
        <w:spacing w:after="0" w:line="82" w:lineRule="exact"/>
        <w:rPr>
          <w:sz w:val="20"/>
          <w:szCs w:val="20"/>
          <w:color w:val="auto"/>
        </w:rPr>
      </w:pPr>
    </w:p>
    <w:p>
      <w:pPr>
        <w:ind w:left="1080" w:right="80" w:hanging="424"/>
        <w:spacing w:after="0" w:line="286" w:lineRule="auto"/>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70" w:lineRule="exact"/>
        <w:rPr>
          <w:rFonts w:ascii="Arial" w:cs="Arial" w:eastAsia="Arial" w:hAnsi="Arial"/>
          <w:sz w:val="17"/>
          <w:szCs w:val="17"/>
          <w:color w:val="auto"/>
        </w:rPr>
      </w:pPr>
    </w:p>
    <w:p>
      <w:pPr>
        <w:ind w:left="1080" w:right="60" w:hanging="424"/>
        <w:spacing w:after="0" w:line="263"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84"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2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Full Defeasance</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1080" w:right="100" w:hanging="424"/>
        <w:spacing w:after="0" w:line="286"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1080" w:right="60" w:hanging="424"/>
        <w:spacing w:after="0" w:line="273"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83" w:lineRule="exact"/>
        <w:rPr>
          <w:rFonts w:ascii="Arial" w:cs="Arial" w:eastAsia="Arial" w:hAnsi="Arial"/>
          <w:sz w:val="17"/>
          <w:szCs w:val="17"/>
          <w:color w:val="auto"/>
        </w:rPr>
      </w:pPr>
    </w:p>
    <w:p>
      <w:pPr>
        <w:ind w:left="1080" w:right="360" w:hanging="424"/>
        <w:spacing w:after="0" w:line="308"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46"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131" w:lineRule="exact"/>
        <w:rPr>
          <w:sz w:val="20"/>
          <w:szCs w:val="20"/>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unless we indicate otherwise in the prospectus supplement, in denominations of $1,000 and amounts that are multiples of $1,000.</w:t>
      </w:r>
    </w:p>
    <w:p>
      <w:pPr>
        <w:spacing w:after="0" w:line="23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4"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8"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9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9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080" w:right="360" w:hanging="424"/>
        <w:spacing w:after="0" w:line="279" w:lineRule="auto"/>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If this prospectus is being delivered in connection with the offering of a series of indenture securities denominated as subordinated debt securities, the prospectus supplement will set forth the approximate amount of our Senior Indebtedness outstanding as of a recent date.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American Stock Transfer &amp; Trust Company, LLC is the trustee under the indenture.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left="120" w:right="460" w:firstLine="440"/>
        <w:spacing w:after="0" w:line="259" w:lineRule="auto"/>
        <w:rPr>
          <w:sz w:val="20"/>
          <w:szCs w:val="20"/>
          <w:color w:val="auto"/>
        </w:rPr>
      </w:pPr>
      <w:r>
        <w:rPr>
          <w:rFonts w:ascii="Arial" w:cs="Arial" w:eastAsia="Arial" w:hAnsi="Arial"/>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80"/>
          </w:cols>
          <w:pgMar w:left="320" w:top="459" w:right="4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OUR UNITS</w:t>
      </w:r>
    </w:p>
    <w:p>
      <w:pPr>
        <w:spacing w:after="0" w:line="22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As specified in the applicable prospectus supplement, we may issue units comprised of one or more of the other securities described in this prospectus in any combination. Each unit may also include securities issued by the U.S. Treasury. Each unit will be issued so that the holder of the unit is also the holder of each security included in the unit. Thus, the holder of a unit will have the rights and obligations of a holder of each included security. The prospectus supplement will describe:</w:t>
      </w:r>
    </w:p>
    <w:p>
      <w:pPr>
        <w:spacing w:after="0" w:line="92" w:lineRule="exact"/>
        <w:rPr>
          <w:sz w:val="20"/>
          <w:szCs w:val="20"/>
          <w:color w:val="auto"/>
        </w:rPr>
      </w:pPr>
    </w:p>
    <w:p>
      <w:pPr>
        <w:ind w:left="1080" w:right="420" w:hanging="424"/>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the securities comprising the units may be held or transferred separately;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333"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If a unit includes a share of common stock, the public offering price for the unit will reflect a price per share of common stock that equals or exceeds our then current NAV per share, unless the requirements of Section 63 of the 1940 Act have been satisfied. Section 63 permits us to sell shares of common stock below our then current NAV per share if: (1) the majority of our board of directors approves the offering as being in the best interests of us and our stockholders, (2) a majority of our stockholders (including a majority of our stockholders who are not affiliated persons of us) have approved the issuance of common stock below the then current NAV per share in the 12 months preceding the offering and (3) the offering price closely approximates the market value of the common stock. If the requirements of Section 63 of the 1940 Act are met, the price per share of common stock included in a unit may be below the Company’s then current NAV per share. See “Sales of Common Stock Below Net Asset Value” for more information.</w:t>
      </w:r>
    </w:p>
    <w:p>
      <w:pPr>
        <w:spacing w:after="0" w:line="192" w:lineRule="exact"/>
        <w:rPr>
          <w:sz w:val="20"/>
          <w:szCs w:val="20"/>
          <w:color w:val="auto"/>
        </w:rPr>
      </w:pPr>
    </w:p>
    <w:p>
      <w:pPr>
        <w:ind w:left="120" w:right="400" w:firstLine="440"/>
        <w:spacing w:after="0" w:line="291" w:lineRule="auto"/>
        <w:rPr>
          <w:sz w:val="20"/>
          <w:szCs w:val="20"/>
          <w:color w:val="auto"/>
        </w:rPr>
      </w:pPr>
      <w:r>
        <w:rPr>
          <w:rFonts w:ascii="Arial" w:cs="Arial" w:eastAsia="Arial" w:hAnsi="Arial"/>
          <w:sz w:val="16"/>
          <w:szCs w:val="16"/>
          <w:color w:val="auto"/>
        </w:rPr>
        <w:t>Units may also include warrants to purchase shares of our common stock in the future. We may generally only offer such warrants if (1) the warrants expire by their terms within ten years, (2) the exercise price is not less than the market value of our common stock at the date of issuance,</w:t>
      </w:r>
    </w:p>
    <w:p>
      <w:pPr>
        <w:ind w:left="120" w:right="20" w:hanging="4"/>
        <w:spacing w:after="0" w:line="252" w:lineRule="auto"/>
        <w:tabs>
          <w:tab w:leader="none" w:pos="37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exercise prices is not less than the then current NAV per share of our common stock (unless the Section 63 requirements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have been publicly distributed. The 1940 Act also provides that the amount of our voting securities that would result from the exercise of all outstanding warrants at the time of issuance may not exceed 25% of our outstanding voting securities.</w:t>
      </w:r>
    </w:p>
    <w:p>
      <w:pPr>
        <w:spacing w:after="0" w:line="194"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Units may also include subscription rights to purchase shares of our common stock. We will not offer transferable subscription rights in a unit providing for subscription at a price below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w:t>
      </w:r>
    </w:p>
    <w:p>
      <w:pPr>
        <w:spacing w:after="0" w:line="17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Units may also include debt securities. If such debt securities are convertible into shares of our common stock, the exercise price for such conversion will not be less than the NAV per share of our common stock at the time of issuance of the unit (unless the Section 63 requirements are met).</w:t>
      </w:r>
    </w:p>
    <w:p>
      <w:pPr>
        <w:spacing w:after="0" w:line="12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descriptions of the units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applicable agreements, forms of which have been or will be filed as exhibits to the registration statement of which this prospectus forms a part.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80"/>
          </w:cols>
          <w:pgMar w:left="320" w:top="459" w:right="4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22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in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7"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Election to be Taxed as a RIC</w:t>
      </w:r>
    </w:p>
    <w:p>
      <w:pPr>
        <w:spacing w:after="0" w:line="121"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U.S.federal income tax purposes to our stockholders of an amount generally at least equal to 90% of the sum of our ordinary income and realized net short-term capital gains in excess of realized net long-term capital losses, if any, or investment company taxable income, and determined without regard to any deduction for dividends paid, out of the assets legally available for distribution, or the Annual Distribution Requirement.</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131" w:lineRule="exact"/>
        <w:rPr>
          <w:sz w:val="20"/>
          <w:szCs w:val="20"/>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130" w:lineRule="exact"/>
        <w:rPr>
          <w:rFonts w:ascii="Arial" w:cs="Arial" w:eastAsia="Arial" w:hAnsi="Arial"/>
          <w:sz w:val="18"/>
          <w:szCs w:val="18"/>
          <w:color w:val="auto"/>
        </w:rPr>
      </w:pPr>
    </w:p>
    <w:p>
      <w:pPr>
        <w:ind w:left="1540" w:right="200" w:hanging="439"/>
        <w:spacing w:after="0" w:line="263" w:lineRule="auto"/>
        <w:tabs>
          <w:tab w:leader="none" w:pos="15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9" w:lineRule="exact"/>
        <w:rPr>
          <w:rFonts w:ascii="Arial" w:cs="Arial" w:eastAsia="Arial" w:hAnsi="Arial"/>
          <w:sz w:val="18"/>
          <w:szCs w:val="18"/>
          <w:color w:val="auto"/>
        </w:rPr>
      </w:pPr>
    </w:p>
    <w:p>
      <w:pPr>
        <w:jc w:val="both"/>
        <w:ind w:left="1540" w:hanging="439"/>
        <w:spacing w:after="0" w:line="286" w:lineRule="auto"/>
        <w:tabs>
          <w:tab w:leader="none" w:pos="1540" w:val="left"/>
        </w:tabs>
        <w:numPr>
          <w:ilvl w:val="1"/>
          <w:numId w:val="74"/>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6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treated as a RIC, in order to provide us with additional liquidity.</w:t>
      </w:r>
    </w:p>
    <w:p>
      <w:pPr>
        <w:spacing w:after="0" w:line="192"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76"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Subsidiaries, which are classified as corporations for U.S. federal income tax</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purposes. The Taxable Subsidiaries generally will be subject to corporate income taxes on their earnings, which ultimately will reduce our return on such income and fees.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as a RIC</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have distributed)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deemed to have been distributed) as dividends for U.S. federal income tax purposes to our stockholders.</w:t>
      </w:r>
    </w:p>
    <w:p>
      <w:pPr>
        <w:spacing w:after="0" w:line="19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7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76" w:lineRule="exact"/>
        <w:rPr>
          <w:sz w:val="20"/>
          <w:szCs w:val="20"/>
          <w:color w:val="auto"/>
        </w:rPr>
      </w:pPr>
    </w:p>
    <w:p>
      <w:pPr>
        <w:ind w:left="120" w:right="600" w:firstLine="440"/>
        <w:spacing w:after="0" w:line="263" w:lineRule="auto"/>
        <w:rPr>
          <w:sz w:val="20"/>
          <w:szCs w:val="20"/>
          <w:color w:val="auto"/>
        </w:rPr>
      </w:pPr>
      <w:r>
        <w:rPr>
          <w:rFonts w:ascii="Arial" w:cs="Arial" w:eastAsia="Arial" w:hAnsi="Arial"/>
          <w:sz w:val="18"/>
          <w:szCs w:val="18"/>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the particular equity security or warrant.</w:t>
      </w:r>
    </w:p>
    <w:p>
      <w:pPr>
        <w:spacing w:after="0" w:line="184"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We are authorized to borrow funds and to sell assets in order to satisfy our Annual Distribution Requirement or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78"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may distribute our common stock as a dividend of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generally would be taxable income to a stockholder even though only a small portion of the dividend was paid in cash to pay any taxes due on the total dividend. We have not yet elected to distribute stock as a dividend but reserve the right to do so.</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Failure to Qualify as a RIC</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8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6"/>
          <w:szCs w:val="16"/>
          <w:color w:val="auto"/>
        </w:rPr>
        <w:t>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U.S. federal income tax rate, if certain holding period requirements are satisfied. In this regard, it is anticipated that distributions paid by us will generally not be attributable to dividends and, therefore, generally will not qualify for the reduced U.S. federal income tax rate. Distributions of our net capital gains (which is generally our realized net long-term capital gains in excess of realized net short-term capital losses) properly designated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80"/>
          </w:cols>
          <w:pgMar w:left="320" w:top="459" w:right="4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rates, and since that rate is in excess of the maximum rate currently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17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64"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2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66"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and this rate also applies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80"/>
          </w:cols>
          <w:pgMar w:left="320" w:top="459" w:right="4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subsequent years as provided in the Code. Corporate stockholders generally may not deduct any net capital losses for a year, but may carryback such losses for three taxable years or carry forward such losses for five taxable years.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8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w:t>
      </w:r>
    </w:p>
    <w:p>
      <w:pPr>
        <w:spacing w:after="0" w:line="176"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84"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A U.S. stockholder (other than an “exempt recipient,” including a “C” corporation and certain other persons who, when required, demonstrate their exempt status) may be subject to federal income tax withholding (“backup withholding”) at the applicable rate from all taxable distributions to any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84"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Subject to the discussions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92"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In addition, with respect to certain distributions made by RICs to Non-U.S. Stockholders, no withholding is required and the distributions generally are not subject to U.S. federal income tax if (i) the distributions are properly designated in a notice timely delivered to our stockholders as “interest-related dividends” or “short-term</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5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7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are required to withhold U.S. tax (at a 30% rate) on payments of taxable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92"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7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 Non-U.S. stockholder who is a non-resident alien individual, and who is otherwise subject to withholding of federal income tax, may be subject to information reporting and backup tax withholding of federal income tax on distributions unless the Non-U.S. stockholder provides us or the distribution paying agent with an IRS Form W-8BEN, IRS Form W-8BEN-E, or other applicable IRS Form W-8, or otherwise meets documentary evidence requirements for establishing that it is a Non-U.S. stockholder or otherwise establishes an exemption from backup withholding.</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22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59" w:right="4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92" w:lineRule="exact"/>
        <w:rPr>
          <w:sz w:val="20"/>
          <w:szCs w:val="20"/>
          <w:color w:val="auto"/>
        </w:rPr>
      </w:pPr>
    </w:p>
    <w:p>
      <w:pPr>
        <w:ind w:left="1080" w:hanging="424"/>
        <w:spacing w:after="0"/>
        <w:tabs>
          <w:tab w:leader="none" w:pos="10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name or names of any underwriters, dealers or agents and the amounts of securities underwritten or purchased by each of them;</w:t>
      </w:r>
    </w:p>
    <w:p>
      <w:pPr>
        <w:spacing w:after="0" w:line="142" w:lineRule="exact"/>
        <w:rPr>
          <w:rFonts w:ascii="Arial" w:cs="Arial" w:eastAsia="Arial" w:hAnsi="Arial"/>
          <w:sz w:val="17"/>
          <w:szCs w:val="17"/>
          <w:color w:val="auto"/>
        </w:rPr>
      </w:pPr>
    </w:p>
    <w:p>
      <w:pPr>
        <w:ind w:left="1080" w:right="180" w:hanging="424"/>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offering price of the securities and the proceeds to us and any discounts, commissions or concessions allowed or reallowed or paid to dealers;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8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76"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84"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2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8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9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80"/>
          </w:cols>
          <w:pgMar w:left="320" w:top="459" w:right="4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229"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240 Greenwich Street, New York, NY 10286. American Stock Transfer &amp; Trust Company, LLC acts as our transfer agent, distribution paying agent and registrar. The principal business address of American Stock Transfer &amp; Trust Company, LLC is 6201 15th Avenue, 3</w:t>
      </w:r>
      <w:r>
        <w:rPr>
          <w:rFonts w:ascii="Arial" w:cs="Arial" w:eastAsia="Arial" w:hAnsi="Arial"/>
          <w:sz w:val="14"/>
          <w:szCs w:val="14"/>
          <w:color w:val="auto"/>
        </w:rPr>
        <w:t>rd</w:t>
      </w:r>
      <w:r>
        <w:rPr>
          <w:rFonts w:ascii="Arial" w:cs="Arial" w:eastAsia="Arial" w:hAnsi="Arial"/>
          <w:sz w:val="17"/>
          <w:szCs w:val="17"/>
          <w:color w:val="auto"/>
        </w:rPr>
        <w:t xml:space="preserve"> Floor, Brooklyn, NY 11219, telephone number: (800) 937-5449. American Stock Transfer &amp; Trust Company, LLC serves as trustee for our 2024 Notes.</w:t>
      </w: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Certain legal matters regarding the securities offered by this prospectus will be passed upon for us by Dechert LLP, Washington, D.C., and by Venable LLP, as special Maryland counsel. Certain legal matters will be passed upon for underwriters, if any, by the counsel named in the prospectus supplement, if any.</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INDEPENDENT REGISTERED PUBLIC ACCOUNTING FIRM/INDEPENDENT AUDITOR</w:t>
      </w:r>
    </w:p>
    <w:p>
      <w:pPr>
        <w:spacing w:after="0" w:line="22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Our current independent registered public accounting firm, RSM US LLP, located at 151 West 42</w:t>
      </w:r>
      <w:r>
        <w:rPr>
          <w:rFonts w:ascii="Arial" w:cs="Arial" w:eastAsia="Arial" w:hAnsi="Arial"/>
          <w:sz w:val="14"/>
          <w:szCs w:val="14"/>
          <w:color w:val="auto"/>
        </w:rPr>
        <w:t>nd</w:t>
      </w:r>
      <w:r>
        <w:rPr>
          <w:rFonts w:ascii="Arial" w:cs="Arial" w:eastAsia="Arial" w:hAnsi="Arial"/>
          <w:sz w:val="17"/>
          <w:szCs w:val="17"/>
          <w:color w:val="auto"/>
        </w:rPr>
        <w:t xml:space="preserve"> Street, New York, NY 10036, has audited the consolidated financial statements of the Company as of September 30, 2019 and 2018 and for each of the years in the three-year period ended September 30, 2019 and the effectiveness of internal control over financial reporting as of September 30, 2019 incorporated in this Prospectus by reference from the Company’s Annual Report on Form 10-K for the year ended September 30, 2019, as stated in their reports thereon incorporated herein by reference, and have been incorporated and included in this Prospectus and Registration Statement in reliance upon such reports and upon the authority of such firm as experts in accounting and auditing. The senior securities table of the Company included in this Prospectus and elsewhere in the Registration Statement has been included in reliance upon the report of RSM US LLP, an independent registered public accounting firm, as stated in their report filed as an exhibit to the Registration Statement of which this Prospectus is part.</w:t>
      </w:r>
    </w:p>
    <w:p>
      <w:pPr>
        <w:spacing w:after="0" w:line="17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consolidated financial statements of RAM Energy Holdings LLC and subsidiaries as of and for the year ended September 30, 2019 incorporated by reference in this Prospectus have been so incorporated in reliance on the report of BDO USA, LLP, an independent auditor, incorporated herein by reference, given on the authority of said firm as experts in auditing and accounting.</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This prospectus is part of a registration statement that we have filed with the SEC. Pursuant to the Small Business Credit Availability Act, or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w:t>
      </w:r>
    </w:p>
    <w:p>
      <w:pPr>
        <w:spacing w:after="0" w:line="18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including all such documents we may file with the SEC after the date of the initial registration statement and prior to effectiveness of the registration statement; provided, however, that information “furnished” under Item 2.02 or Item 7.01 of Form 8-K or other information “furnished” to the SEC which is not deemed filed is not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80"/>
        <w:spacing w:after="0" w:line="342" w:lineRule="auto"/>
        <w:rPr>
          <w:sz w:val="20"/>
          <w:szCs w:val="20"/>
          <w:color w:val="auto"/>
        </w:rPr>
      </w:pPr>
      <w:r>
        <w:rPr>
          <w:rFonts w:ascii="Arial" w:cs="Arial" w:eastAsia="Arial" w:hAnsi="Arial"/>
          <w:sz w:val="16"/>
          <w:szCs w:val="16"/>
          <w:color w:val="auto"/>
        </w:rPr>
        <w:t>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prospectus and any prospectus supplement incorporates by reference the documents set forth below that have previously been filed with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w:t>
      </w:r>
    </w:p>
    <w:p>
      <w:pPr>
        <w:spacing w:after="0" w:line="116" w:lineRule="exact"/>
        <w:rPr>
          <w:sz w:val="20"/>
          <w:szCs w:val="20"/>
          <w:color w:val="auto"/>
        </w:rPr>
      </w:pPr>
    </w:p>
    <w:p>
      <w:pPr>
        <w:jc w:val="both"/>
        <w:ind w:left="1080" w:right="120" w:hanging="424"/>
        <w:spacing w:after="0" w:line="263"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5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September 30, 2019, filed with the SEC on November 21, 2019, including the information specifically incorporated by reference to the Form 10-K from out Definitive Proxy Statement on </w:t>
      </w:r>
      <w:hyperlink r:id="rId160">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December 17, 2019; and</w:t>
      </w:r>
    </w:p>
    <w:p>
      <w:pPr>
        <w:spacing w:after="0" w:line="89"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referenced in our Registration Statement on </w:t>
      </w:r>
      <w:hyperlink r:id="rId161">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(No. 001-33418), as filed with the SEC on April 19, 2007, including any amendment or report filed for the purpose of updating such description prior to the termination of the offering of the common stock registered hereby.</w:t>
      </w:r>
    </w:p>
    <w:p>
      <w:pPr>
        <w:spacing w:after="0" w:line="184"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To obtain copies of these filings, see “Available Information.”</w:t>
      </w:r>
    </w:p>
    <w:p>
      <w:pPr>
        <w:spacing w:after="0" w:line="32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rFonts w:ascii="Arial" w:cs="Arial" w:eastAsia="Arial" w:hAnsi="Arial"/>
          <w:sz w:val="18"/>
          <w:szCs w:val="18"/>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Except for the documents incorporated by reference into this prospectus and any accompanying prospectus supplement,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information on our website is not part of this prospectus or any accompanying prospectus supplement. The SEC maintains an Internet website that contains reports, proxy and information statements and other information filed electronically by us with the SEC which are available free of charge on the SEC’s Internet website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Copies of these reports, proxy and information statements and other information may be obtained, after paying a duplicating fee, by sending a request by email to: publicinfo@sec.gov.</w:t>
      </w:r>
    </w:p>
    <w:p>
      <w:pPr>
        <w:spacing w:after="0" w:line="110"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1268730</wp:posOffset>
            </wp:positionV>
            <wp:extent cx="1765935" cy="4286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176593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980"/>
        <w:spacing w:after="0"/>
        <w:rPr>
          <w:sz w:val="20"/>
          <w:szCs w:val="20"/>
          <w:color w:val="auto"/>
        </w:rPr>
      </w:pPr>
      <w:r>
        <w:rPr>
          <w:rFonts w:ascii="Arial" w:cs="Arial" w:eastAsia="Arial" w:hAnsi="Arial"/>
          <w:sz w:val="29"/>
          <w:szCs w:val="29"/>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 Notes due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1037590</wp:posOffset>
            </wp:positionV>
            <wp:extent cx="14744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Joint Book-Running Managers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2460" w:type="dxa"/>
            <w:vAlign w:val="bottom"/>
          </w:tcPr>
          <w:p>
            <w:pPr>
              <w:ind w:left="440"/>
              <w:spacing w:after="0"/>
              <w:rPr>
                <w:sz w:val="20"/>
                <w:szCs w:val="20"/>
                <w:color w:val="auto"/>
              </w:rPr>
            </w:pPr>
            <w:r>
              <w:rPr>
                <w:rFonts w:ascii="Arial" w:cs="Arial" w:eastAsia="Arial" w:hAnsi="Arial"/>
                <w:sz w:val="22"/>
                <w:szCs w:val="22"/>
                <w:b w:val="1"/>
                <w:bCs w:val="1"/>
                <w:color w:val="auto"/>
              </w:rPr>
              <w:t>Raymond James</w:t>
            </w:r>
          </w:p>
        </w:tc>
        <w:tc>
          <w:tcPr>
            <w:tcW w:w="3280" w:type="dxa"/>
            <w:vAlign w:val="bottom"/>
            <w:gridSpan w:val="2"/>
          </w:tcPr>
          <w:p>
            <w:pPr>
              <w:ind w:left="840"/>
              <w:spacing w:after="0"/>
              <w:rPr>
                <w:sz w:val="20"/>
                <w:szCs w:val="20"/>
                <w:color w:val="auto"/>
              </w:rPr>
            </w:pPr>
            <w:r>
              <w:rPr>
                <w:rFonts w:ascii="Arial" w:cs="Arial" w:eastAsia="Arial" w:hAnsi="Arial"/>
                <w:sz w:val="22"/>
                <w:szCs w:val="22"/>
                <w:b w:val="1"/>
                <w:bCs w:val="1"/>
                <w:color w:val="auto"/>
                <w:w w:val="92"/>
              </w:rPr>
              <w:t>Keefe, Bruyette &amp; Woods</w:t>
            </w:r>
          </w:p>
        </w:tc>
        <w:tc>
          <w:tcPr>
            <w:tcW w:w="940" w:type="dxa"/>
            <w:vAlign w:val="bottom"/>
          </w:tcPr>
          <w:p>
            <w:pPr>
              <w:spacing w:after="0"/>
              <w:rPr>
                <w:sz w:val="22"/>
                <w:szCs w:val="22"/>
                <w:color w:val="auto"/>
              </w:rPr>
            </w:pPr>
          </w:p>
        </w:tc>
        <w:tc>
          <w:tcPr>
            <w:tcW w:w="2280" w:type="dxa"/>
            <w:vAlign w:val="bottom"/>
          </w:tcPr>
          <w:p>
            <w:pPr>
              <w:ind w:left="440"/>
              <w:spacing w:after="0"/>
              <w:rPr>
                <w:sz w:val="20"/>
                <w:szCs w:val="20"/>
                <w:color w:val="auto"/>
              </w:rPr>
            </w:pPr>
            <w:r>
              <w:rPr>
                <w:rFonts w:ascii="Arial" w:cs="Arial" w:eastAsia="Arial" w:hAnsi="Arial"/>
                <w:sz w:val="22"/>
                <w:szCs w:val="22"/>
                <w:b w:val="1"/>
                <w:bCs w:val="1"/>
                <w:color w:val="auto"/>
              </w:rPr>
              <w:t>Truist Securities</w:t>
            </w:r>
          </w:p>
        </w:tc>
        <w:tc>
          <w:tcPr>
            <w:tcW w:w="2060" w:type="dxa"/>
            <w:vAlign w:val="bottom"/>
          </w:tcPr>
          <w:p>
            <w:pPr>
              <w:ind w:left="660"/>
              <w:spacing w:after="0"/>
              <w:rPr>
                <w:sz w:val="20"/>
                <w:szCs w:val="20"/>
                <w:color w:val="auto"/>
              </w:rPr>
            </w:pPr>
            <w:r>
              <w:rPr>
                <w:rFonts w:ascii="Arial" w:cs="Arial" w:eastAsia="Arial" w:hAnsi="Arial"/>
                <w:sz w:val="22"/>
                <w:szCs w:val="22"/>
                <w:b w:val="1"/>
                <w:bCs w:val="1"/>
                <w:color w:val="auto"/>
              </w:rPr>
              <w:t>J.P. Morgan</w:t>
            </w:r>
          </w:p>
        </w:tc>
      </w:tr>
      <w:tr>
        <w:trPr>
          <w:trHeight w:val="230"/>
        </w:trPr>
        <w:tc>
          <w:tcPr>
            <w:tcW w:w="24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0" w:type="dxa"/>
            <w:vAlign w:val="bottom"/>
          </w:tcPr>
          <w:p>
            <w:pPr>
              <w:ind w:left="60"/>
              <w:spacing w:after="0"/>
              <w:rPr>
                <w:sz w:val="20"/>
                <w:szCs w:val="20"/>
                <w:color w:val="auto"/>
              </w:rPr>
            </w:pPr>
            <w:r>
              <w:rPr>
                <w:rFonts w:ascii="Arial" w:cs="Arial" w:eastAsia="Arial" w:hAnsi="Arial"/>
                <w:sz w:val="18"/>
                <w:szCs w:val="18"/>
                <w:i w:val="1"/>
                <w:iCs w:val="1"/>
                <w:color w:val="auto"/>
                <w:w w:val="94"/>
              </w:rPr>
              <w:t>A Stifel Company</w:t>
            </w:r>
          </w:p>
        </w:tc>
        <w:tc>
          <w:tcPr>
            <w:tcW w:w="9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93"/>
        </w:trPr>
        <w:tc>
          <w:tcPr>
            <w:tcW w:w="24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620" w:type="dxa"/>
            <w:vAlign w:val="bottom"/>
            <w:gridSpan w:val="3"/>
          </w:tcPr>
          <w:p>
            <w:pPr>
              <w:ind w:left="760"/>
              <w:spacing w:after="0"/>
              <w:rPr>
                <w:sz w:val="20"/>
                <w:szCs w:val="20"/>
                <w:color w:val="auto"/>
              </w:rPr>
            </w:pPr>
            <w:r>
              <w:rPr>
                <w:rFonts w:ascii="Arial" w:cs="Arial" w:eastAsia="Arial" w:hAnsi="Arial"/>
                <w:sz w:val="14"/>
                <w:szCs w:val="14"/>
                <w:i w:val="1"/>
                <w:iCs w:val="1"/>
                <w:color w:val="auto"/>
              </w:rPr>
              <w:t>Co-Managers</w:t>
            </w:r>
          </w:p>
        </w:tc>
        <w:tc>
          <w:tcPr>
            <w:tcW w:w="2060" w:type="dxa"/>
            <w:vAlign w:val="bottom"/>
          </w:tcPr>
          <w:p>
            <w:pPr>
              <w:spacing w:after="0"/>
              <w:rPr>
                <w:sz w:val="24"/>
                <w:szCs w:val="24"/>
                <w:color w:val="auto"/>
              </w:rPr>
            </w:pPr>
          </w:p>
        </w:tc>
      </w:tr>
      <w:tr>
        <w:trPr>
          <w:trHeight w:val="444"/>
        </w:trPr>
        <w:tc>
          <w:tcPr>
            <w:tcW w:w="2460" w:type="dxa"/>
            <w:vAlign w:val="bottom"/>
          </w:tcPr>
          <w:p>
            <w:pPr>
              <w:spacing w:after="0"/>
              <w:rPr>
                <w:sz w:val="20"/>
                <w:szCs w:val="20"/>
                <w:color w:val="auto"/>
              </w:rPr>
            </w:pPr>
            <w:r>
              <w:rPr>
                <w:rFonts w:ascii="Arial" w:cs="Arial" w:eastAsia="Arial" w:hAnsi="Arial"/>
                <w:sz w:val="18"/>
                <w:szCs w:val="18"/>
                <w:b w:val="1"/>
                <w:bCs w:val="1"/>
                <w:color w:val="auto"/>
              </w:rPr>
              <w:t>Compass Point</w:t>
            </w:r>
          </w:p>
        </w:tc>
        <w:tc>
          <w:tcPr>
            <w:tcW w:w="3280" w:type="dxa"/>
            <w:vAlign w:val="bottom"/>
            <w:gridSpan w:val="2"/>
          </w:tcPr>
          <w:p>
            <w:pPr>
              <w:ind w:left="500"/>
              <w:spacing w:after="0"/>
              <w:rPr>
                <w:sz w:val="20"/>
                <w:szCs w:val="20"/>
                <w:color w:val="auto"/>
              </w:rPr>
            </w:pPr>
            <w:r>
              <w:rPr>
                <w:rFonts w:ascii="Arial" w:cs="Arial" w:eastAsia="Arial" w:hAnsi="Arial"/>
                <w:sz w:val="18"/>
                <w:szCs w:val="18"/>
                <w:b w:val="1"/>
                <w:bCs w:val="1"/>
                <w:color w:val="auto"/>
              </w:rPr>
              <w:t>JMP Securities</w:t>
            </w:r>
          </w:p>
        </w:tc>
        <w:tc>
          <w:tcPr>
            <w:tcW w:w="3220" w:type="dxa"/>
            <w:vAlign w:val="bottom"/>
            <w:gridSpan w:val="2"/>
          </w:tcPr>
          <w:p>
            <w:pPr>
              <w:ind w:left="80"/>
              <w:spacing w:after="0"/>
              <w:rPr>
                <w:sz w:val="20"/>
                <w:szCs w:val="20"/>
                <w:color w:val="auto"/>
              </w:rPr>
            </w:pPr>
            <w:r>
              <w:rPr>
                <w:rFonts w:ascii="Arial" w:cs="Arial" w:eastAsia="Arial" w:hAnsi="Arial"/>
                <w:sz w:val="18"/>
                <w:szCs w:val="18"/>
                <w:b w:val="1"/>
                <w:bCs w:val="1"/>
                <w:color w:val="auto"/>
              </w:rPr>
              <w:t>Ladenburg Thalmann</w:t>
            </w:r>
          </w:p>
        </w:tc>
        <w:tc>
          <w:tcPr>
            <w:tcW w:w="2060" w:type="dxa"/>
            <w:vAlign w:val="bottom"/>
          </w:tcPr>
          <w:p>
            <w:pPr>
              <w:ind w:left="320"/>
              <w:spacing w:after="0"/>
              <w:rPr>
                <w:sz w:val="20"/>
                <w:szCs w:val="20"/>
                <w:color w:val="auto"/>
              </w:rPr>
            </w:pPr>
            <w:r>
              <w:rPr>
                <w:rFonts w:ascii="Arial" w:cs="Arial" w:eastAsia="Arial" w:hAnsi="Arial"/>
                <w:sz w:val="18"/>
                <w:szCs w:val="18"/>
                <w:b w:val="1"/>
                <w:bCs w:val="1"/>
                <w:color w:val="auto"/>
                <w:w w:val="89"/>
              </w:rPr>
              <w:t>Capital One Securities</w:t>
            </w:r>
          </w:p>
        </w:tc>
      </w:tr>
      <w:tr>
        <w:trPr>
          <w:trHeight w:val="607"/>
        </w:trPr>
        <w:tc>
          <w:tcPr>
            <w:tcW w:w="24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977265</wp:posOffset>
            </wp:positionV>
            <wp:extent cx="6995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1037590</wp:posOffset>
            </wp:positionV>
            <wp:extent cx="699516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8">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1)"/>
      <w:numFmt w:val="decimal"/>
      <w:start w:val="1"/>
    </w:lvl>
  </w:abstractNum>
  <w:abstractNum w:abstractNumId="6">
    <w:nsid w:val="3855585C"/>
    <w:multiLevelType w:val="hybridMultilevel"/>
    <w:lvl w:ilvl="0">
      <w:lvlJc w:val="left"/>
      <w:lvlText w:val="(%1)"/>
      <w:numFmt w:val="decimal"/>
      <w:start w:val="4"/>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1)"/>
      <w:numFmt w:val="decimal"/>
      <w:start w:val="1"/>
    </w:lvl>
  </w:abstractNum>
  <w:abstractNum w:abstractNumId="14">
    <w:nsid w:val="7A6D8D3C"/>
    <w:multiLevelType w:val="hybridMultilevel"/>
    <w:lvl w:ilvl="0">
      <w:lvlJc w:val="left"/>
      <w:lvlText w:val="(%1)"/>
      <w:numFmt w:val="decimal"/>
      <w:start w:val="1"/>
    </w:lvl>
  </w:abstractNum>
  <w:abstractNum w:abstractNumId="15">
    <w:nsid w:val="4B588F54"/>
    <w:multiLevelType w:val="hybridMultilevel"/>
    <w:lvl w:ilvl="0">
      <w:lvlJc w:val="left"/>
      <w:lvlText w:val="(%1)"/>
      <w:numFmt w:val="decimal"/>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1)"/>
      <w:numFmt w:val="decimal"/>
      <w:start w:val="1"/>
    </w:lvl>
  </w:abstractNum>
  <w:abstractNum w:abstractNumId="22">
    <w:nsid w:val="579478FE"/>
    <w:multiLevelType w:val="hybridMultilevel"/>
    <w:lvl w:ilvl="0">
      <w:lvlJc w:val="left"/>
      <w:lvlText w:val="(%1)"/>
      <w:numFmt w:val="lowerRoman"/>
      <w:start w:val="1"/>
    </w:lvl>
  </w:abstractNum>
  <w:abstractNum w:abstractNumId="23">
    <w:nsid w:val="749ABB43"/>
    <w:multiLevelType w:val="hybridMultilevel"/>
    <w:lvl w:ilvl="0">
      <w:lvlJc w:val="left"/>
      <w:lvlText w:val="(%1)"/>
      <w:numFmt w:val="lowerRoman"/>
      <w:start w:val="3"/>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1)"/>
      <w:numFmt w:val="decimal"/>
      <w:start w:val="1"/>
    </w:lvl>
  </w:abstractNum>
  <w:abstractNum w:abstractNumId="34">
    <w:nsid w:val="649BB77C"/>
    <w:multiLevelType w:val="hybridMultilevel"/>
    <w:lvl w:ilvl="0">
      <w:lvlJc w:val="left"/>
      <w:lvlText w:val="(%1)"/>
      <w:numFmt w:val="decimal"/>
      <w:start w:val="7"/>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1)"/>
      <w:numFmt w:val="upperLetter"/>
      <w:start w:val="2"/>
    </w:lvl>
  </w:abstractNum>
  <w:abstractNum w:abstractNumId="37">
    <w:nsid w:val="1CF10FD8"/>
    <w:multiLevelType w:val="hybridMultilevel"/>
    <w:lvl w:ilvl="0">
      <w:lvlJc w:val="left"/>
      <w:lvlText w:val="(%1)"/>
      <w:numFmt w:val="decimal"/>
      <w:start w:val="1"/>
    </w:lvl>
  </w:abstractNum>
  <w:abstractNum w:abstractNumId="38">
    <w:nsid w:val="180115BE"/>
    <w:multiLevelType w:val="hybridMultilevel"/>
    <w:lvl w:ilvl="0">
      <w:lvlJc w:val="left"/>
      <w:lvlText w:val="(%1)"/>
      <w:numFmt w:val="decimal"/>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1)"/>
      <w:numFmt w:val="decimal"/>
      <w:start w:val="1"/>
    </w:lvl>
  </w:abstractNum>
  <w:abstractNum w:abstractNumId="42">
    <w:nsid w:val="15B5AF5C"/>
    <w:multiLevelType w:val="hybridMultilevel"/>
    <w:lvl w:ilvl="0">
      <w:lvlJc w:val="left"/>
      <w:lvlText w:val="(%1)"/>
      <w:numFmt w:val="decimal"/>
      <w:start w:val="1"/>
    </w:lvl>
  </w:abstractNum>
  <w:abstractNum w:abstractNumId="43">
    <w:nsid w:val="741226BB"/>
    <w:multiLevelType w:val="hybridMultilevel"/>
    <w:lvl w:ilvl="0">
      <w:lvlJc w:val="left"/>
      <w:lvlText w:val="(%1)"/>
      <w:numFmt w:val="decimal"/>
      <w:start w:val="1"/>
    </w:lvl>
  </w:abstractNum>
  <w:abstractNum w:abstractNumId="44">
    <w:nsid w:val="D34B6A8"/>
    <w:multiLevelType w:val="hybridMultilevel"/>
    <w:lvl w:ilvl="0">
      <w:lvlJc w:val="left"/>
      <w:lvlText w:val="•"/>
      <w:numFmt w:val="bullet"/>
      <w:start w:val="1"/>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
      <w:numFmt w:val="bullet"/>
      <w:start w:val="1"/>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
      <w:numFmt w:val="bullet"/>
      <w:start w:val="1"/>
    </w:lvl>
  </w:abstractNum>
  <w:abstractNum w:abstractNumId="55">
    <w:nsid w:val="1DBABF00"/>
    <w:multiLevelType w:val="hybridMultilevel"/>
    <w:lvl w:ilvl="0">
      <w:lvlJc w:val="left"/>
      <w:lvlText w:val="•"/>
      <w:numFmt w:val="bullet"/>
      <w:start w:val="1"/>
    </w:lvl>
  </w:abstractNum>
  <w:abstractNum w:abstractNumId="56">
    <w:nsid w:val="4AD084E9"/>
    <w:multiLevelType w:val="hybridMultilevel"/>
    <w:lvl w:ilvl="0">
      <w:lvlJc w:val="left"/>
      <w:lvlText w:val="•"/>
      <w:numFmt w:val="bullet"/>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
      <w:numFmt w:val="bullet"/>
      <w:start w:val="1"/>
    </w:lvl>
  </w:abstractNum>
  <w:abstractNum w:abstractNumId="59">
    <w:nsid w:val="5DB70AE5"/>
    <w:multiLevelType w:val="hybridMultilevel"/>
    <w:lvl w:ilvl="0">
      <w:lvlJc w:val="left"/>
      <w:lvlText w:val="•"/>
      <w:numFmt w:val="bullet"/>
      <w:start w:val="1"/>
    </w:lvl>
  </w:abstractNum>
  <w:abstractNum w:abstractNumId="60">
    <w:nsid w:val="100F8FCA"/>
    <w:multiLevelType w:val="hybridMultilevel"/>
    <w:lvl w:ilvl="0">
      <w:lvlJc w:val="left"/>
      <w:lvlText w:val="•"/>
      <w:numFmt w:val="bullet"/>
      <w:start w:val="1"/>
    </w:lvl>
  </w:abstractNum>
  <w:abstractNum w:abstractNumId="61">
    <w:nsid w:val="6590700B"/>
    <w:multiLevelType w:val="hybridMultilevel"/>
    <w:lvl w:ilvl="0">
      <w:lvlJc w:val="left"/>
      <w:lvlText w:val="•"/>
      <w:numFmt w:val="bullet"/>
      <w:start w:val="1"/>
    </w:lvl>
  </w:abstractNum>
  <w:abstractNum w:abstractNumId="62">
    <w:nsid w:val="15014ACB"/>
    <w:multiLevelType w:val="hybridMultilevel"/>
    <w:lvl w:ilvl="0">
      <w:lvlJc w:val="left"/>
      <w:lvlText w:val="•"/>
      <w:numFmt w:val="bullet"/>
      <w:start w:val="1"/>
    </w:lvl>
  </w:abstractNum>
  <w:abstractNum w:abstractNumId="63">
    <w:nsid w:val="5F5E7FD0"/>
    <w:multiLevelType w:val="hybridMultilevel"/>
    <w:lvl w:ilvl="0">
      <w:lvlJc w:val="left"/>
      <w:lvlText w:val="•"/>
      <w:numFmt w:val="bullet"/>
      <w:start w:val="1"/>
    </w:lvl>
  </w:abstractNum>
  <w:abstractNum w:abstractNumId="64">
    <w:nsid w:val="98A3148"/>
    <w:multiLevelType w:val="hybridMultilevel"/>
    <w:lvl w:ilvl="0">
      <w:lvlJc w:val="left"/>
      <w:lvlText w:val="•"/>
      <w:numFmt w:val="bullet"/>
      <w:start w:val="1"/>
    </w:lvl>
  </w:abstractNum>
  <w:abstractNum w:abstractNumId="65">
    <w:nsid w:val="799D0247"/>
    <w:multiLevelType w:val="hybridMultilevel"/>
    <w:lvl w:ilvl="0">
      <w:lvlJc w:val="left"/>
      <w:lvlText w:val="•"/>
      <w:numFmt w:val="bullet"/>
      <w:start w:val="1"/>
    </w:lvl>
  </w:abstractNum>
  <w:abstractNum w:abstractNumId="66">
    <w:nsid w:val="6B94764"/>
    <w:multiLevelType w:val="hybridMultilevel"/>
    <w:lvl w:ilvl="0">
      <w:lvlJc w:val="left"/>
      <w:lvlText w:val="•"/>
      <w:numFmt w:val="bullet"/>
      <w:start w:val="1"/>
    </w:lvl>
  </w:abstractNum>
  <w:abstractNum w:abstractNumId="67">
    <w:nsid w:val="42C296BD"/>
    <w:multiLevelType w:val="hybridMultilevel"/>
    <w:lvl w:ilvl="0">
      <w:lvlJc w:val="left"/>
      <w:lvlText w:val="•"/>
      <w:numFmt w:val="bullet"/>
      <w:start w:val="1"/>
    </w:lvl>
  </w:abstractNum>
  <w:abstractNum w:abstractNumId="68">
    <w:nsid w:val="168E121F"/>
    <w:multiLevelType w:val="hybridMultilevel"/>
    <w:lvl w:ilvl="0">
      <w:lvlJc w:val="left"/>
      <w:lvlText w:val="•"/>
      <w:numFmt w:val="bullet"/>
      <w:start w:val="1"/>
    </w:lvl>
  </w:abstractNum>
  <w:abstractNum w:abstractNumId="69">
    <w:nsid w:val="1EBA5D23"/>
    <w:multiLevelType w:val="hybridMultilevel"/>
    <w:lvl w:ilvl="0">
      <w:lvlJc w:val="left"/>
      <w:lvlText w:val="•"/>
      <w:numFmt w:val="bullet"/>
      <w:start w:val="1"/>
    </w:lvl>
  </w:abstractNum>
  <w:abstractNum w:abstractNumId="70">
    <w:nsid w:val="661E3F1E"/>
    <w:multiLevelType w:val="hybridMultilevel"/>
    <w:lvl w:ilvl="0">
      <w:lvlJc w:val="left"/>
      <w:lvlText w:val="•"/>
      <w:numFmt w:val="bullet"/>
      <w:start w:val="1"/>
    </w:lvl>
  </w:abstractNum>
  <w:abstractNum w:abstractNumId="71">
    <w:nsid w:val="5DC79EA8"/>
    <w:multiLevelType w:val="hybridMultilevel"/>
    <w:lvl w:ilvl="0">
      <w:lvlJc w:val="left"/>
      <w:lvlText w:val="(%1)"/>
      <w:numFmt w:val="decimal"/>
      <w:start w:val="3"/>
    </w:lvl>
  </w:abstractNum>
  <w:abstractNum w:abstractNumId="72">
    <w:nsid w:val="540A471C"/>
    <w:multiLevelType w:val="hybridMultilevel"/>
    <w:lvl w:ilvl="0">
      <w:lvlJc w:val="left"/>
      <w:lvlText w:val="•"/>
      <w:numFmt w:val="bullet"/>
      <w:start w:val="1"/>
    </w:lvl>
  </w:abstractNum>
  <w:abstractNum w:abstractNumId="73">
    <w:nsid w:val="7BD3EE7B"/>
    <w:multiLevelType w:val="hybridMultilevel"/>
    <w:lvl w:ilvl="0">
      <w:lvlJc w:val="left"/>
      <w:lvlText w:val="•"/>
      <w:numFmt w:val="bullet"/>
      <w:start w:val="1"/>
    </w:lvl>
    <w:lvl w:ilvl="1">
      <w:lvlJc w:val="left"/>
      <w:lvlText w:val="%2)"/>
      <w:numFmt w:val="decimal"/>
      <w:start w:val="1"/>
    </w:lvl>
  </w:abstractNum>
  <w:abstractNum w:abstractNumId="74">
    <w:nsid w:val="51D9C564"/>
    <w:multiLevelType w:val="hybridMultilevel"/>
    <w:lvl w:ilvl="0">
      <w:lvlJc w:val="left"/>
      <w:lvlText w:val="•"/>
      <w:numFmt w:val="bullet"/>
      <w:start w:val="1"/>
    </w:lvl>
  </w:abstractNum>
  <w:abstractNum w:abstractNumId="75">
    <w:nsid w:val="613EFD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jpe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jpeg"/><Relationship Id="rId166" Type="http://schemas.openxmlformats.org/officeDocument/2006/relationships/image" Target="media/image150.png"/><Relationship Id="rId167" Type="http://schemas.openxmlformats.org/officeDocument/2006/relationships/image" Target="media/image151.png"/><Relationship Id="rId168" Type="http://schemas.openxmlformats.org/officeDocument/2006/relationships/image" Target="media/image152.png"/><Relationship Id="rId66" Type="http://schemas.openxmlformats.org/officeDocument/2006/relationships/hyperlink" Target="http://www.sec.gov/Archives/edgar/data/1383414/000156459020054639/pnnt-10k_20200930.htm" TargetMode="External"/><Relationship Id="rId67" Type="http://schemas.openxmlformats.org/officeDocument/2006/relationships/hyperlink" Target="http://www.sec.gov/Archives/edgar/data/0001383414/000156459021015819/pnnt-10ka_20200930.htm" TargetMode="External"/><Relationship Id="rId68" Type="http://schemas.openxmlformats.org/officeDocument/2006/relationships/hyperlink" Target="http://www.sec.gov/Archives/edgar/data/1383414/000156459021004994/pnnt-10q_20201231.htm" TargetMode="External"/><Relationship Id="rId69" Type="http://schemas.openxmlformats.org/officeDocument/2006/relationships/hyperlink" Target="http://www.sec.gov/Archives/edgar/data/1383414/000156459021005778/pnnt-8k_20210209.htm" TargetMode="External"/><Relationship Id="rId70" Type="http://schemas.openxmlformats.org/officeDocument/2006/relationships/hyperlink" Target="http://www.sec.gov/Archives/edgar/data/1383414/000095012320012521/pnnt-def14a_20210930.htm" TargetMode="External"/><Relationship Id="rId71" Type="http://schemas.openxmlformats.org/officeDocument/2006/relationships/hyperlink" Target="http://www.sec.gov/Archives/edgar/data/1383414/000156459020054639/pnnt-10k_20200930.htm#PART_III" TargetMode="External"/><Relationship Id="rId159" Type="http://schemas.openxmlformats.org/officeDocument/2006/relationships/hyperlink" Target="http://www.sec.gov/Archives/edgar/data/1383414/000156459019044110/pnnt-10k_20190930.htm" TargetMode="External"/><Relationship Id="rId160" Type="http://schemas.openxmlformats.org/officeDocument/2006/relationships/hyperlink" Target="http://www.sec.gov/Archives/edgar/data/1383414/000156459019046217/pnnt-def14a_20200930.htm" TargetMode="External"/><Relationship Id="rId161" Type="http://schemas.openxmlformats.org/officeDocument/2006/relationships/hyperlink" Target="http://www.sec.gov/Archives/edgar/data/1383414/000119312507084713/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2021-04-14T09:29:18Z</dcterms:created>
  <dcterms:modified xsi:type="dcterms:W3CDTF">2021-04-14T09:29:18Z</dcterms:modified>
</cp:coreProperties>
</file>