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2016</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70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4065905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5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349"/>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4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280"/>
            <w:col w:w="6900" w:space="720"/>
            <w:col w:w="118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360"/>
            <w:col w:w="120" w:space="80"/>
            <w:col w:w="6700" w:space="720"/>
            <w:col w:w="1580" w:space="320"/>
            <w:col w:w="140"/>
          </w:cols>
          <w:pgMar w:left="320" w:top="230" w:right="339" w:bottom="1440" w:gutter="0" w:footer="0" w:header="0"/>
          <w:type w:val="continuous"/>
        </w:sectPr>
      </w:pPr>
    </w:p>
    <w:p>
      <w:pPr>
        <w:spacing w:after="0" w:line="29"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4">
            <w:col w:w="7100" w:space="140"/>
            <w:col w:w="200" w:space="80"/>
            <w:col w:w="120" w:space="160"/>
            <w:col w:w="3440"/>
          </w:cols>
          <w:pgMar w:left="320" w:top="230" w:right="339" w:bottom="1440" w:gutter="0" w:footer="0" w:header="0"/>
          <w:type w:val="continuous"/>
        </w:sectPr>
      </w:pPr>
    </w:p>
    <w:p>
      <w:pPr>
        <w:spacing w:after="0" w:line="29" w:lineRule="exact"/>
        <w:rPr>
          <w:sz w:val="24"/>
          <w:szCs w:val="24"/>
          <w:color w:val="auto"/>
        </w:rPr>
      </w:pPr>
    </w:p>
    <w:p>
      <w:pPr>
        <w:ind w:left="56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May 4, 2016 was 71,060,836.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MARCH 31, 2016</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2016 (unaudited) and September 30, 2015</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4"/>
        </w:trPr>
        <w:tc>
          <w:tcPr>
            <w:tcW w:w="910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2016 (unaudited) and September 30, 2015</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83"/>
        </w:trPr>
        <w:tc>
          <w:tcPr>
            <w:tcW w:w="9100" w:type="dxa"/>
            <w:vAlign w:val="bottom"/>
          </w:tcPr>
          <w:p>
            <w:pPr>
              <w:ind w:left="30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83"/>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We are filing this Quarterly Report on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senior notes due 2025; “2019 Notes” refers to our 4.50% notes due 2019; “our Notes” refers,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860" w:type="dxa"/>
            <w:vAlign w:val="bottom"/>
          </w:tcPr>
          <w:p>
            <w:pPr>
              <w:ind w:left="380"/>
              <w:spacing w:after="0"/>
              <w:rPr>
                <w:sz w:val="20"/>
                <w:szCs w:val="20"/>
                <w:color w:val="auto"/>
              </w:rPr>
            </w:pPr>
            <w:r>
              <w:rPr>
                <w:rFonts w:ascii="Arial" w:cs="Arial" w:eastAsia="Arial" w:hAnsi="Arial"/>
                <w:sz w:val="14"/>
                <w:szCs w:val="14"/>
                <w:b w:val="1"/>
                <w:bCs w:val="1"/>
                <w:color w:val="auto"/>
              </w:rPr>
              <w:t>Consolidated Financial Statements</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5"/>
        </w:trPr>
        <w:tc>
          <w:tcPr>
            <w:tcW w:w="520" w:type="dxa"/>
            <w:vAlign w:val="bottom"/>
          </w:tcPr>
          <w:p>
            <w:pPr>
              <w:spacing w:after="0"/>
              <w:rPr>
                <w:sz w:val="24"/>
                <w:szCs w:val="24"/>
                <w:color w:val="auto"/>
              </w:rPr>
            </w:pPr>
          </w:p>
        </w:tc>
        <w:tc>
          <w:tcPr>
            <w:tcW w:w="7860" w:type="dxa"/>
            <w:vAlign w:val="bottom"/>
          </w:tcPr>
          <w:p>
            <w:pPr>
              <w:ind w:left="280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786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4"/>
        </w:trPr>
        <w:tc>
          <w:tcPr>
            <w:tcW w:w="5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March 31, 2016</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71"/>
        </w:trPr>
        <w:tc>
          <w:tcPr>
            <w:tcW w:w="5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(cost—$1,023,986,434 and $1,138,155,969, respectively)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960,207,641</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1,096,719,079</w:t>
            </w:r>
          </w:p>
        </w:tc>
      </w:tr>
      <w:tr>
        <w:trPr>
          <w:trHeight w:val="148"/>
        </w:trPr>
        <w:tc>
          <w:tcPr>
            <w:tcW w:w="83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Non-controlled, affiliated investments (cost—$226,052,253 and $133,693,295, respectively)</w:t>
            </w:r>
          </w:p>
        </w:tc>
        <w:tc>
          <w:tcPr>
            <w:tcW w:w="8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168,853,904</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95,503,104</w:t>
            </w:r>
          </w:p>
        </w:tc>
      </w:tr>
      <w:tr>
        <w:trPr>
          <w:trHeight w:val="148"/>
        </w:trPr>
        <w:tc>
          <w:tcPr>
            <w:tcW w:w="8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Controlled, affiliated investments (cost—$162,364,102 and $152,387,898, respectively)</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102,436,835</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106,825,650</w:t>
            </w:r>
          </w:p>
        </w:tc>
      </w:tr>
      <w:tr>
        <w:trPr>
          <w:trHeight w:val="155"/>
        </w:trPr>
        <w:tc>
          <w:tcPr>
            <w:tcW w:w="83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of investments (cost—$1,412,402,789 and $1,424,237,162, respectively)</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1,231,498,380</w:t>
            </w:r>
          </w:p>
        </w:tc>
        <w:tc>
          <w:tcPr>
            <w:tcW w:w="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1,299,047,833</w:t>
            </w:r>
          </w:p>
        </w:tc>
        <w:tc>
          <w:tcPr>
            <w:tcW w:w="100" w:type="dxa"/>
            <w:vAlign w:val="bottom"/>
          </w:tcPr>
          <w:p>
            <w:pPr>
              <w:spacing w:after="0"/>
              <w:rPr>
                <w:sz w:val="13"/>
                <w:szCs w:val="13"/>
                <w:color w:val="auto"/>
              </w:rPr>
            </w:pPr>
          </w:p>
        </w:tc>
      </w:tr>
      <w:tr>
        <w:trPr>
          <w:trHeight w:val="149"/>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(cost—$33,358,473 and $49,637,415, respectively)</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33,195,129</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49,619,256</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Interest receivable</w:t>
            </w:r>
          </w:p>
        </w:tc>
        <w:tc>
          <w:tcPr>
            <w:tcW w:w="8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7,407,261</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7,590,197</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3,825,834</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8,790,944</w:t>
            </w:r>
          </w:p>
        </w:tc>
      </w:tr>
      <w:tr>
        <w:trPr>
          <w:trHeight w:val="163"/>
        </w:trPr>
        <w:tc>
          <w:tcPr>
            <w:tcW w:w="520" w:type="dxa"/>
            <w:vAlign w:val="bottom"/>
          </w:tcPr>
          <w:p>
            <w:pPr>
              <w:spacing w:after="0"/>
              <w:rPr>
                <w:sz w:val="14"/>
                <w:szCs w:val="14"/>
                <w:color w:val="auto"/>
              </w:rPr>
            </w:pPr>
          </w:p>
        </w:tc>
        <w:tc>
          <w:tcPr>
            <w:tcW w:w="78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1,275,926,604</w:t>
            </w: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4"/>
                <w:szCs w:val="14"/>
                <w:color w:val="auto"/>
              </w:rPr>
            </w:pP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8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19,897,034</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20,430,492</w:t>
            </w:r>
          </w:p>
        </w:tc>
      </w:tr>
      <w:tr>
        <w:trPr>
          <w:trHeight w:val="149"/>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3,591,177</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Credit Facility payable (par—$141,329,823 and $136,864,300, respectively) (See Notes 5 and 10)</w:t>
            </w:r>
          </w:p>
        </w:tc>
        <w:tc>
          <w:tcPr>
            <w:tcW w:w="8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128,753,580</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132,356,860</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10)</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247,215,000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253,102,500</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SBA debentures payable (par—$172,500,000 and $150,000,000, respectively) (See Notes 5 and 10)</w:t>
            </w:r>
          </w:p>
        </w:tc>
        <w:tc>
          <w:tcPr>
            <w:tcW w:w="8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168,518,150</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146,269,957</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10)</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67,117,500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71,136,000</w:t>
            </w:r>
          </w:p>
        </w:tc>
      </w:tr>
      <w:tr>
        <w:trPr>
          <w:trHeight w:val="149"/>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Base management fee payable, net (See Note 3)</w:t>
            </w:r>
          </w:p>
        </w:tc>
        <w:tc>
          <w:tcPr>
            <w:tcW w:w="8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5,136,664</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6,602,029</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4,008,876</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5,007,792</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debt</w:t>
            </w:r>
          </w:p>
        </w:tc>
        <w:tc>
          <w:tcPr>
            <w:tcW w:w="8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7,661,128</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7,638,514</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2,322,367</w:t>
            </w:r>
          </w:p>
        </w:tc>
      </w:tr>
      <w:tr>
        <w:trPr>
          <w:trHeight w:val="163"/>
        </w:trPr>
        <w:tc>
          <w:tcPr>
            <w:tcW w:w="520" w:type="dxa"/>
            <w:vAlign w:val="bottom"/>
          </w:tcPr>
          <w:p>
            <w:pPr>
              <w:spacing w:after="0"/>
              <w:rPr>
                <w:sz w:val="14"/>
                <w:szCs w:val="14"/>
                <w:color w:val="auto"/>
              </w:rPr>
            </w:pPr>
          </w:p>
        </w:tc>
        <w:tc>
          <w:tcPr>
            <w:tcW w:w="78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648,307,932</w:t>
            </w: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648,457,688</w:t>
            </w:r>
          </w:p>
        </w:tc>
        <w:tc>
          <w:tcPr>
            <w:tcW w:w="100" w:type="dxa"/>
            <w:vAlign w:val="bottom"/>
          </w:tcPr>
          <w:p>
            <w:pPr>
              <w:spacing w:after="0"/>
              <w:rPr>
                <w:sz w:val="14"/>
                <w:szCs w:val="14"/>
                <w:color w:val="auto"/>
              </w:rPr>
            </w:pP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71,060,836 and 72,966,043 shares issued and outstanding, respectively.</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3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Par value $0.001 per share and 100,000,000 shares authorized.</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71,061</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72,966</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8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822,532,643</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834,711,229</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(15,747,292)</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(13,424,886)</w:t>
            </w:r>
          </w:p>
        </w:tc>
      </w:tr>
      <w:tr>
        <w:trPr>
          <w:trHeight w:val="149"/>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80" w:type="dxa"/>
            <w:vAlign w:val="bottom"/>
          </w:tcPr>
          <w:p>
            <w:pPr>
              <w:spacing w:after="0"/>
              <w:rPr>
                <w:sz w:val="12"/>
                <w:szCs w:val="12"/>
                <w:color w:val="auto"/>
              </w:rPr>
            </w:pPr>
          </w:p>
        </w:tc>
        <w:tc>
          <w:tcPr>
            <w:tcW w:w="14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(17,665,676)</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18,919,305</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(181,065,807)</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(125,207,012)</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19,493,743</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1,518,940</w:t>
            </w:r>
          </w:p>
        </w:tc>
      </w:tr>
      <w:tr>
        <w:trPr>
          <w:trHeight w:val="27"/>
        </w:trPr>
        <w:tc>
          <w:tcPr>
            <w:tcW w:w="5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520" w:type="dxa"/>
            <w:vAlign w:val="bottom"/>
            <w:shd w:val="clear" w:color="auto" w:fill="CCEEFF"/>
          </w:tcPr>
          <w:p>
            <w:pPr>
              <w:spacing w:after="0"/>
              <w:rPr>
                <w:sz w:val="12"/>
                <w:szCs w:val="12"/>
                <w:color w:val="auto"/>
              </w:rPr>
            </w:pPr>
          </w:p>
        </w:tc>
        <w:tc>
          <w:tcPr>
            <w:tcW w:w="7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net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627,618,672</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716,590,542</w:t>
            </w:r>
          </w:p>
        </w:tc>
      </w:tr>
      <w:tr>
        <w:trPr>
          <w:trHeight w:val="155"/>
        </w:trPr>
        <w:tc>
          <w:tcPr>
            <w:tcW w:w="520" w:type="dxa"/>
            <w:vAlign w:val="bottom"/>
          </w:tcPr>
          <w:p>
            <w:pPr>
              <w:spacing w:after="0"/>
              <w:rPr>
                <w:sz w:val="13"/>
                <w:szCs w:val="13"/>
                <w:color w:val="auto"/>
              </w:rPr>
            </w:pPr>
          </w:p>
        </w:tc>
        <w:tc>
          <w:tcPr>
            <w:tcW w:w="78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1,275,926,604</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8.83</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9.82</w:t>
            </w:r>
          </w:p>
        </w:tc>
      </w:tr>
      <w:tr>
        <w:trPr>
          <w:trHeight w:val="20"/>
        </w:trPr>
        <w:tc>
          <w:tcPr>
            <w:tcW w:w="5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6"/>
              </w:rPr>
              <w:t>Three Months Ended March 31,</w:t>
            </w:r>
          </w:p>
        </w:tc>
        <w:tc>
          <w:tcPr>
            <w:tcW w:w="80" w:type="dxa"/>
            <w:vAlign w:val="bottom"/>
          </w:tcPr>
          <w:p>
            <w:pPr>
              <w:spacing w:after="0"/>
              <w:rPr>
                <w:sz w:val="14"/>
                <w:szCs w:val="14"/>
                <w:color w:val="auto"/>
              </w:rPr>
            </w:pPr>
          </w:p>
        </w:tc>
        <w:tc>
          <w:tcPr>
            <w:tcW w:w="196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26,649,790</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35,227,997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54,867,820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70,089,625</w:t>
            </w: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5,860,016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4,818,465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7,527,669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6,397,303</w:t>
            </w:r>
          </w:p>
        </w:tc>
        <w:tc>
          <w:tcPr>
            <w:tcW w:w="0" w:type="dxa"/>
            <w:vAlign w:val="bottom"/>
          </w:tcPr>
          <w:p>
            <w:pPr>
              <w:spacing w:after="0"/>
              <w:rPr>
                <w:sz w:val="1"/>
                <w:szCs w:val="1"/>
                <w:color w:val="auto"/>
              </w:rPr>
            </w:pPr>
          </w:p>
        </w:tc>
      </w:tr>
      <w:tr>
        <w:trPr>
          <w:trHeight w:val="149"/>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3,337,000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1,251,778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5,517,576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2,737,188</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3,261,619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1,362,313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6,458,652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2,641,109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39,108,425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42,660,553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74,371,717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81,865,225</w:t>
            </w:r>
          </w:p>
        </w:tc>
        <w:tc>
          <w:tcPr>
            <w:tcW w:w="0" w:type="dxa"/>
            <w:vAlign w:val="bottom"/>
          </w:tcPr>
          <w:p>
            <w:pPr>
              <w:spacing w:after="0"/>
              <w:rPr>
                <w:sz w:val="1"/>
                <w:szCs w:val="1"/>
                <w:color w:val="auto"/>
              </w:rPr>
            </w:pPr>
          </w:p>
        </w:tc>
      </w:tr>
      <w:tr>
        <w:trPr>
          <w:trHeight w:val="155"/>
        </w:trPr>
        <w:tc>
          <w:tcPr>
            <w:tcW w:w="70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6,115,075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6,799,737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12,620,855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13,596,488</w:t>
            </w:r>
          </w:p>
        </w:tc>
        <w:tc>
          <w:tcPr>
            <w:tcW w:w="0" w:type="dxa"/>
            <w:vAlign w:val="bottom"/>
          </w:tcPr>
          <w:p>
            <w:pPr>
              <w:spacing w:after="0"/>
              <w:rPr>
                <w:sz w:val="1"/>
                <w:szCs w:val="1"/>
                <w:color w:val="auto"/>
              </w:rPr>
            </w:pPr>
          </w:p>
        </w:tc>
      </w:tr>
      <w:tr>
        <w:trPr>
          <w:trHeight w:val="149"/>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4,772,473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5,523,967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8,568,255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10,393,185</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6,942,925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6,567,496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13,669,250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13,082,827</w:t>
            </w: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900,500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849,656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1,768,000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1,706,720</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937,563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823,828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1,822,192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1,513,264</w:t>
            </w:r>
          </w:p>
        </w:tc>
        <w:tc>
          <w:tcPr>
            <w:tcW w:w="0" w:type="dxa"/>
            <w:vAlign w:val="bottom"/>
          </w:tcPr>
          <w:p>
            <w:pPr>
              <w:spacing w:after="0"/>
              <w:rPr>
                <w:sz w:val="1"/>
                <w:szCs w:val="1"/>
                <w:color w:val="auto"/>
              </w:rPr>
            </w:pPr>
          </w:p>
        </w:tc>
      </w:tr>
      <w:tr>
        <w:trPr>
          <w:trHeight w:val="163"/>
        </w:trPr>
        <w:tc>
          <w:tcPr>
            <w:tcW w:w="70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management fee waiver and provision for taxes</w:t>
            </w: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19,668,536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20,564,684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38,448,552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40,292,484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Management Fee waiver (See Note 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(1,742,008)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(3,390,262)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expenses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18,276,528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20,564,684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36,708,290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40,292,484</w:t>
            </w:r>
          </w:p>
        </w:tc>
        <w:tc>
          <w:tcPr>
            <w:tcW w:w="0" w:type="dxa"/>
            <w:vAlign w:val="bottom"/>
          </w:tcPr>
          <w:p>
            <w:pPr>
              <w:spacing w:after="0"/>
              <w:rPr>
                <w:sz w:val="1"/>
                <w:szCs w:val="1"/>
                <w:color w:val="auto"/>
              </w:rPr>
            </w:pPr>
          </w:p>
        </w:tc>
      </w:tr>
      <w:tr>
        <w:trPr>
          <w:trHeight w:val="163"/>
        </w:trPr>
        <w:tc>
          <w:tcPr>
            <w:tcW w:w="70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20,831,897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22,095,869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37,663,427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41,572,741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on investments and debt: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(11,210,018)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9,490,439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(36,584,981)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18,116,578</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(6,211,252)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(24,876,250)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(22,954,067)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(77,935,809)</w:t>
            </w: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Controlled and non-controlled, affiliated investments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(9,775,018)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107,390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(32,904,728)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148"/>
        </w:trPr>
        <w:tc>
          <w:tcPr>
            <w:tcW w:w="7020" w:type="dxa"/>
            <w:vAlign w:val="bottom"/>
          </w:tcPr>
          <w:p>
            <w:pPr>
              <w:ind w:left="300"/>
              <w:spacing w:after="0" w:line="149" w:lineRule="exact"/>
              <w:rPr>
                <w:sz w:val="20"/>
                <w:szCs w:val="20"/>
                <w:color w:val="auto"/>
              </w:rPr>
            </w:pPr>
            <w:r>
              <w:rPr>
                <w:rFonts w:ascii="Arial" w:cs="Arial" w:eastAsia="Arial" w:hAnsi="Arial"/>
                <w:sz w:val="14"/>
                <w:szCs w:val="14"/>
                <w:color w:val="auto"/>
              </w:rPr>
              <w:t>Debt depreciation (See Notes 5 and 10)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10,314,028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561,253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17,974,803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1,676,880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change in unrealized depreciation on investments and debt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(5,672,242)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(24,207,607)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(37,883,992)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(76,256,312)</w:t>
            </w:r>
          </w:p>
        </w:tc>
        <w:tc>
          <w:tcPr>
            <w:tcW w:w="0" w:type="dxa"/>
            <w:vAlign w:val="bottom"/>
          </w:tcPr>
          <w:p>
            <w:pPr>
              <w:spacing w:after="0"/>
              <w:rPr>
                <w:sz w:val="1"/>
                <w:szCs w:val="1"/>
                <w:color w:val="auto"/>
              </w:rPr>
            </w:pPr>
          </w:p>
        </w:tc>
      </w:tr>
      <w:tr>
        <w:trPr>
          <w:trHeight w:val="163"/>
        </w:trPr>
        <w:tc>
          <w:tcPr>
            <w:tcW w:w="702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loss from investments and debt</w:t>
            </w: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(16,882,260)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(14,717,168)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(74,468,973)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(58,139,734)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3,949,637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7,378,701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(36,805,546)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(16,566,993)</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2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0.29</w:t>
            </w:r>
          </w:p>
        </w:tc>
        <w:tc>
          <w:tcPr>
            <w:tcW w:w="24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0.29</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0.52</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98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9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2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decrease in net assets from operations: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6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37,663,427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41,572,741</w:t>
            </w:r>
          </w:p>
        </w:tc>
        <w:tc>
          <w:tcPr>
            <w:tcW w:w="0" w:type="dxa"/>
            <w:vAlign w:val="bottom"/>
          </w:tcPr>
          <w:p>
            <w:pPr>
              <w:spacing w:after="0"/>
              <w:rPr>
                <w:sz w:val="1"/>
                <w:szCs w:val="1"/>
                <w:color w:val="auto"/>
              </w:rPr>
            </w:pPr>
          </w:p>
        </w:tc>
      </w:tr>
      <w:tr>
        <w:trPr>
          <w:trHeight w:val="148"/>
        </w:trPr>
        <w:tc>
          <w:tcPr>
            <w:tcW w:w="9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gain on investments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5"/>
              </w:rPr>
              <w:t>(36,584,981)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18,116,578</w:t>
            </w:r>
          </w:p>
        </w:tc>
        <w:tc>
          <w:tcPr>
            <w:tcW w:w="0" w:type="dxa"/>
            <w:vAlign w:val="bottom"/>
          </w:tcPr>
          <w:p>
            <w:pPr>
              <w:spacing w:after="0"/>
              <w:rPr>
                <w:sz w:val="1"/>
                <w:szCs w:val="1"/>
                <w:color w:val="auto"/>
              </w:rPr>
            </w:pPr>
          </w:p>
        </w:tc>
      </w:tr>
      <w:tr>
        <w:trPr>
          <w:trHeight w:val="148"/>
        </w:trPr>
        <w:tc>
          <w:tcPr>
            <w:tcW w:w="926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100" w:type="dxa"/>
            <w:vAlign w:val="bottom"/>
          </w:tcPr>
          <w:p>
            <w:pPr>
              <w:spacing w:after="0"/>
              <w:rPr>
                <w:sz w:val="12"/>
                <w:szCs w:val="12"/>
                <w:color w:val="auto"/>
              </w:rPr>
            </w:pPr>
          </w:p>
        </w:tc>
        <w:tc>
          <w:tcPr>
            <w:tcW w:w="94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w w:val="95"/>
              </w:rPr>
              <w:t>(55,858,795)</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(77,933,192)</w:t>
            </w:r>
          </w:p>
        </w:tc>
        <w:tc>
          <w:tcPr>
            <w:tcW w:w="0" w:type="dxa"/>
            <w:vAlign w:val="bottom"/>
          </w:tcPr>
          <w:p>
            <w:pPr>
              <w:spacing w:after="0"/>
              <w:rPr>
                <w:sz w:val="1"/>
                <w:szCs w:val="1"/>
                <w:color w:val="auto"/>
              </w:rPr>
            </w:pPr>
          </w:p>
        </w:tc>
      </w:tr>
      <w:tr>
        <w:trPr>
          <w:trHeight w:val="148"/>
        </w:trPr>
        <w:tc>
          <w:tcPr>
            <w:tcW w:w="9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17,974,803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1,676,880</w:t>
            </w:r>
          </w:p>
        </w:tc>
        <w:tc>
          <w:tcPr>
            <w:tcW w:w="0" w:type="dxa"/>
            <w:vAlign w:val="bottom"/>
          </w:tcPr>
          <w:p>
            <w:pPr>
              <w:spacing w:after="0"/>
              <w:rPr>
                <w:sz w:val="1"/>
                <w:szCs w:val="1"/>
                <w:color w:val="auto"/>
              </w:rPr>
            </w:pPr>
          </w:p>
        </w:tc>
      </w:tr>
      <w:tr>
        <w:trPr>
          <w:trHeight w:val="163"/>
        </w:trPr>
        <w:tc>
          <w:tcPr>
            <w:tcW w:w="92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decrease in net assets resulting from operations</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(36,805,546)</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(16,566,993)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5"/>
              </w:rPr>
              <w:t>(39,985,833)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(42,052,030)</w:t>
            </w:r>
          </w:p>
        </w:tc>
        <w:tc>
          <w:tcPr>
            <w:tcW w:w="0" w:type="dxa"/>
            <w:vAlign w:val="bottom"/>
          </w:tcPr>
          <w:p>
            <w:pPr>
              <w:spacing w:after="0"/>
              <w:rPr>
                <w:sz w:val="1"/>
                <w:szCs w:val="1"/>
                <w:color w:val="auto"/>
              </w:rPr>
            </w:pPr>
          </w:p>
        </w:tc>
      </w:tr>
      <w:tr>
        <w:trPr>
          <w:trHeight w:val="155"/>
        </w:trPr>
        <w:tc>
          <w:tcPr>
            <w:tcW w:w="926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Repurchase of common stock (See Note 12)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5"/>
              </w:rPr>
              <w:t>(12,180,491)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926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(88,971,870)</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(58,619,023)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6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716,590,542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2"/>
              </w:rPr>
              <w:t>828,009,949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627,618,672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2"/>
              </w:rPr>
              <w:t>769,390,926</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30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6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(15,747,292</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(12,281,869</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60" w:type="dxa"/>
            <w:vAlign w:val="bottom"/>
          </w:tcPr>
          <w:p>
            <w:pPr>
              <w:ind w:left="300"/>
              <w:spacing w:after="0" w:line="149" w:lineRule="exact"/>
              <w:rPr>
                <w:sz w:val="20"/>
                <w:szCs w:val="20"/>
                <w:color w:val="auto"/>
              </w:rPr>
            </w:pPr>
            <w:r>
              <w:rPr>
                <w:rFonts w:ascii="Arial" w:cs="Arial" w:eastAsia="Arial" w:hAnsi="Arial"/>
                <w:sz w:val="14"/>
                <w:szCs w:val="14"/>
                <w:color w:val="auto"/>
              </w:rPr>
              <w:t>Shares of common stock repurchased</w:t>
            </w:r>
          </w:p>
        </w:tc>
        <w:tc>
          <w:tcPr>
            <w:tcW w:w="100" w:type="dxa"/>
            <w:vAlign w:val="bottom"/>
          </w:tcPr>
          <w:p>
            <w:pPr>
              <w:spacing w:after="0"/>
              <w:rPr>
                <w:sz w:val="12"/>
                <w:szCs w:val="12"/>
                <w:color w:val="auto"/>
              </w:rPr>
            </w:pPr>
          </w:p>
        </w:tc>
        <w:tc>
          <w:tcPr>
            <w:tcW w:w="94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(1,905,207)</w:t>
            </w:r>
          </w:p>
        </w:tc>
        <w:tc>
          <w:tcPr>
            <w:tcW w:w="10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8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89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89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9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400"/>
              <w:spacing w:after="0" w:line="149" w:lineRule="exact"/>
              <w:rPr>
                <w:sz w:val="20"/>
                <w:szCs w:val="20"/>
                <w:color w:val="auto"/>
              </w:rPr>
            </w:pPr>
            <w:r>
              <w:rPr>
                <w:rFonts w:ascii="Arial" w:cs="Arial" w:eastAsia="Arial" w:hAnsi="Arial"/>
                <w:sz w:val="14"/>
                <w:szCs w:val="14"/>
                <w:color w:val="auto"/>
              </w:rPr>
              <w:t>Net decrease in net assets resulting from operations</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(36,805,546)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(16,566,993)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90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6"/>
              </w:rPr>
              <w:t>Adjustments to reconcile net decrease in net assets resulting from operations to net cash provided (used) by</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Net change in net unrealized depreciation on investments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55,858,795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77,933,192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(17,974,803)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(1,676,880)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Net realized loss (gain) on investments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36,584,981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(18,116,578)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(2,897,809)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(3,382,651)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(216,808,143)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(231,500,954)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Payment-in-kind income</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(6,151,360)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(5,306,995)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200,963,008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182,505,754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 interest receivable</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182,936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988,042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4,965,110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(50,414)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(3,591,177)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3,589,688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Increase in interest payable on debt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22,614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5,908,706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Amortization of deferred financing costs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293,819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274,239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base management fee payable,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(1,465,365)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414,633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performance-based incentive fee payable, net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(998,916)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901,213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Decrease in accrued other expenses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(2,322,367)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(1,448,476)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Net cash provided (used) by operating activities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9,855,777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(5,534,474)</w:t>
            </w:r>
          </w:p>
        </w:tc>
        <w:tc>
          <w:tcPr>
            <w:tcW w:w="0" w:type="dxa"/>
            <w:vAlign w:val="bottom"/>
          </w:tcPr>
          <w:p>
            <w:pPr>
              <w:spacing w:after="0"/>
              <w:rPr>
                <w:sz w:val="1"/>
                <w:szCs w:val="1"/>
                <w:color w:val="auto"/>
              </w:rPr>
            </w:pPr>
          </w:p>
        </w:tc>
      </w:tr>
      <w:tr>
        <w:trPr>
          <w:trHeight w:val="155"/>
        </w:trPr>
        <w:tc>
          <w:tcPr>
            <w:tcW w:w="6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(12,180,491)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Distributions paid to stockholders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(40,519,291)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(42,052,030)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SBA debentures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22,500,000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Capitalized borrowing costs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(545,625)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Credit Facility</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276,164,923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354,000,000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840"/>
              <w:spacing w:after="0" w:line="149" w:lineRule="exact"/>
              <w:rPr>
                <w:sz w:val="20"/>
                <w:szCs w:val="20"/>
                <w:color w:val="auto"/>
              </w:rPr>
            </w:pPr>
            <w:r>
              <w:rPr>
                <w:rFonts w:ascii="Arial" w:cs="Arial" w:eastAsia="Arial" w:hAnsi="Arial"/>
                <w:sz w:val="14"/>
                <w:szCs w:val="14"/>
                <w:color w:val="auto"/>
              </w:rPr>
              <w:t>Repayments under Credit Facility</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(271,699,400)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(310,017,203)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Net cash (used) provided by financing activities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(26,279,884)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1,930,767</w:t>
            </w:r>
          </w:p>
        </w:tc>
        <w:tc>
          <w:tcPr>
            <w:tcW w:w="0" w:type="dxa"/>
            <w:vAlign w:val="bottom"/>
          </w:tcPr>
          <w:p>
            <w:pPr>
              <w:spacing w:after="0"/>
              <w:rPr>
                <w:sz w:val="1"/>
                <w:szCs w:val="1"/>
                <w:color w:val="auto"/>
              </w:rPr>
            </w:pPr>
          </w:p>
        </w:tc>
      </w:tr>
      <w:tr>
        <w:trPr>
          <w:trHeight w:val="156"/>
        </w:trPr>
        <w:tc>
          <w:tcPr>
            <w:tcW w:w="6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decrease in cash equivalents</w:t>
            </w: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(16,424,107)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(3,603,707)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(91,351)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49,619,256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33,195,129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62,823,624</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paid</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13,352,817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6,899,882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180"/>
              <w:spacing w:after="0"/>
              <w:rPr>
                <w:sz w:val="20"/>
                <w:szCs w:val="20"/>
                <w:color w:val="auto"/>
              </w:rPr>
            </w:pPr>
            <w:r>
              <w:rPr>
                <w:rFonts w:ascii="Arial" w:cs="Arial" w:eastAsia="Arial" w:hAnsi="Arial"/>
                <w:sz w:val="14"/>
                <w:szCs w:val="14"/>
                <w:color w:val="auto"/>
              </w:rPr>
              <w:t>Taxes paid</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2,157,017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55,066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0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Non-cash exchanges and conversions</w:t>
            </w:r>
          </w:p>
        </w:tc>
        <w:tc>
          <w:tcPr>
            <w:tcW w:w="4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39,438,420</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19,765,183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340"/>
          </w:cols>
          <w:pgMar w:left="320" w:top="459" w:right="1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jc w:val="center"/>
              <w:ind w:right="137"/>
              <w:spacing w:after="0"/>
              <w:rPr>
                <w:sz w:val="20"/>
                <w:szCs w:val="20"/>
                <w:color w:val="auto"/>
              </w:rPr>
            </w:pPr>
            <w:r>
              <w:rPr>
                <w:rFonts w:ascii="Arial" w:cs="Arial" w:eastAsia="Arial" w:hAnsi="Arial"/>
                <w:sz w:val="13"/>
                <w:szCs w:val="13"/>
                <w:b w:val="1"/>
                <w:bCs w:val="1"/>
                <w:color w:val="auto"/>
                <w:w w:val="84"/>
              </w:rPr>
              <w:t>Basis Point</w:t>
            </w: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40" w:type="dxa"/>
            <w:vAlign w:val="bottom"/>
          </w:tcPr>
          <w:p>
            <w:pPr>
              <w:ind w:left="720"/>
              <w:spacing w:after="0" w:line="135" w:lineRule="exact"/>
              <w:rPr>
                <w:sz w:val="20"/>
                <w:szCs w:val="20"/>
                <w:color w:val="auto"/>
              </w:rPr>
            </w:pPr>
            <w:r>
              <w:rPr>
                <w:rFonts w:ascii="Arial" w:cs="Arial" w:eastAsia="Arial" w:hAnsi="Arial"/>
                <w:sz w:val="13"/>
                <w:szCs w:val="13"/>
                <w:b w:val="1"/>
                <w:bCs w:val="1"/>
                <w:color w:val="auto"/>
              </w:rPr>
              <w:t>Maturity /</w:t>
            </w:r>
          </w:p>
        </w:tc>
        <w:tc>
          <w:tcPr>
            <w:tcW w:w="1860" w:type="dxa"/>
            <w:vAlign w:val="bottom"/>
          </w:tcPr>
          <w:p>
            <w:pPr>
              <w:spacing w:after="0"/>
              <w:rPr>
                <w:sz w:val="11"/>
                <w:szCs w:val="11"/>
                <w:color w:val="auto"/>
              </w:rPr>
            </w:pPr>
          </w:p>
        </w:tc>
        <w:tc>
          <w:tcPr>
            <w:tcW w:w="980" w:type="dxa"/>
            <w:vAlign w:val="bottom"/>
          </w:tcPr>
          <w:p>
            <w:pPr>
              <w:jc w:val="right"/>
              <w:ind w:right="357"/>
              <w:spacing w:after="0" w:line="135" w:lineRule="exact"/>
              <w:rPr>
                <w:sz w:val="20"/>
                <w:szCs w:val="20"/>
                <w:color w:val="auto"/>
              </w:rPr>
            </w:pPr>
            <w:r>
              <w:rPr>
                <w:rFonts w:ascii="Arial" w:cs="Arial" w:eastAsia="Arial" w:hAnsi="Arial"/>
                <w:sz w:val="13"/>
                <w:szCs w:val="13"/>
                <w:b w:val="1"/>
                <w:bCs w:val="1"/>
                <w:color w:val="auto"/>
              </w:rPr>
              <w:t>Current</w:t>
            </w:r>
          </w:p>
        </w:tc>
        <w:tc>
          <w:tcPr>
            <w:tcW w:w="108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6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Par /</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vMerge w:val="continue"/>
          </w:tcPr>
          <w:p>
            <w:pPr>
              <w:spacing w:after="0"/>
              <w:rPr>
                <w:sz w:val="13"/>
                <w:szCs w:val="13"/>
                <w:color w:val="auto"/>
              </w:rPr>
            </w:pPr>
          </w:p>
        </w:tc>
        <w:tc>
          <w:tcPr>
            <w:tcW w:w="1340" w:type="dxa"/>
            <w:vAlign w:val="bottom"/>
          </w:tcPr>
          <w:p>
            <w:pPr>
              <w:ind w:left="700"/>
              <w:spacing w:after="0"/>
              <w:rPr>
                <w:sz w:val="20"/>
                <w:szCs w:val="20"/>
                <w:color w:val="auto"/>
              </w:rPr>
            </w:pPr>
            <w:r>
              <w:rPr>
                <w:rFonts w:ascii="Arial" w:cs="Arial" w:eastAsia="Arial" w:hAnsi="Arial"/>
                <w:sz w:val="13"/>
                <w:szCs w:val="13"/>
                <w:b w:val="1"/>
                <w:bCs w:val="1"/>
                <w:color w:val="auto"/>
                <w:w w:val="97"/>
              </w:rPr>
              <w:t>Expiration</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80" w:type="dxa"/>
            <w:vAlign w:val="bottom"/>
          </w:tcPr>
          <w:p>
            <w:pPr>
              <w:jc w:val="right"/>
              <w:ind w:right="377"/>
              <w:spacing w:after="0"/>
              <w:rPr>
                <w:sz w:val="20"/>
                <w:szCs w:val="20"/>
                <w:color w:val="auto"/>
              </w:rPr>
            </w:pPr>
            <w:r>
              <w:rPr>
                <w:rFonts w:ascii="Arial" w:cs="Arial" w:eastAsia="Arial" w:hAnsi="Arial"/>
                <w:sz w:val="13"/>
                <w:szCs w:val="13"/>
                <w:b w:val="1"/>
                <w:bCs w:val="1"/>
                <w:color w:val="auto"/>
              </w:rPr>
              <w:t>Coupon</w:t>
            </w:r>
          </w:p>
        </w:tc>
        <w:tc>
          <w:tcPr>
            <w:tcW w:w="1080" w:type="dxa"/>
            <w:vAlign w:val="bottom"/>
          </w:tcPr>
          <w:p>
            <w:pPr>
              <w:jc w:val="center"/>
              <w:ind w:right="11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60" w:type="dxa"/>
            <w:vAlign w:val="bottom"/>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8"/>
        </w:trPr>
        <w:tc>
          <w:tcPr>
            <w:tcW w:w="47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Non-Controlled, Non-Affiliated Portfolio Companies—153.0% </w:t>
            </w:r>
            <w:r>
              <w:rPr>
                <w:rFonts w:ascii="Arial" w:cs="Arial" w:eastAsia="Arial" w:hAnsi="Arial"/>
                <w:sz w:val="10"/>
                <w:szCs w:val="10"/>
                <w:b w:val="1"/>
                <w:bCs w:val="1"/>
                <w:color w:val="auto"/>
                <w:w w:val="93"/>
              </w:rPr>
              <w:t>(1), (2)</w:t>
            </w:r>
          </w:p>
        </w:tc>
        <w:tc>
          <w:tcPr>
            <w:tcW w:w="18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Debt—50.6%</w:t>
            </w: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03/21/2018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11.25%</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L+975</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21,479,109</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0"/>
              </w:rPr>
              <w:t>$  20,885,094</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7"/>
              </w:rPr>
              <w:t>$  21,586,504</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12/21/2020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9.25%</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23,453,327</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23,155,691</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21,530,154</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A</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06/03/2021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9,262,500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9,085,421</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9,016,959</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Broder Bros., Co., Tranche B</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06/03/2021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13.50%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L+1,225</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9,300,000</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9,119,318</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9,053,466</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10/21/2020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4,455,000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4,401,002</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4,455,000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06/30/2020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25,242,598</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25,018,852</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24,485,320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02/19/2021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14,522,529</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14,266,160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13,928,877</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LSF9 Atlantis Holdings, LLC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01/15/2021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10.00%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39,375,431</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38,811,799</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39,066,227</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Gulf Resources, LLC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12/30/2016</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13,084,097</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12,869,309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12,691,574</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3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9"/>
              </w:rPr>
              <w:t>12/16/2019</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98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10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14,250,000</w:t>
            </w: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14,145,676</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12,397,500</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8"/>
              </w:rPr>
              <w:t>Precious Metals</w:t>
            </w: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06/18/2019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13,265,677</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13,180,914</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13,168,753</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04/21/2017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19,559,853</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19,100,642</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19,462,054</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13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9"/>
              </w:rPr>
              <w:t>09/28/2018</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Hotels, Motels, Inns and Gaming</w:t>
            </w:r>
          </w:p>
        </w:tc>
        <w:tc>
          <w:tcPr>
            <w:tcW w:w="98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13.01%</w:t>
            </w:r>
          </w:p>
        </w:tc>
        <w:tc>
          <w:tcPr>
            <w:tcW w:w="108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8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19,998,354</w:t>
            </w: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30,167,262</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28,722,536</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(PIK 0.50%)</w:t>
            </w: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Triad Manufacturing, Inc.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12/28/2020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11.25%</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L+1,075</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33,145,438</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32,510,753</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32,795,277</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02/12/2020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11.09%</w:t>
            </w:r>
          </w:p>
        </w:tc>
        <w:tc>
          <w:tcPr>
            <w:tcW w:w="10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23,211,640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37,020,290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32,116,332</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US Med Acquisition, Inc.</w:t>
            </w:r>
          </w:p>
        </w:tc>
        <w:tc>
          <w:tcPr>
            <w:tcW w:w="13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9"/>
              </w:rPr>
              <w:t>08/13/2021</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8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10.00%</w:t>
            </w:r>
          </w:p>
        </w:tc>
        <w:tc>
          <w:tcPr>
            <w:tcW w:w="10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L+900</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8,695,313</w:t>
            </w: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8,695,312</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8,695,312</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05/02/2019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L+1,150</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14,674,286</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14,451,241</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14,162,046</w:t>
            </w:r>
          </w:p>
        </w:tc>
        <w:tc>
          <w:tcPr>
            <w:tcW w:w="0" w:type="dxa"/>
            <w:vAlign w:val="bottom"/>
          </w:tcPr>
          <w:p>
            <w:pPr>
              <w:spacing w:after="0"/>
              <w:rPr>
                <w:sz w:val="1"/>
                <w:szCs w:val="1"/>
                <w:color w:val="auto"/>
              </w:rPr>
            </w:pPr>
          </w:p>
        </w:tc>
      </w:tr>
      <w:tr>
        <w:trPr>
          <w:trHeight w:val="149"/>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326,884,736</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317,333,891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Debt—72.5%</w:t>
            </w:r>
          </w:p>
        </w:tc>
        <w:tc>
          <w:tcPr>
            <w:tcW w:w="13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3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9"/>
              </w:rPr>
              <w:t>09/01/2017</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7"/>
              </w:rPr>
              <w:t>Diversified Natural Resources,</w:t>
            </w:r>
          </w:p>
        </w:tc>
        <w:tc>
          <w:tcPr>
            <w:tcW w:w="98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10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25,400,000</w:t>
            </w: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25,400,000</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13,398,500</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03/04/2022</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19,000,000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18,733,612</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19,760,000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Bennu Oil &amp; Gas, LLC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11/01/2018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26,587,601</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25,422,260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14,623,180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09/30/2020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41,250,000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39,245,722</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38,362,500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03/01/2017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4,632,948</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3,739,797</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1,528,873</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07/31/2019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34,000,000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33,527,571</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34,170,000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10/29/2019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L+1,175</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51,775,000</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51,273,445</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51,775,000</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Language Line, LLC</w:t>
            </w:r>
          </w:p>
        </w:tc>
        <w:tc>
          <w:tcPr>
            <w:tcW w:w="13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9"/>
              </w:rPr>
              <w:t>07/07/2022</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8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10.75%</w:t>
            </w:r>
          </w:p>
        </w:tc>
        <w:tc>
          <w:tcPr>
            <w:tcW w:w="10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L+975</w:t>
            </w:r>
          </w:p>
        </w:tc>
        <w:tc>
          <w:tcPr>
            <w:tcW w:w="8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40,312,500</w:t>
            </w: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39,735,845</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39,405,469</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05/15/2019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45,000,000</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44,698,346</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9,000,000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07/07/2021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11.75%</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L+1,050</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41,250,000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40,904,095</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40,012,500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12/17/2021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L+1,200</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75,000,000</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75,000,000</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74,107,789</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10/02/2020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Media</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L+775</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19,698,091</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19,494,766</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18,910,168</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Pre-Paid Legal Services, Inc.</w:t>
            </w:r>
          </w:p>
        </w:tc>
        <w:tc>
          <w:tcPr>
            <w:tcW w:w="13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9"/>
              </w:rPr>
              <w:t>07/01/2020</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8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10.25%</w:t>
            </w:r>
          </w:p>
        </w:tc>
        <w:tc>
          <w:tcPr>
            <w:tcW w:w="10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L+900</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56,750,000</w:t>
            </w: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56,174,033</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55,898,750</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3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9"/>
              </w:rPr>
              <w:t>07/01/2022</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8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9.75%</w:t>
            </w:r>
          </w:p>
        </w:tc>
        <w:tc>
          <w:tcPr>
            <w:tcW w:w="10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L+875</w:t>
            </w:r>
          </w:p>
        </w:tc>
        <w:tc>
          <w:tcPr>
            <w:tcW w:w="8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28,500,000</w:t>
            </w: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28,110,924</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26,362,500</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VT Buyer Acquisition Corp.</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01/30/2023</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10.75%</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L+975</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18,375,000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17,744,213</w:t>
            </w: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18,007,500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3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519,204,629</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6"/>
              </w:rPr>
              <w:t>455,322,729</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Notes—21.2%</w:t>
            </w: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02/15/2019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8,930,000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8,824,798</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8,702,470</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Cascade Environmental LLC</w:t>
            </w:r>
          </w:p>
        </w:tc>
        <w:tc>
          <w:tcPr>
            <w:tcW w:w="13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9"/>
              </w:rPr>
              <w:t>08/20/2021</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9"/>
              </w:rPr>
              <w:t>Environmental Services</w:t>
            </w:r>
          </w:p>
        </w:tc>
        <w:tc>
          <w:tcPr>
            <w:tcW w:w="98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12.00%</w:t>
            </w:r>
          </w:p>
        </w:tc>
        <w:tc>
          <w:tcPr>
            <w:tcW w:w="10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32,675,553</w:t>
            </w: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32,012,739</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32,348,797</w:t>
            </w:r>
          </w:p>
        </w:tc>
        <w:tc>
          <w:tcPr>
            <w:tcW w:w="0" w:type="dxa"/>
            <w:vAlign w:val="bottom"/>
          </w:tcPr>
          <w:p>
            <w:pPr>
              <w:spacing w:after="0"/>
              <w:rPr>
                <w:sz w:val="1"/>
                <w:szCs w:val="1"/>
                <w:color w:val="auto"/>
              </w:rPr>
            </w:pPr>
          </w:p>
        </w:tc>
      </w:tr>
      <w:tr>
        <w:trPr>
          <w:trHeight w:val="149"/>
        </w:trPr>
        <w:tc>
          <w:tcPr>
            <w:tcW w:w="3360" w:type="dxa"/>
            <w:vAlign w:val="bottom"/>
          </w:tcPr>
          <w:p>
            <w:pPr>
              <w:ind w:left="140"/>
              <w:spacing w:after="0"/>
              <w:rPr>
                <w:sz w:val="20"/>
                <w:szCs w:val="20"/>
                <w:color w:val="auto"/>
              </w:rPr>
            </w:pPr>
            <w:r>
              <w:rPr>
                <w:rFonts w:ascii="Arial" w:cs="Arial" w:eastAsia="Arial" w:hAnsi="Arial"/>
                <w:sz w:val="13"/>
                <w:szCs w:val="13"/>
                <w:color w:val="auto"/>
              </w:rPr>
              <w:t>(f/k/a Cascade LP Holdings, LLC)</w:t>
            </w: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Cascade Environmental LLC</w:t>
            </w:r>
          </w:p>
        </w:tc>
        <w:tc>
          <w:tcPr>
            <w:tcW w:w="13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9"/>
              </w:rPr>
              <w:t>02/20/2017</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Environmental Services</w:t>
            </w:r>
          </w:p>
        </w:tc>
        <w:tc>
          <w:tcPr>
            <w:tcW w:w="980" w:type="dxa"/>
            <w:vAlign w:val="bottom"/>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5,924,447</w:t>
            </w: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74,055</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(f/k/a Cascade LP Holdings, LLC) </w:t>
            </w:r>
            <w:r>
              <w:rPr>
                <w:rFonts w:ascii="Arial" w:cs="Arial" w:eastAsia="Arial" w:hAnsi="Arial"/>
                <w:sz w:val="10"/>
                <w:szCs w:val="10"/>
                <w:color w:val="auto"/>
              </w:rPr>
              <w:t>(9)</w:t>
            </w: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3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9"/>
              </w:rPr>
              <w:t>10/26/2018</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98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13.50%</w:t>
            </w:r>
          </w:p>
        </w:tc>
        <w:tc>
          <w:tcPr>
            <w:tcW w:w="10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10,922,364</w:t>
            </w: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10,804,363</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10,197,776</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(PIK 2.25%)</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(10), (12), (13)</w:t>
            </w:r>
          </w:p>
        </w:tc>
        <w:tc>
          <w:tcPr>
            <w:tcW w:w="1340" w:type="dxa"/>
            <w:vAlign w:val="bottom"/>
            <w:shd w:val="clear" w:color="auto" w:fill="CCEEFF"/>
          </w:tcPr>
          <w:p>
            <w:pPr>
              <w:jc w:val="center"/>
              <w:ind w:left="577"/>
              <w:spacing w:after="0" w:line="122" w:lineRule="exact"/>
              <w:rPr>
                <w:sz w:val="20"/>
                <w:szCs w:val="20"/>
                <w:color w:val="auto"/>
              </w:rPr>
            </w:pPr>
            <w:r>
              <w:rPr>
                <w:rFonts w:ascii="Arial" w:cs="Arial" w:eastAsia="Arial" w:hAnsi="Arial"/>
                <w:sz w:val="13"/>
                <w:szCs w:val="13"/>
                <w:color w:val="auto"/>
                <w:w w:val="89"/>
              </w:rPr>
              <w:t>02/19/2018</w:t>
            </w:r>
          </w:p>
        </w:tc>
        <w:tc>
          <w:tcPr>
            <w:tcW w:w="18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7"/>
              </w:rPr>
              <w:t>Healthcare, Education and</w:t>
            </w:r>
          </w:p>
        </w:tc>
        <w:tc>
          <w:tcPr>
            <w:tcW w:w="980" w:type="dxa"/>
            <w:vAlign w:val="bottom"/>
            <w:shd w:val="clear" w:color="auto" w:fill="CCEEFF"/>
          </w:tcPr>
          <w:p>
            <w:pPr>
              <w:jc w:val="right"/>
              <w:ind w:right="137"/>
              <w:spacing w:after="0" w:line="122" w:lineRule="exact"/>
              <w:rPr>
                <w:sz w:val="20"/>
                <w:szCs w:val="20"/>
                <w:color w:val="auto"/>
              </w:rPr>
            </w:pPr>
            <w:r>
              <w:rPr>
                <w:rFonts w:ascii="Arial" w:cs="Arial" w:eastAsia="Arial" w:hAnsi="Arial"/>
                <w:sz w:val="13"/>
                <w:szCs w:val="13"/>
                <w:color w:val="auto"/>
              </w:rPr>
              <w:t>14.50%</w:t>
            </w:r>
          </w:p>
        </w:tc>
        <w:tc>
          <w:tcPr>
            <w:tcW w:w="1080" w:type="dxa"/>
            <w:vAlign w:val="bottom"/>
            <w:shd w:val="clear" w:color="auto" w:fill="CCEEFF"/>
          </w:tcPr>
          <w:p>
            <w:pPr>
              <w:jc w:val="right"/>
              <w:ind w:right="197"/>
              <w:spacing w:after="0" w:line="122" w:lineRule="exact"/>
              <w:rPr>
                <w:sz w:val="20"/>
                <w:szCs w:val="20"/>
                <w:color w:val="auto"/>
              </w:rPr>
            </w:pPr>
            <w:r>
              <w:rPr>
                <w:rFonts w:ascii="Arial" w:cs="Arial" w:eastAsia="Arial" w:hAnsi="Arial"/>
                <w:sz w:val="13"/>
                <w:szCs w:val="13"/>
                <w:color w:val="auto"/>
              </w:rPr>
              <w:t>L+1,000</w:t>
            </w:r>
          </w:p>
        </w:tc>
        <w:tc>
          <w:tcPr>
            <w:tcW w:w="860" w:type="dxa"/>
            <w:vAlign w:val="bottom"/>
            <w:shd w:val="clear" w:color="auto" w:fill="CCEEFF"/>
          </w:tcPr>
          <w:p>
            <w:pPr>
              <w:jc w:val="right"/>
              <w:ind w:right="97"/>
              <w:spacing w:after="0" w:line="122" w:lineRule="exact"/>
              <w:rPr>
                <w:sz w:val="20"/>
                <w:szCs w:val="20"/>
                <w:color w:val="auto"/>
              </w:rPr>
            </w:pPr>
            <w:r>
              <w:rPr>
                <w:rFonts w:ascii="Arial" w:cs="Arial" w:eastAsia="Arial" w:hAnsi="Arial"/>
                <w:sz w:val="13"/>
                <w:szCs w:val="13"/>
                <w:color w:val="auto"/>
              </w:rPr>
              <w:t>8,130,533</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11,934,255</w:t>
            </w: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11,677,438</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(PIK 6.00%)</w:t>
            </w: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MSPark, Inc.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06/15/2017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15,000,000</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14,878,362</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11/15/2019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15,204,289</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14,829,719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304,086</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9"/>
              </w:rPr>
              <w:t>04/15/2019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42,275,000</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41,704,273</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41,180,377</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9"/>
              </w:rPr>
              <w:t>05/13/2021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13,300,000</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13,072,262</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13,300,000</w:t>
            </w:r>
          </w:p>
        </w:tc>
        <w:tc>
          <w:tcPr>
            <w:tcW w:w="0" w:type="dxa"/>
            <w:vAlign w:val="bottom"/>
          </w:tcPr>
          <w:p>
            <w:pPr>
              <w:spacing w:after="0"/>
              <w:rPr>
                <w:sz w:val="1"/>
                <w:szCs w:val="1"/>
                <w:color w:val="auto"/>
              </w:rPr>
            </w:pPr>
          </w:p>
        </w:tc>
      </w:tr>
      <w:tr>
        <w:trPr>
          <w:trHeight w:val="149"/>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148,060,771</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132,784,999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Equity/Partnership Interests—2.0% </w:t>
            </w:r>
            <w:r>
              <w:rPr>
                <w:rFonts w:ascii="Arial" w:cs="Arial" w:eastAsia="Arial" w:hAnsi="Arial"/>
                <w:sz w:val="10"/>
                <w:szCs w:val="10"/>
                <w:b w:val="1"/>
                <w:bCs w:val="1"/>
                <w:color w:val="auto"/>
              </w:rPr>
              <w:t>(6)</w:t>
            </w:r>
          </w:p>
        </w:tc>
        <w:tc>
          <w:tcPr>
            <w:tcW w:w="13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1340" w:type="dxa"/>
            <w:vAlign w:val="bottom"/>
          </w:tcPr>
          <w:p>
            <w:pPr>
              <w:jc w:val="center"/>
              <w:ind w:left="577"/>
              <w:spacing w:after="0" w:line="121" w:lineRule="exact"/>
              <w:rPr>
                <w:sz w:val="20"/>
                <w:szCs w:val="20"/>
                <w:color w:val="auto"/>
              </w:rPr>
            </w:pPr>
            <w:r>
              <w:rPr>
                <w:rFonts w:ascii="Arial" w:cs="Arial" w:eastAsia="Arial" w:hAnsi="Arial"/>
                <w:sz w:val="13"/>
                <w:szCs w:val="13"/>
                <w:color w:val="auto"/>
              </w:rPr>
              <w:t>—</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8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6.00%</w:t>
            </w:r>
          </w:p>
        </w:tc>
        <w:tc>
          <w:tcPr>
            <w:tcW w:w="10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211</w:t>
            </w: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500,000</w:t>
            </w: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135,186</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949</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949,050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962,587</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8.00%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2,375</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2,088,121</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2,330,308</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8.00%</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3,591</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26,108</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8.00%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3,397</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3,397,484</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4,023,975</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3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rPr>
              <w:t>—</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1,197</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1,197,000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1,355,679</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vRide Holdings, Inc.</w:t>
            </w:r>
          </w:p>
        </w:tc>
        <w:tc>
          <w:tcPr>
            <w:tcW w:w="1340" w:type="dxa"/>
            <w:vAlign w:val="bottom"/>
          </w:tcPr>
          <w:p>
            <w:pPr>
              <w:jc w:val="center"/>
              <w:ind w:left="577"/>
              <w:spacing w:after="0" w:line="135" w:lineRule="exact"/>
              <w:rPr>
                <w:sz w:val="20"/>
                <w:szCs w:val="20"/>
                <w:color w:val="auto"/>
              </w:rPr>
            </w:pPr>
            <w:r>
              <w:rPr>
                <w:rFonts w:ascii="Arial" w:cs="Arial" w:eastAsia="Arial" w:hAnsi="Arial"/>
                <w:sz w:val="13"/>
                <w:szCs w:val="13"/>
                <w:color w:val="auto"/>
              </w:rPr>
              <w:t>—</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Personal Transportation</w:t>
            </w:r>
          </w:p>
        </w:tc>
        <w:tc>
          <w:tcPr>
            <w:tcW w:w="9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8.00%</w:t>
            </w:r>
          </w:p>
        </w:tc>
        <w:tc>
          <w:tcPr>
            <w:tcW w:w="10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1,966,667</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2,102,669</w:t>
            </w: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3,615,215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3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10,234,324</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12,449,058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Maturity /</w:t>
            </w:r>
          </w:p>
        </w:tc>
        <w:tc>
          <w:tcPr>
            <w:tcW w:w="1900" w:type="dxa"/>
            <w:vAlign w:val="bottom"/>
          </w:tcPr>
          <w:p>
            <w:pPr>
              <w:spacing w:after="0"/>
              <w:rPr>
                <w:sz w:val="11"/>
                <w:szCs w:val="11"/>
                <w:color w:val="auto"/>
              </w:rPr>
            </w:pPr>
          </w:p>
        </w:tc>
        <w:tc>
          <w:tcPr>
            <w:tcW w:w="9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Current</w:t>
            </w: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Spread</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2"/>
              </w:rPr>
              <w:t>Par /</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00" w:type="dxa"/>
            <w:vAlign w:val="bottom"/>
            <w:vMerge w:val="continue"/>
          </w:tcPr>
          <w:p>
            <w:pPr>
              <w:spacing w:after="0"/>
              <w:rPr>
                <w:sz w:val="10"/>
                <w:szCs w:val="10"/>
                <w:color w:val="auto"/>
              </w:rPr>
            </w:pPr>
          </w:p>
        </w:tc>
        <w:tc>
          <w:tcPr>
            <w:tcW w:w="190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Industry</w:t>
            </w:r>
          </w:p>
        </w:tc>
        <w:tc>
          <w:tcPr>
            <w:tcW w:w="900" w:type="dxa"/>
            <w:vAlign w:val="bottom"/>
            <w:vMerge w:val="continue"/>
          </w:tcPr>
          <w:p>
            <w:pPr>
              <w:spacing w:after="0"/>
              <w:rPr>
                <w:sz w:val="10"/>
                <w:szCs w:val="10"/>
                <w:color w:val="auto"/>
              </w:rPr>
            </w:pPr>
          </w:p>
        </w:tc>
        <w:tc>
          <w:tcPr>
            <w:tcW w:w="108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0"/>
              </w:rPr>
              <w:t>Above Index</w:t>
            </w:r>
          </w:p>
        </w:tc>
        <w:tc>
          <w:tcPr>
            <w:tcW w:w="740" w:type="dxa"/>
            <w:vAlign w:val="bottom"/>
            <w:gridSpan w:val="2"/>
            <w:vMerge w:val="continue"/>
          </w:tcPr>
          <w:p>
            <w:pPr>
              <w:spacing w:after="0"/>
              <w:rPr>
                <w:sz w:val="10"/>
                <w:szCs w:val="10"/>
                <w:color w:val="auto"/>
              </w:rPr>
            </w:pP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Cost</w:t>
            </w: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48"/>
        </w:trPr>
        <w:tc>
          <w:tcPr>
            <w:tcW w:w="4020" w:type="dxa"/>
            <w:vAlign w:val="bottom"/>
            <w:vMerge w:val="continue"/>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w w:val="97"/>
              </w:rPr>
              <w:t>Expiration</w:t>
            </w:r>
          </w:p>
        </w:tc>
        <w:tc>
          <w:tcPr>
            <w:tcW w:w="1900" w:type="dxa"/>
            <w:vAlign w:val="bottom"/>
            <w:vMerge w:val="continue"/>
          </w:tcPr>
          <w:p>
            <w:pPr>
              <w:spacing w:after="0"/>
              <w:rPr>
                <w:sz w:val="12"/>
                <w:szCs w:val="12"/>
                <w:color w:val="auto"/>
              </w:rPr>
            </w:pPr>
          </w:p>
        </w:tc>
        <w:tc>
          <w:tcPr>
            <w:tcW w:w="900" w:type="dxa"/>
            <w:vAlign w:val="bottom"/>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20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Interests/Warrants—6.7% </w:t>
            </w:r>
            <w:r>
              <w:rPr>
                <w:rFonts w:ascii="Arial" w:cs="Arial" w:eastAsia="Arial" w:hAnsi="Arial"/>
                <w:sz w:val="10"/>
                <w:szCs w:val="10"/>
                <w:b w:val="1"/>
                <w:bCs w:val="1"/>
                <w:color w:val="auto"/>
              </w:rPr>
              <w:t>(6)</w:t>
            </w:r>
          </w:p>
        </w:tc>
        <w:tc>
          <w:tcPr>
            <w:tcW w:w="700" w:type="dxa"/>
            <w:vAlign w:val="bottom"/>
            <w:tcBorders>
              <w:top w:val="single" w:sz="8" w:color="auto"/>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w w:val="89"/>
              </w:rPr>
              <w:t>03/23/2021</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0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753</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Alegeus Technologies Holdings Corp.</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Financial Services</w:t>
            </w:r>
          </w:p>
        </w:tc>
        <w:tc>
          <w:tcPr>
            <w:tcW w:w="90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950</w:t>
            </w:r>
          </w:p>
        </w:tc>
        <w:tc>
          <w:tcPr>
            <w:tcW w:w="9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964</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05/05/2026</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586,975</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862,723</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1,333,330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3,000,000</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0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137,923</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2,111,588</w:t>
            </w:r>
          </w:p>
        </w:tc>
        <w:tc>
          <w:tcPr>
            <w:tcW w:w="9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2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Cascade Environmental LLC</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Environmental Services</w:t>
            </w:r>
          </w:p>
        </w:tc>
        <w:tc>
          <w:tcPr>
            <w:tcW w:w="90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23,600</w:t>
            </w: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2,360,000</w:t>
            </w:r>
          </w:p>
        </w:tc>
        <w:tc>
          <w:tcPr>
            <w:tcW w:w="9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5,133,660</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(f/k/a Cascade LP Holdings, LLC) </w:t>
            </w:r>
            <w:r>
              <w:rPr>
                <w:rFonts w:ascii="Arial" w:cs="Arial" w:eastAsia="Arial" w:hAnsi="Arial"/>
                <w:sz w:val="10"/>
                <w:szCs w:val="10"/>
                <w:color w:val="auto"/>
              </w:rPr>
              <w:t>(11)</w:t>
            </w:r>
          </w:p>
        </w:tc>
        <w:tc>
          <w:tcPr>
            <w:tcW w:w="7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1,745,639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1,745,639</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2,945,309</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2,375</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1,635,107</w:t>
            </w: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Faraday Holdings, LLC</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0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3,520</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171,601</w:t>
            </w:r>
          </w:p>
        </w:tc>
        <w:tc>
          <w:tcPr>
            <w:tcW w:w="9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137,269</w:t>
            </w:r>
          </w:p>
        </w:tc>
        <w:tc>
          <w:tcPr>
            <w:tcW w:w="0" w:type="dxa"/>
            <w:vAlign w:val="bottom"/>
          </w:tcPr>
          <w:p>
            <w:pPr>
              <w:spacing w:after="0"/>
              <w:rPr>
                <w:sz w:val="1"/>
                <w:szCs w:val="1"/>
                <w:color w:val="auto"/>
              </w:rPr>
            </w:pPr>
          </w:p>
        </w:tc>
      </w:tr>
      <w:tr>
        <w:trPr>
          <w:trHeight w:val="149"/>
        </w:trPr>
        <w:tc>
          <w:tcPr>
            <w:tcW w:w="4020" w:type="dxa"/>
            <w:vAlign w:val="bottom"/>
          </w:tcPr>
          <w:p>
            <w:pPr>
              <w:ind w:left="140"/>
              <w:spacing w:after="0"/>
              <w:rPr>
                <w:sz w:val="20"/>
                <w:szCs w:val="20"/>
                <w:color w:val="auto"/>
              </w:rPr>
            </w:pPr>
            <w:r>
              <w:rPr>
                <w:rFonts w:ascii="Arial" w:cs="Arial" w:eastAsia="Arial" w:hAnsi="Arial"/>
                <w:sz w:val="13"/>
                <w:szCs w:val="13"/>
                <w:color w:val="auto"/>
              </w:rPr>
              <w:t>(Interior Specialists, Inc.)</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388,378</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2,823,661</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2,516</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3,773,481</w:t>
            </w:r>
          </w:p>
        </w:tc>
        <w:tc>
          <w:tcPr>
            <w:tcW w:w="0" w:type="dxa"/>
            <w:vAlign w:val="bottom"/>
          </w:tcPr>
          <w:p>
            <w:pPr>
              <w:spacing w:after="0"/>
              <w:rPr>
                <w:sz w:val="1"/>
                <w:szCs w:val="1"/>
                <w:color w:val="auto"/>
              </w:rPr>
            </w:pPr>
          </w:p>
        </w:tc>
      </w:tr>
      <w:tr>
        <w:trPr>
          <w:trHeight w:val="121"/>
        </w:trPr>
        <w:tc>
          <w:tcPr>
            <w:tcW w:w="4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A</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0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1,079,920</w:t>
            </w: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1,236,832</w:t>
            </w:r>
          </w:p>
        </w:tc>
        <w:tc>
          <w:tcPr>
            <w:tcW w:w="9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7,255,175</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Kadmon Holdings, LLC, Class D</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0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1,079,920</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1,028,807</w:t>
            </w:r>
          </w:p>
        </w:tc>
        <w:tc>
          <w:tcPr>
            <w:tcW w:w="9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1,028,607</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493,280</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565,069</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1,000,000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1,000,000</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374,203</w:t>
            </w:r>
          </w:p>
        </w:tc>
        <w:tc>
          <w:tcPr>
            <w:tcW w:w="0" w:type="dxa"/>
            <w:vAlign w:val="bottom"/>
          </w:tcPr>
          <w:p>
            <w:pPr>
              <w:spacing w:after="0"/>
              <w:rPr>
                <w:sz w:val="1"/>
                <w:szCs w:val="1"/>
                <w:color w:val="auto"/>
              </w:rPr>
            </w:pPr>
          </w:p>
        </w:tc>
      </w:tr>
      <w:tr>
        <w:trPr>
          <w:trHeight w:val="121"/>
        </w:trPr>
        <w:tc>
          <w:tcPr>
            <w:tcW w:w="4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MidOcean PPL Holdings, Corp.</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0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3,000</w:t>
            </w: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3,000,000</w:t>
            </w:r>
          </w:p>
        </w:tc>
        <w:tc>
          <w:tcPr>
            <w:tcW w:w="9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4,897,469</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Legal Services, Inc.)</w:t>
            </w:r>
          </w:p>
        </w:tc>
        <w:tc>
          <w:tcPr>
            <w:tcW w:w="7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05/09/2024</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13,500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495,000</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100,885</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238,038</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776,815</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1,350,000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901,263</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1,181,868</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150,000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142,300</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1,947,148</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Ride Group Parent,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1,870,331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148,998</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133,472</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1,330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133,000</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835,476</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211,797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793,873</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5,991,322</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vRide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9,882</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11,314</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18,166</w:t>
            </w: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19,601,974</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42,316,964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9"/>
              </w:rPr>
              <w:t>Total Investments in Non-Controlled, Non-Affiliated Portfolio Companies</w:t>
            </w:r>
          </w:p>
        </w:tc>
        <w:tc>
          <w:tcPr>
            <w:tcW w:w="7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1"/>
              </w:rPr>
              <w:t>1,023,986,434</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960,207,641</w:t>
            </w:r>
          </w:p>
        </w:tc>
        <w:tc>
          <w:tcPr>
            <w:tcW w:w="0" w:type="dxa"/>
            <w:vAlign w:val="bottom"/>
          </w:tcPr>
          <w:p>
            <w:pPr>
              <w:spacing w:after="0"/>
              <w:rPr>
                <w:sz w:val="1"/>
                <w:szCs w:val="1"/>
                <w:color w:val="auto"/>
              </w:rPr>
            </w:pPr>
          </w:p>
        </w:tc>
      </w:tr>
      <w:tr>
        <w:trPr>
          <w:trHeight w:val="142"/>
        </w:trPr>
        <w:tc>
          <w:tcPr>
            <w:tcW w:w="4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Investments in Non-Controlled, Affiliated Portfolio Companies—26.9% </w:t>
            </w:r>
            <w:r>
              <w:rPr>
                <w:rFonts w:ascii="Arial" w:cs="Arial" w:eastAsia="Arial" w:hAnsi="Arial"/>
                <w:sz w:val="10"/>
                <w:szCs w:val="10"/>
                <w:b w:val="1"/>
                <w:bCs w:val="1"/>
                <w:color w:val="auto"/>
              </w:rPr>
              <w:t>(1), (2)</w:t>
            </w: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Debt—7.9%</w:t>
            </w:r>
          </w:p>
        </w:tc>
        <w:tc>
          <w:tcPr>
            <w:tcW w:w="7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11/25/2020</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10.75%</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L+975</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23,640,750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23,192,277</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23,404,342</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(9)</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11/25/2020</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1,942,623</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04/30/2018</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12.00%</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L+1,050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23,264,911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23,087,636</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23,264,911</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11/22/2016</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12.00%</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L+1,050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3,000,000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3,000,000</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3,000,000</w:t>
            </w: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49,279,913</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49,669,253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Debt—3.7%</w:t>
            </w:r>
          </w:p>
        </w:tc>
        <w:tc>
          <w:tcPr>
            <w:tcW w:w="7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10/31/2018</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8.50%</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L+700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18,000,000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16,746,503</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14,278,500</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12/26/2017</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L+800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9,409,740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9,264,753</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9,127,448</w:t>
            </w: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26,011,256</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23,405,948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Notes—6.1%</w:t>
            </w:r>
          </w:p>
        </w:tc>
        <w:tc>
          <w:tcPr>
            <w:tcW w:w="7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(13)</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w w:val="89"/>
              </w:rPr>
              <w:t>07/30/2018</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7.50%</w:t>
            </w:r>
          </w:p>
        </w:tc>
        <w:tc>
          <w:tcPr>
            <w:tcW w:w="108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9,517,000</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8,371,963</w:t>
            </w:r>
          </w:p>
        </w:tc>
        <w:tc>
          <w:tcPr>
            <w:tcW w:w="9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7,803,940</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(PIK 7.50%)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DirectBuy Holdings, Inc.</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9"/>
              </w:rPr>
              <w:t>11/05/2019</w:t>
            </w:r>
          </w:p>
        </w:tc>
        <w:tc>
          <w:tcPr>
            <w:tcW w:w="19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Consumer Products</w:t>
            </w:r>
          </w:p>
        </w:tc>
        <w:tc>
          <w:tcPr>
            <w:tcW w:w="90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w w:val="92"/>
              </w:rPr>
              <w:t>13,889,376</w:t>
            </w:r>
          </w:p>
        </w:tc>
        <w:tc>
          <w:tcPr>
            <w:tcW w:w="9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12,340,534</w:t>
            </w:r>
          </w:p>
        </w:tc>
        <w:tc>
          <w:tcPr>
            <w:tcW w:w="9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2,916,769</w:t>
            </w: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10/02/2017</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12.50%</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28,000,000</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27,778,201</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27,665,846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48,490,698</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38,386,555</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Equity—0.9% </w:t>
            </w:r>
            <w:r>
              <w:rPr>
                <w:rFonts w:ascii="Arial" w:cs="Arial" w:eastAsia="Arial" w:hAnsi="Arial"/>
                <w:sz w:val="10"/>
                <w:szCs w:val="10"/>
                <w:b w:val="1"/>
                <w:bCs w:val="1"/>
                <w:color w:val="auto"/>
              </w:rPr>
              <w:t>(6)</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20,059,340</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5,254,029</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Interests/Warrants—8.3% </w:t>
            </w:r>
            <w:r>
              <w:rPr>
                <w:rFonts w:ascii="Arial" w:cs="Arial" w:eastAsia="Arial" w:hAnsi="Arial"/>
                <w:sz w:val="10"/>
                <w:szCs w:val="10"/>
                <w:b w:val="1"/>
                <w:bCs w:val="1"/>
                <w:color w:val="auto"/>
              </w:rPr>
              <w:t>(6)</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859,496</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30,503,493</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29,475,881</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37,181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10,265,972</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183,060</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11,250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1,125,000</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1,730,283</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(9)</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11,250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104,719</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21,492,822</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11/05/2022</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15,486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143,668</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11,960,702</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12,279,401</w:t>
            </w: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Leisure, Amusement,</w:t>
            </w:r>
          </w:p>
        </w:tc>
        <w:tc>
          <w:tcPr>
            <w:tcW w:w="90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375,000</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3,750,000</w:t>
            </w:r>
          </w:p>
        </w:tc>
        <w:tc>
          <w:tcPr>
            <w:tcW w:w="9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8"/>
              </w:rPr>
              <w:t>Motion Pictures and Entertainment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Service Champ Holdings, Inc.</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Auto Sector</w:t>
            </w:r>
          </w:p>
        </w:tc>
        <w:tc>
          <w:tcPr>
            <w:tcW w:w="90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16,800</w:t>
            </w:r>
          </w:p>
        </w:tc>
        <w:tc>
          <w:tcPr>
            <w:tcW w:w="9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2,721,600</w:t>
            </w:r>
          </w:p>
        </w:tc>
        <w:tc>
          <w:tcPr>
            <w:tcW w:w="9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4,928,573</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202,620</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1,093,393</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491,755</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188,837</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2,447,528</w:t>
            </w: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82,211,046</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52,138,119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5"/>
              </w:rPr>
              <w:t>Total Investments in Non-Controlled, Affiliated Portfolio Companies</w:t>
            </w:r>
          </w:p>
        </w:tc>
        <w:tc>
          <w:tcPr>
            <w:tcW w:w="7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226,052,253</w:t>
            </w:r>
          </w:p>
        </w:tc>
        <w:tc>
          <w:tcPr>
            <w:tcW w:w="14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168,853,904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Maturity /</w:t>
            </w:r>
          </w:p>
        </w:tc>
        <w:tc>
          <w:tcPr>
            <w:tcW w:w="130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Industry</w:t>
            </w:r>
          </w:p>
        </w:tc>
        <w:tc>
          <w:tcPr>
            <w:tcW w:w="9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Current</w:t>
            </w: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Spread</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2"/>
              </w:rPr>
              <w:t>Par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2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0"/>
              </w:rPr>
              <w:t>Above Index</w:t>
            </w: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48"/>
        </w:trPr>
        <w:tc>
          <w:tcPr>
            <w:tcW w:w="4220" w:type="dxa"/>
            <w:vAlign w:val="bottom"/>
            <w:vMerge w:val="continue"/>
          </w:tcPr>
          <w:p>
            <w:pPr>
              <w:spacing w:after="0"/>
              <w:rPr>
                <w:sz w:val="12"/>
                <w:szCs w:val="12"/>
                <w:color w:val="auto"/>
              </w:rPr>
            </w:pPr>
          </w:p>
        </w:tc>
        <w:tc>
          <w:tcPr>
            <w:tcW w:w="1000" w:type="dxa"/>
            <w:vAlign w:val="bottom"/>
          </w:tcPr>
          <w:p>
            <w:pPr>
              <w:ind w:left="300"/>
              <w:spacing w:after="0"/>
              <w:rPr>
                <w:sz w:val="20"/>
                <w:szCs w:val="20"/>
                <w:color w:val="auto"/>
              </w:rPr>
            </w:pPr>
            <w:r>
              <w:rPr>
                <w:rFonts w:ascii="Arial" w:cs="Arial" w:eastAsia="Arial" w:hAnsi="Arial"/>
                <w:sz w:val="13"/>
                <w:szCs w:val="13"/>
                <w:b w:val="1"/>
                <w:bCs w:val="1"/>
                <w:color w:val="auto"/>
              </w:rPr>
              <w:t>Expiration</w:t>
            </w:r>
          </w:p>
        </w:tc>
        <w:tc>
          <w:tcPr>
            <w:tcW w:w="1300" w:type="dxa"/>
            <w:vAlign w:val="bottom"/>
          </w:tcPr>
          <w:p>
            <w:pPr>
              <w:spacing w:after="0"/>
              <w:rPr>
                <w:sz w:val="12"/>
                <w:szCs w:val="12"/>
                <w:color w:val="auto"/>
              </w:rPr>
            </w:pPr>
          </w:p>
        </w:tc>
        <w:tc>
          <w:tcPr>
            <w:tcW w:w="960" w:type="dxa"/>
            <w:vAlign w:val="bottom"/>
          </w:tcPr>
          <w:p>
            <w:pPr>
              <w:ind w:left="160"/>
              <w:spacing w:after="0"/>
              <w:rPr>
                <w:sz w:val="20"/>
                <w:szCs w:val="20"/>
                <w:color w:val="auto"/>
              </w:rPr>
            </w:pPr>
            <w:r>
              <w:rPr>
                <w:rFonts w:ascii="Arial" w:cs="Arial" w:eastAsia="Arial" w:hAnsi="Arial"/>
                <w:sz w:val="13"/>
                <w:szCs w:val="13"/>
                <w:b w:val="1"/>
                <w:bCs w:val="1"/>
                <w:color w:val="auto"/>
              </w:rPr>
              <w:t>Coupon</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200" w:type="dxa"/>
            <w:vAlign w:val="bottom"/>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 xml:space="preserve">Investments in Controlled, Affiliated Portfolio Companies—16.3% </w:t>
            </w:r>
            <w:r>
              <w:rPr>
                <w:rFonts w:ascii="Arial" w:cs="Arial" w:eastAsia="Arial" w:hAnsi="Arial"/>
                <w:sz w:val="10"/>
                <w:szCs w:val="10"/>
                <w:b w:val="1"/>
                <w:bCs w:val="1"/>
                <w:color w:val="auto"/>
                <w:w w:val="96"/>
              </w:rPr>
              <w:t>(1), (2)</w:t>
            </w:r>
          </w:p>
        </w:tc>
        <w:tc>
          <w:tcPr>
            <w:tcW w:w="10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Debt—14.0%</w:t>
            </w: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w:t>
            </w:r>
          </w:p>
        </w:tc>
        <w:tc>
          <w:tcPr>
            <w:tcW w:w="1000" w:type="dxa"/>
            <w:vAlign w:val="bottom"/>
            <w:shd w:val="clear" w:color="auto" w:fill="CCEEFF"/>
          </w:tcPr>
          <w:p>
            <w:pPr>
              <w:jc w:val="center"/>
              <w:ind w:left="97"/>
              <w:spacing w:after="0" w:line="121" w:lineRule="exact"/>
              <w:rPr>
                <w:sz w:val="20"/>
                <w:szCs w:val="20"/>
                <w:color w:val="auto"/>
              </w:rPr>
            </w:pPr>
            <w:r>
              <w:rPr>
                <w:rFonts w:ascii="Arial" w:cs="Arial" w:eastAsia="Arial" w:hAnsi="Arial"/>
                <w:sz w:val="13"/>
                <w:szCs w:val="13"/>
                <w:color w:val="auto"/>
                <w:w w:val="86"/>
              </w:rPr>
              <w:t>07/18/2019</w:t>
            </w:r>
          </w:p>
        </w:tc>
        <w:tc>
          <w:tcPr>
            <w:tcW w:w="13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Energy and Utilities</w:t>
            </w:r>
          </w:p>
        </w:tc>
        <w:tc>
          <w:tcPr>
            <w:tcW w:w="9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10.00%</w:t>
            </w:r>
          </w:p>
        </w:tc>
        <w:tc>
          <w:tcPr>
            <w:tcW w:w="10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L+800</w:t>
            </w:r>
          </w:p>
        </w:tc>
        <w:tc>
          <w:tcPr>
            <w:tcW w:w="6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2"/>
              </w:rPr>
              <w:t>80,442,049</w:t>
            </w:r>
          </w:p>
        </w:tc>
        <w:tc>
          <w:tcPr>
            <w:tcW w:w="1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79,330,963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62,945,903</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(PIK 10.00%)</w:t>
            </w: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22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1000" w:type="dxa"/>
            <w:vAlign w:val="bottom"/>
          </w:tcPr>
          <w:p>
            <w:pPr>
              <w:jc w:val="center"/>
              <w:ind w:left="97"/>
              <w:spacing w:after="0" w:line="121" w:lineRule="exact"/>
              <w:rPr>
                <w:sz w:val="20"/>
                <w:szCs w:val="20"/>
                <w:color w:val="auto"/>
              </w:rPr>
            </w:pPr>
            <w:r>
              <w:rPr>
                <w:rFonts w:ascii="Arial" w:cs="Arial" w:eastAsia="Arial" w:hAnsi="Arial"/>
                <w:sz w:val="13"/>
                <w:szCs w:val="13"/>
                <w:color w:val="auto"/>
                <w:w w:val="86"/>
              </w:rPr>
              <w:t>12/31/2018</w:t>
            </w:r>
          </w:p>
        </w:tc>
        <w:tc>
          <w:tcPr>
            <w:tcW w:w="130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w:t>
            </w:r>
          </w:p>
        </w:tc>
        <w:tc>
          <w:tcPr>
            <w:tcW w:w="9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14.00%</w:t>
            </w:r>
          </w:p>
        </w:tc>
        <w:tc>
          <w:tcPr>
            <w:tcW w:w="108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L+1,300</w:t>
            </w:r>
          </w:p>
        </w:tc>
        <w:tc>
          <w:tcPr>
            <w:tcW w:w="6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2"/>
              </w:rPr>
              <w:t>24,725,391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22,809,281</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24,725,391</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(PIK 14.00%)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6"/>
              </w:rPr>
              <w:t>102,140,244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87,671,294</w:t>
            </w:r>
          </w:p>
        </w:tc>
        <w:tc>
          <w:tcPr>
            <w:tcW w:w="0" w:type="dxa"/>
            <w:vAlign w:val="bottom"/>
          </w:tcPr>
          <w:p>
            <w:pPr>
              <w:spacing w:after="0"/>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Debt—1.2%</w:t>
            </w: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1000" w:type="dxa"/>
            <w:vAlign w:val="bottom"/>
            <w:shd w:val="clear" w:color="auto" w:fill="CCEEFF"/>
          </w:tcPr>
          <w:p>
            <w:pPr>
              <w:jc w:val="center"/>
              <w:ind w:left="97"/>
              <w:spacing w:after="0" w:line="121" w:lineRule="exact"/>
              <w:rPr>
                <w:sz w:val="20"/>
                <w:szCs w:val="20"/>
                <w:color w:val="auto"/>
              </w:rPr>
            </w:pPr>
            <w:r>
              <w:rPr>
                <w:rFonts w:ascii="Arial" w:cs="Arial" w:eastAsia="Arial" w:hAnsi="Arial"/>
                <w:sz w:val="13"/>
                <w:szCs w:val="13"/>
                <w:color w:val="auto"/>
                <w:w w:val="86"/>
              </w:rPr>
              <w:t>07/01/2019</w:t>
            </w:r>
          </w:p>
        </w:tc>
        <w:tc>
          <w:tcPr>
            <w:tcW w:w="13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w:t>
            </w:r>
          </w:p>
        </w:tc>
        <w:tc>
          <w:tcPr>
            <w:tcW w:w="9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16.00%</w:t>
            </w:r>
          </w:p>
        </w:tc>
        <w:tc>
          <w:tcPr>
            <w:tcW w:w="10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L+1,500</w:t>
            </w:r>
          </w:p>
        </w:tc>
        <w:tc>
          <w:tcPr>
            <w:tcW w:w="6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7,426,639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7,426,639</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7,426,639</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(PIK 16.00%)</w:t>
            </w: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10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6"/>
              </w:rPr>
              <w:t>07/01/2019</w:t>
            </w:r>
          </w:p>
        </w:tc>
        <w:tc>
          <w:tcPr>
            <w:tcW w:w="130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7,426,639</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7,426,639</w:t>
            </w:r>
          </w:p>
        </w:tc>
        <w:tc>
          <w:tcPr>
            <w:tcW w:w="0" w:type="dxa"/>
            <w:vAlign w:val="bottom"/>
          </w:tcPr>
          <w:p>
            <w:pPr>
              <w:spacing w:after="0"/>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Equity—0.0% </w:t>
            </w:r>
            <w:r>
              <w:rPr>
                <w:rFonts w:ascii="Arial" w:cs="Arial" w:eastAsia="Arial" w:hAnsi="Arial"/>
                <w:sz w:val="10"/>
                <w:szCs w:val="10"/>
                <w:b w:val="1"/>
                <w:bCs w:val="1"/>
                <w:color w:val="auto"/>
              </w:rPr>
              <w:t>(6)</w:t>
            </w: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100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15.00%</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37,046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5,000,000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315,381</w:t>
            </w:r>
          </w:p>
        </w:tc>
        <w:tc>
          <w:tcPr>
            <w:tcW w:w="0" w:type="dxa"/>
            <w:vAlign w:val="bottom"/>
          </w:tcPr>
          <w:p>
            <w:pPr>
              <w:spacing w:after="0"/>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Equity—1.1% </w:t>
            </w:r>
            <w:r>
              <w:rPr>
                <w:rFonts w:ascii="Arial" w:cs="Arial" w:eastAsia="Arial" w:hAnsi="Arial"/>
                <w:sz w:val="10"/>
                <w:szCs w:val="10"/>
                <w:b w:val="1"/>
                <w:bCs w:val="1"/>
                <w:color w:val="auto"/>
              </w:rPr>
              <w:t>(6)</w:t>
            </w: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100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65,933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24,761,831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7,023,521</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10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23,141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20,824,388</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100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11,100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2,211,000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220" w:type="dxa"/>
            <w:vAlign w:val="bottom"/>
          </w:tcPr>
          <w:p>
            <w:pPr>
              <w:spacing w:after="0" w:line="142" w:lineRule="exact"/>
              <w:rPr>
                <w:sz w:val="20"/>
                <w:szCs w:val="20"/>
                <w:color w:val="auto"/>
              </w:rPr>
            </w:pPr>
            <w:r>
              <w:rPr>
                <w:rFonts w:ascii="Arial" w:cs="Arial" w:eastAsia="Arial" w:hAnsi="Arial"/>
                <w:sz w:val="13"/>
                <w:szCs w:val="13"/>
                <w:color w:val="auto"/>
              </w:rPr>
              <w:t>Total Common Equity</w:t>
            </w: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47,797,219</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7,023,521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1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6"/>
              </w:rPr>
              <w:t>162,364,102</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102,436,835</w:t>
            </w:r>
          </w:p>
        </w:tc>
        <w:tc>
          <w:tcPr>
            <w:tcW w:w="0" w:type="dxa"/>
            <w:vAlign w:val="bottom"/>
          </w:tcPr>
          <w:p>
            <w:pPr>
              <w:spacing w:after="0"/>
              <w:rPr>
                <w:sz w:val="1"/>
                <w:szCs w:val="1"/>
                <w:color w:val="auto"/>
              </w:rPr>
            </w:pPr>
          </w:p>
        </w:tc>
      </w:tr>
      <w:tr>
        <w:trPr>
          <w:trHeight w:val="149"/>
        </w:trPr>
        <w:tc>
          <w:tcPr>
            <w:tcW w:w="422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Investments—196.2%</w:t>
            </w: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1,412,402,789</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1,231,498,380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Equivalents—5.3%</w:t>
            </w:r>
          </w:p>
        </w:tc>
        <w:tc>
          <w:tcPr>
            <w:tcW w:w="1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5,270,003</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5,270,003</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1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28,088,470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27,925,126</w:t>
            </w:r>
          </w:p>
        </w:tc>
        <w:tc>
          <w:tcPr>
            <w:tcW w:w="0" w:type="dxa"/>
            <w:vAlign w:val="bottom"/>
          </w:tcPr>
          <w:p>
            <w:pPr>
              <w:spacing w:after="0"/>
              <w:rPr>
                <w:sz w:val="1"/>
                <w:szCs w:val="1"/>
                <w:color w:val="auto"/>
              </w:rPr>
            </w:pPr>
          </w:p>
        </w:tc>
      </w:tr>
      <w:tr>
        <w:trPr>
          <w:trHeight w:val="149"/>
        </w:trPr>
        <w:tc>
          <w:tcPr>
            <w:tcW w:w="422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33,358,473</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33,195,129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Equivalents—201.5%</w:t>
            </w:r>
          </w:p>
        </w:tc>
        <w:tc>
          <w:tcPr>
            <w:tcW w:w="1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w w:val="82"/>
              </w:rPr>
              <w:t>$</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4"/>
              </w:rPr>
              <w:t>1,445,761,262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1,264,693,509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Assets—(101.5%)</w:t>
            </w: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(637,074,837)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1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627,618,672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76" w:lineRule="exact"/>
        <w:rPr>
          <w:sz w:val="20"/>
          <w:szCs w:val="20"/>
          <w:color w:val="auto"/>
        </w:rPr>
      </w:pPr>
    </w:p>
    <w:p>
      <w:pPr>
        <w:ind w:left="340" w:right="40" w:hanging="332"/>
        <w:spacing w:after="0" w:line="24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2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40" w:right="40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 to the financial statements).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60" w:hanging="332"/>
        <w:spacing w:after="0" w:line="23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00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Maturity /</w:t>
            </w: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920" w:type="dxa"/>
            <w:vAlign w:val="bottom"/>
          </w:tcPr>
          <w:p>
            <w:pPr>
              <w:ind w:left="140"/>
              <w:spacing w:after="0" w:line="126" w:lineRule="exact"/>
              <w:rPr>
                <w:sz w:val="20"/>
                <w:szCs w:val="20"/>
                <w:color w:val="auto"/>
              </w:rPr>
            </w:pPr>
            <w:r>
              <w:rPr>
                <w:rFonts w:ascii="Arial" w:cs="Arial" w:eastAsia="Arial" w:hAnsi="Arial"/>
                <w:sz w:val="13"/>
                <w:szCs w:val="13"/>
                <w:b w:val="1"/>
                <w:bCs w:val="1"/>
                <w:color w:val="auto"/>
              </w:rPr>
              <w:t>Current</w:t>
            </w:r>
          </w:p>
        </w:tc>
        <w:tc>
          <w:tcPr>
            <w:tcW w:w="92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000" w:type="dxa"/>
            <w:vAlign w:val="bottom"/>
          </w:tcPr>
          <w:p>
            <w:pPr>
              <w:ind w:left="340"/>
              <w:spacing w:after="0"/>
              <w:rPr>
                <w:sz w:val="20"/>
                <w:szCs w:val="20"/>
                <w:color w:val="auto"/>
              </w:rPr>
            </w:pPr>
            <w:r>
              <w:rPr>
                <w:rFonts w:ascii="Arial" w:cs="Arial" w:eastAsia="Arial" w:hAnsi="Arial"/>
                <w:sz w:val="13"/>
                <w:szCs w:val="13"/>
                <w:b w:val="1"/>
                <w:bCs w:val="1"/>
                <w:color w:val="auto"/>
              </w:rPr>
              <w:t>Expiration</w:t>
            </w:r>
          </w:p>
        </w:tc>
        <w:tc>
          <w:tcPr>
            <w:tcW w:w="28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Coupon</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(3)</w:t>
            </w:r>
          </w:p>
        </w:tc>
        <w:tc>
          <w:tcPr>
            <w:tcW w:w="0" w:type="dxa"/>
            <w:vAlign w:val="bottom"/>
          </w:tcPr>
          <w:p>
            <w:pPr>
              <w:spacing w:after="0"/>
              <w:rPr>
                <w:sz w:val="1"/>
                <w:szCs w:val="1"/>
                <w:color w:val="auto"/>
              </w:rPr>
            </w:pPr>
          </w:p>
        </w:tc>
      </w:tr>
      <w:tr>
        <w:trPr>
          <w:trHeight w:val="110"/>
        </w:trPr>
        <w:tc>
          <w:tcPr>
            <w:tcW w:w="6960" w:type="dxa"/>
            <w:vAlign w:val="bottom"/>
            <w:tcBorders>
              <w:top w:val="single" w:sz="8" w:color="auto"/>
            </w:tcBorders>
            <w:gridSpan w:val="3"/>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Companies—153.0% </w:t>
            </w:r>
            <w:r>
              <w:rPr>
                <w:rFonts w:ascii="Arial" w:cs="Arial" w:eastAsia="Arial" w:hAnsi="Arial"/>
                <w:sz w:val="9"/>
                <w:szCs w:val="9"/>
                <w:b w:val="1"/>
                <w:bCs w:val="1"/>
                <w:color w:val="auto"/>
              </w:rPr>
              <w:t>(1), (2)</w:t>
            </w:r>
          </w:p>
        </w:tc>
        <w:tc>
          <w:tcPr>
            <w:tcW w:w="9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Debt—39.1%</w:t>
            </w:r>
          </w:p>
        </w:tc>
        <w:tc>
          <w:tcPr>
            <w:tcW w:w="10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03/21/2018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11.25%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22,689,469</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$ 22,109,951</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  23,483,601</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04/02/2018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11.97%</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44,459,443</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43,751,988</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45,126,826</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04/02/2018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4,371,469</w:t>
            </w: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65,620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12/21/2020</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9.25%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L+825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23,573,292</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23,268,725</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23,180,325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10/21/2020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4,477,500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4,418,746</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06/30/2020</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25,500,000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25,254,194</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25,500,000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08/19/2019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21,644,154</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21,333,439</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20,091,220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10/31/2017</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9.63%</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5,626,850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5,626,850</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5,007,897</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12/16/2019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8"/>
              </w:rPr>
              <w:t>Mining, Steel, Iron and Non-Precious Metals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11.50%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14,250,000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14,137,010</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11,970,000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06/18/2019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L+750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13,435,343</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13,339,249</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13,407,176</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04/21/2017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L+750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19,704,329</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19,043,541</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17,733,896</w:t>
            </w:r>
          </w:p>
        </w:tc>
        <w:tc>
          <w:tcPr>
            <w:tcW w:w="0" w:type="dxa"/>
            <w:vAlign w:val="bottom"/>
          </w:tcPr>
          <w:p>
            <w:pPr>
              <w:spacing w:after="0"/>
              <w:rPr>
                <w:sz w:val="1"/>
                <w:szCs w:val="1"/>
                <w:color w:val="auto"/>
              </w:rPr>
            </w:pPr>
          </w:p>
        </w:tc>
      </w:tr>
      <w:tr>
        <w:trPr>
          <w:trHeight w:val="121"/>
        </w:trPr>
        <w:tc>
          <w:tcPr>
            <w:tcW w:w="3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100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w w:val="98"/>
              </w:rPr>
              <w:t>09/28/2018</w:t>
            </w:r>
          </w:p>
        </w:tc>
        <w:tc>
          <w:tcPr>
            <w:tcW w:w="2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2"/>
              </w:rPr>
              <w:t>19,947,600</w:t>
            </w:r>
          </w:p>
        </w:tc>
        <w:tc>
          <w:tcPr>
            <w:tcW w:w="80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30,053,647</w:t>
            </w:r>
          </w:p>
        </w:tc>
        <w:tc>
          <w:tcPr>
            <w:tcW w:w="94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29,873,876</w:t>
            </w:r>
          </w:p>
        </w:tc>
        <w:tc>
          <w:tcPr>
            <w:tcW w:w="0" w:type="dxa"/>
            <w:vAlign w:val="bottom"/>
          </w:tcPr>
          <w:p>
            <w:pPr>
              <w:spacing w:after="0"/>
              <w:rPr>
                <w:sz w:val="1"/>
                <w:szCs w:val="1"/>
                <w:color w:val="auto"/>
              </w:rPr>
            </w:pPr>
          </w:p>
        </w:tc>
      </w:tr>
      <w:tr>
        <w:trPr>
          <w:trHeight w:val="163"/>
        </w:trPr>
        <w:tc>
          <w:tcPr>
            <w:tcW w:w="3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0.50%)</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02/12/2020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11.08%</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24,386,987</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38,764,474</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36,411,706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Med Acquisition,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08/13/2021</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8,739,063</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8,739,063</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8,739,062</w:t>
            </w:r>
          </w:p>
        </w:tc>
        <w:tc>
          <w:tcPr>
            <w:tcW w:w="0" w:type="dxa"/>
            <w:vAlign w:val="bottom"/>
          </w:tcPr>
          <w:p>
            <w:pPr>
              <w:spacing w:after="0"/>
              <w:rPr>
                <w:sz w:val="1"/>
                <w:szCs w:val="1"/>
                <w:color w:val="auto"/>
              </w:rPr>
            </w:pPr>
          </w:p>
        </w:tc>
      </w:tr>
      <w:tr>
        <w:trPr>
          <w:trHeight w:val="142"/>
        </w:trPr>
        <w:tc>
          <w:tcPr>
            <w:tcW w:w="3140" w:type="dxa"/>
            <w:vAlign w:val="bottom"/>
          </w:tcPr>
          <w:p>
            <w:pPr>
              <w:spacing w:after="0" w:line="135" w:lineRule="exact"/>
              <w:rPr>
                <w:sz w:val="20"/>
                <w:szCs w:val="20"/>
                <w:color w:val="auto"/>
              </w:rPr>
            </w:pPr>
            <w:r>
              <w:rPr>
                <w:rFonts w:ascii="Arial" w:cs="Arial" w:eastAsia="Arial" w:hAnsi="Arial"/>
                <w:sz w:val="13"/>
                <w:szCs w:val="13"/>
                <w:color w:val="auto"/>
              </w:rPr>
              <w:t>U.S. Well Services,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05/02/2019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L+1,150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15,297,762</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15,036,838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15,308,835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0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284,877,715</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280,377,540</w:t>
            </w: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Debt—83.7%</w:t>
            </w:r>
          </w:p>
        </w:tc>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10/31/2018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8.50%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L+700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18,000,000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16,544,788</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16,076,340</w:t>
            </w:r>
          </w:p>
        </w:tc>
        <w:tc>
          <w:tcPr>
            <w:tcW w:w="0" w:type="dxa"/>
            <w:vAlign w:val="bottom"/>
          </w:tcPr>
          <w:p>
            <w:pPr>
              <w:spacing w:after="0"/>
              <w:rPr>
                <w:sz w:val="1"/>
                <w:szCs w:val="1"/>
                <w:color w:val="auto"/>
              </w:rPr>
            </w:pPr>
          </w:p>
        </w:tc>
      </w:tr>
      <w:tr>
        <w:trPr>
          <w:trHeight w:val="121"/>
        </w:trPr>
        <w:tc>
          <w:tcPr>
            <w:tcW w:w="314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000" w:type="dxa"/>
            <w:vAlign w:val="bottom"/>
          </w:tcPr>
          <w:p>
            <w:pPr>
              <w:ind w:left="340"/>
              <w:spacing w:after="0" w:line="121" w:lineRule="exact"/>
              <w:rPr>
                <w:sz w:val="20"/>
                <w:szCs w:val="20"/>
                <w:color w:val="auto"/>
              </w:rPr>
            </w:pPr>
            <w:r>
              <w:rPr>
                <w:rFonts w:ascii="Arial" w:cs="Arial" w:eastAsia="Arial" w:hAnsi="Arial"/>
                <w:sz w:val="13"/>
                <w:szCs w:val="13"/>
                <w:color w:val="auto"/>
                <w:w w:val="98"/>
              </w:rPr>
              <w:t>09/01/2017</w:t>
            </w:r>
          </w:p>
        </w:tc>
        <w:tc>
          <w:tcPr>
            <w:tcW w:w="2820" w:type="dxa"/>
            <w:vAlign w:val="bottom"/>
          </w:tcPr>
          <w:p>
            <w:pPr>
              <w:jc w:val="center"/>
              <w:spacing w:after="0" w:line="121" w:lineRule="exact"/>
              <w:rPr>
                <w:sz w:val="20"/>
                <w:szCs w:val="20"/>
                <w:color w:val="auto"/>
              </w:rPr>
            </w:pPr>
            <w:r>
              <w:rPr>
                <w:rFonts w:ascii="Arial" w:cs="Arial" w:eastAsia="Arial" w:hAnsi="Arial"/>
                <w:sz w:val="13"/>
                <w:szCs w:val="13"/>
                <w:color w:val="auto"/>
                <w:w w:val="88"/>
              </w:rPr>
              <w:t>Diversified Natural Resources, Precious Metals and</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11.50%</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25,400,000</w:t>
            </w:r>
          </w:p>
        </w:tc>
        <w:tc>
          <w:tcPr>
            <w:tcW w:w="800" w:type="dxa"/>
            <w:vAlign w:val="bottom"/>
            <w:gridSpan w:val="3"/>
          </w:tcPr>
          <w:p>
            <w:pPr>
              <w:jc w:val="right"/>
              <w:ind w:right="20"/>
              <w:spacing w:after="0" w:line="121" w:lineRule="exact"/>
              <w:rPr>
                <w:sz w:val="20"/>
                <w:szCs w:val="20"/>
                <w:color w:val="auto"/>
              </w:rPr>
            </w:pPr>
            <w:r>
              <w:rPr>
                <w:rFonts w:ascii="Arial" w:cs="Arial" w:eastAsia="Arial" w:hAnsi="Arial"/>
                <w:sz w:val="13"/>
                <w:szCs w:val="13"/>
                <w:color w:val="auto"/>
              </w:rPr>
              <w:t>25,400,000</w:t>
            </w:r>
          </w:p>
        </w:tc>
        <w:tc>
          <w:tcPr>
            <w:tcW w:w="94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24,130,000</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Arial" w:cs="Arial" w:eastAsia="Arial" w:hAnsi="Arial"/>
                <w:sz w:val="13"/>
                <w:szCs w:val="13"/>
                <w:color w:val="auto"/>
                <w:w w:val="93"/>
              </w:rPr>
              <w:t>Minerals</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Ascensus,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12/02/2020</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15,500,000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15,322,421</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15,441,875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03/04/2022</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19,000,000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18,721,641</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18,810,000</w:t>
            </w:r>
          </w:p>
        </w:tc>
        <w:tc>
          <w:tcPr>
            <w:tcW w:w="0" w:type="dxa"/>
            <w:vAlign w:val="bottom"/>
          </w:tcPr>
          <w:p>
            <w:pPr>
              <w:spacing w:after="0"/>
              <w:rPr>
                <w:sz w:val="1"/>
                <w:szCs w:val="1"/>
                <w:color w:val="auto"/>
              </w:rPr>
            </w:pPr>
          </w:p>
        </w:tc>
      </w:tr>
      <w:tr>
        <w:trPr>
          <w:trHeight w:val="121"/>
        </w:trPr>
        <w:tc>
          <w:tcPr>
            <w:tcW w:w="3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Bennu Oil &amp; Gas, LLC</w:t>
            </w:r>
          </w:p>
        </w:tc>
        <w:tc>
          <w:tcPr>
            <w:tcW w:w="100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w w:val="98"/>
              </w:rPr>
              <w:t>11/01/2018</w:t>
            </w:r>
          </w:p>
        </w:tc>
        <w:tc>
          <w:tcPr>
            <w:tcW w:w="2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Oil and Gas</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12.25%</w:t>
            </w: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L+1,100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2"/>
              </w:rPr>
              <w:t>26,484,773</w:t>
            </w:r>
          </w:p>
        </w:tc>
        <w:tc>
          <w:tcPr>
            <w:tcW w:w="80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25,150,663</w:t>
            </w:r>
          </w:p>
        </w:tc>
        <w:tc>
          <w:tcPr>
            <w:tcW w:w="94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20,393,275</w:t>
            </w:r>
          </w:p>
        </w:tc>
        <w:tc>
          <w:tcPr>
            <w:tcW w:w="0" w:type="dxa"/>
            <w:vAlign w:val="bottom"/>
          </w:tcPr>
          <w:p>
            <w:pPr>
              <w:spacing w:after="0"/>
              <w:rPr>
                <w:sz w:val="1"/>
                <w:szCs w:val="1"/>
                <w:color w:val="auto"/>
              </w:rPr>
            </w:pPr>
          </w:p>
        </w:tc>
      </w:tr>
      <w:tr>
        <w:trPr>
          <w:trHeight w:val="163"/>
        </w:trPr>
        <w:tc>
          <w:tcPr>
            <w:tcW w:w="3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2.50%)</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04/30/2019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13.25%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P+1,000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45,000,000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44,625,152</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45,900,000</w:t>
            </w:r>
          </w:p>
        </w:tc>
        <w:tc>
          <w:tcPr>
            <w:tcW w:w="0" w:type="dxa"/>
            <w:vAlign w:val="bottom"/>
          </w:tcPr>
          <w:p>
            <w:pPr>
              <w:spacing w:after="0"/>
              <w:rPr>
                <w:sz w:val="1"/>
                <w:szCs w:val="1"/>
                <w:color w:val="auto"/>
              </w:rPr>
            </w:pPr>
          </w:p>
        </w:tc>
      </w:tr>
      <w:tr>
        <w:trPr>
          <w:trHeight w:val="121"/>
        </w:trPr>
        <w:tc>
          <w:tcPr>
            <w:tcW w:w="3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00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w w:val="98"/>
              </w:rPr>
              <w:t>04/30/2019</w:t>
            </w:r>
          </w:p>
        </w:tc>
        <w:tc>
          <w:tcPr>
            <w:tcW w:w="2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14.25%</w:t>
            </w: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P+1,100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2"/>
              </w:rPr>
              <w:t>33,109,864</w:t>
            </w:r>
          </w:p>
        </w:tc>
        <w:tc>
          <w:tcPr>
            <w:tcW w:w="80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32,588,028</w:t>
            </w:r>
          </w:p>
        </w:tc>
        <w:tc>
          <w:tcPr>
            <w:tcW w:w="94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33,772,061</w:t>
            </w:r>
          </w:p>
        </w:tc>
        <w:tc>
          <w:tcPr>
            <w:tcW w:w="0" w:type="dxa"/>
            <w:vAlign w:val="bottom"/>
          </w:tcPr>
          <w:p>
            <w:pPr>
              <w:spacing w:after="0"/>
              <w:rPr>
                <w:sz w:val="1"/>
                <w:szCs w:val="1"/>
                <w:color w:val="auto"/>
              </w:rPr>
            </w:pPr>
          </w:p>
        </w:tc>
      </w:tr>
      <w:tr>
        <w:trPr>
          <w:trHeight w:val="163"/>
        </w:trPr>
        <w:tc>
          <w:tcPr>
            <w:tcW w:w="3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1.00%)</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09/30/2020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41,250,000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39,088,044</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40,012,500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03/01/2017</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4,391,420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4,391,422</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1,229,598</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J.A. Cosmetics Holdings,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07/31/2019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34,000,000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33,476,169</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34,340,000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Jacobs Entertainment,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10/29/2019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L+1,175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48,765,129</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48,307,757</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48,765,129</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Language Line,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07/07/2022</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10.75%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40,312,500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39,711,804</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40,211,719</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10/31/2017</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11,875,000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11,667,848</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9,143,751</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05/15/2019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45,000,000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44,698,345</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07/07/2021</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11.75%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41,250,000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40,883,259</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12/17/2021</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L+1,200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75,000,000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75,000,000</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75,586,475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10/02/2020</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Media</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L+775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19,698,091</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19,478,649</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19,615,950</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Pre-Paid Legal Services,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07/01/2020</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10.25%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56,750,000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56,098,358</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56,608,125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Prime Security Services Borrower,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07/01/2022</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9.75%</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28,500,000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28,082,664</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28,001,250</w:t>
            </w:r>
          </w:p>
        </w:tc>
        <w:tc>
          <w:tcPr>
            <w:tcW w:w="0" w:type="dxa"/>
            <w:vAlign w:val="bottom"/>
          </w:tcPr>
          <w:p>
            <w:pPr>
              <w:spacing w:after="0"/>
              <w:rPr>
                <w:sz w:val="1"/>
                <w:szCs w:val="1"/>
                <w:color w:val="auto"/>
              </w:rPr>
            </w:pPr>
          </w:p>
        </w:tc>
      </w:tr>
      <w:tr>
        <w:trPr>
          <w:trHeight w:val="149"/>
        </w:trPr>
        <w:tc>
          <w:tcPr>
            <w:tcW w:w="314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619,237,012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599,963,048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Notes—20.7%</w:t>
            </w:r>
          </w:p>
        </w:tc>
        <w:tc>
          <w:tcPr>
            <w:tcW w:w="10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09/14/2018</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41,389,881</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37,715,391</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15,728,155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Investments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08/15/2018</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21,625,412</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18,687,177</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14,489,026</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02/15/2019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8,819,557</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8,872,566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LP Holdings, LLC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08/20/2021</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27,475,553</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26,893,410</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26,926,042</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02/20/2017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11,124,447</w:t>
            </w: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27,811</w:t>
            </w:r>
          </w:p>
        </w:tc>
        <w:tc>
          <w:tcPr>
            <w:tcW w:w="0" w:type="dxa"/>
            <w:vAlign w:val="bottom"/>
          </w:tcPr>
          <w:p>
            <w:pPr>
              <w:spacing w:after="0"/>
              <w:rPr>
                <w:sz w:val="1"/>
                <w:szCs w:val="1"/>
                <w:color w:val="auto"/>
              </w:rPr>
            </w:pPr>
          </w:p>
        </w:tc>
      </w:tr>
      <w:tr>
        <w:trPr>
          <w:trHeight w:val="121"/>
        </w:trPr>
        <w:tc>
          <w:tcPr>
            <w:tcW w:w="3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100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w w:val="98"/>
              </w:rPr>
              <w:t>10/26/2018</w:t>
            </w:r>
          </w:p>
        </w:tc>
        <w:tc>
          <w:tcPr>
            <w:tcW w:w="2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2"/>
              </w:rPr>
              <w:t>10,800,349</w:t>
            </w:r>
          </w:p>
        </w:tc>
        <w:tc>
          <w:tcPr>
            <w:tcW w:w="80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10,664,093</w:t>
            </w:r>
          </w:p>
        </w:tc>
        <w:tc>
          <w:tcPr>
            <w:tcW w:w="94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10,628,485</w:t>
            </w:r>
          </w:p>
        </w:tc>
        <w:tc>
          <w:tcPr>
            <w:tcW w:w="0" w:type="dxa"/>
            <w:vAlign w:val="bottom"/>
          </w:tcPr>
          <w:p>
            <w:pPr>
              <w:spacing w:after="0"/>
              <w:rPr>
                <w:sz w:val="1"/>
                <w:szCs w:val="1"/>
                <w:color w:val="auto"/>
              </w:rPr>
            </w:pPr>
          </w:p>
        </w:tc>
      </w:tr>
      <w:tr>
        <w:trPr>
          <w:trHeight w:val="163"/>
        </w:trPr>
        <w:tc>
          <w:tcPr>
            <w:tcW w:w="3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1.75%)</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MSPark, Inc.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06/15/2017</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15,000,000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14,836,009</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11/15/2019</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15,204,289</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14,829,719</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1,520,429</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000" w:type="dxa"/>
            <w:vAlign w:val="bottom"/>
          </w:tcPr>
          <w:p>
            <w:pPr>
              <w:ind w:left="340"/>
              <w:spacing w:after="0" w:line="135" w:lineRule="exact"/>
              <w:rPr>
                <w:sz w:val="20"/>
                <w:szCs w:val="20"/>
                <w:color w:val="auto"/>
              </w:rPr>
            </w:pPr>
            <w:r>
              <w:rPr>
                <w:rFonts w:ascii="Arial" w:cs="Arial" w:eastAsia="Arial" w:hAnsi="Arial"/>
                <w:sz w:val="13"/>
                <w:szCs w:val="13"/>
                <w:color w:val="auto"/>
                <w:w w:val="98"/>
              </w:rPr>
              <w:t>04/15/2019</w:t>
            </w:r>
          </w:p>
        </w:tc>
        <w:tc>
          <w:tcPr>
            <w:tcW w:w="282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42,275,000</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41,618,180</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41,892,583</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0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w w:val="98"/>
              </w:rPr>
              <w:t>05/13/2021</w:t>
            </w:r>
          </w:p>
        </w:tc>
        <w:tc>
          <w:tcPr>
            <w:tcW w:w="2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11.00%</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13,300,000</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13,057,260</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13,167,000</w:t>
            </w: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187,120,796</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148,252,097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w w:val="90"/>
              </w:rPr>
              <w:t>Basis Point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98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Maturity /</w:t>
            </w:r>
          </w:p>
        </w:tc>
        <w:tc>
          <w:tcPr>
            <w:tcW w:w="2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Spread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780" w:type="dxa"/>
            <w:vAlign w:val="bottom"/>
          </w:tcPr>
          <w:p>
            <w:pPr>
              <w:jc w:val="right"/>
              <w:ind w:right="117"/>
              <w:spacing w:after="0" w:line="126" w:lineRule="exact"/>
              <w:rPr>
                <w:sz w:val="20"/>
                <w:szCs w:val="20"/>
                <w:color w:val="auto"/>
              </w:rPr>
            </w:pPr>
            <w:r>
              <w:rPr>
                <w:rFonts w:ascii="Arial" w:cs="Arial" w:eastAsia="Arial" w:hAnsi="Arial"/>
                <w:sz w:val="13"/>
                <w:szCs w:val="13"/>
                <w:b w:val="1"/>
                <w:bCs w:val="1"/>
                <w:color w:val="auto"/>
              </w:rPr>
              <w:t>Current</w:t>
            </w:r>
          </w:p>
        </w:tc>
        <w:tc>
          <w:tcPr>
            <w:tcW w:w="800" w:type="dxa"/>
            <w:vAlign w:val="bottom"/>
          </w:tcPr>
          <w:p>
            <w:pPr>
              <w:jc w:val="center"/>
              <w:ind w:right="37"/>
              <w:spacing w:after="0" w:line="126"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tcPr>
          <w:p>
            <w:pPr>
              <w:jc w:val="right"/>
              <w:ind w:right="197"/>
              <w:spacing w:after="0" w:line="126"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tcPr>
          <w:p>
            <w:pPr>
              <w:ind w:left="240"/>
              <w:spacing w:after="0"/>
              <w:rPr>
                <w:sz w:val="20"/>
                <w:szCs w:val="20"/>
                <w:color w:val="auto"/>
              </w:rPr>
            </w:pPr>
            <w:r>
              <w:rPr>
                <w:rFonts w:ascii="Arial" w:cs="Arial" w:eastAsia="Arial" w:hAnsi="Arial"/>
                <w:sz w:val="13"/>
                <w:szCs w:val="13"/>
                <w:b w:val="1"/>
                <w:bCs w:val="1"/>
                <w:color w:val="auto"/>
              </w:rPr>
              <w:t>Expiration</w:t>
            </w:r>
          </w:p>
        </w:tc>
        <w:tc>
          <w:tcPr>
            <w:tcW w:w="25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780" w:type="dxa"/>
            <w:vAlign w:val="bottom"/>
          </w:tcPr>
          <w:p>
            <w:pPr>
              <w:jc w:val="right"/>
              <w:ind w:right="117"/>
              <w:spacing w:after="0"/>
              <w:rPr>
                <w:sz w:val="20"/>
                <w:szCs w:val="20"/>
                <w:color w:val="auto"/>
              </w:rPr>
            </w:pPr>
            <w:r>
              <w:rPr>
                <w:rFonts w:ascii="Arial" w:cs="Arial" w:eastAsia="Arial" w:hAnsi="Arial"/>
                <w:sz w:val="13"/>
                <w:szCs w:val="13"/>
                <w:b w:val="1"/>
                <w:bCs w:val="1"/>
                <w:color w:val="auto"/>
              </w:rPr>
              <w:t>Coupon</w:t>
            </w: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3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Interests—1.8% </w:t>
            </w:r>
            <w:r>
              <w:rPr>
                <w:rFonts w:ascii="Arial" w:cs="Arial" w:eastAsia="Arial" w:hAnsi="Arial"/>
                <w:sz w:val="10"/>
                <w:szCs w:val="10"/>
                <w:b w:val="1"/>
                <w:bCs w:val="1"/>
                <w:color w:val="auto"/>
              </w:rPr>
              <w:t>(6)</w:t>
            </w:r>
          </w:p>
        </w:tc>
        <w:tc>
          <w:tcPr>
            <w:tcW w:w="980" w:type="dxa"/>
            <w:vAlign w:val="bottom"/>
            <w:tcBorders>
              <w:top w:val="single" w:sz="8" w:color="auto"/>
            </w:tcBorders>
            <w:shd w:val="clear" w:color="auto" w:fill="CCEEFF"/>
          </w:tcPr>
          <w:p>
            <w:pPr>
              <w:spacing w:after="0"/>
              <w:rPr>
                <w:sz w:val="11"/>
                <w:szCs w:val="11"/>
                <w:color w:val="auto"/>
              </w:rPr>
            </w:pPr>
          </w:p>
        </w:tc>
        <w:tc>
          <w:tcPr>
            <w:tcW w:w="25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w:t>
            </w:r>
          </w:p>
        </w:tc>
        <w:tc>
          <w:tcPr>
            <w:tcW w:w="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355,508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949,050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995,487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2,088,121</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2,222,223</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7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3,591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3,397,484</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3,871,624</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1,197,000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1,295,710</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vRide Holdings, Inc.</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Transportation</w:t>
            </w:r>
          </w:p>
        </w:tc>
        <w:tc>
          <w:tcPr>
            <w:tcW w:w="7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8.00%</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1,966,667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2,102,669</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4,275,107</w:t>
            </w:r>
          </w:p>
        </w:tc>
        <w:tc>
          <w:tcPr>
            <w:tcW w:w="0" w:type="dxa"/>
            <w:vAlign w:val="bottom"/>
          </w:tcPr>
          <w:p>
            <w:pPr>
              <w:spacing w:after="0"/>
              <w:rPr>
                <w:sz w:val="1"/>
                <w:szCs w:val="1"/>
                <w:color w:val="auto"/>
              </w:rPr>
            </w:pPr>
          </w:p>
        </w:tc>
      </w:tr>
      <w:tr>
        <w:trPr>
          <w:trHeight w:val="156"/>
        </w:trPr>
        <w:tc>
          <w:tcPr>
            <w:tcW w:w="3440" w:type="dxa"/>
            <w:vAlign w:val="bottom"/>
          </w:tcPr>
          <w:p>
            <w:pPr>
              <w:ind w:left="140"/>
              <w:spacing w:after="0"/>
              <w:rPr>
                <w:sz w:val="20"/>
                <w:szCs w:val="20"/>
                <w:color w:val="auto"/>
              </w:rPr>
            </w:pPr>
            <w:r>
              <w:rPr>
                <w:rFonts w:ascii="Arial" w:cs="Arial" w:eastAsia="Arial" w:hAnsi="Arial"/>
                <w:sz w:val="13"/>
                <w:szCs w:val="13"/>
                <w:color w:val="auto"/>
              </w:rPr>
              <w:t>(f/k/a Ride Holdings, Inc.)</w:t>
            </w:r>
          </w:p>
        </w:tc>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98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10,234,324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13,039,836</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Arial" w:cs="Arial" w:eastAsia="Arial" w:hAnsi="Arial"/>
                <w:sz w:val="13"/>
                <w:szCs w:val="13"/>
                <w:b w:val="1"/>
                <w:bCs w:val="1"/>
                <w:color w:val="auto"/>
                <w:w w:val="97"/>
              </w:rPr>
              <w:t xml:space="preserve">Common Equity/Partnership Interests/Warrants—7.7% </w:t>
            </w:r>
            <w:r>
              <w:rPr>
                <w:rFonts w:ascii="Arial" w:cs="Arial" w:eastAsia="Arial" w:hAnsi="Arial"/>
                <w:sz w:val="10"/>
                <w:szCs w:val="10"/>
                <w:b w:val="1"/>
                <w:bCs w:val="1"/>
                <w:color w:val="auto"/>
                <w:w w:val="97"/>
              </w:rPr>
              <w:t>(6)</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1,736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445,500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2,528,247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12/12/2023</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4,798,624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10,265,972</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2,519,278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12/12/2023</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9,822,196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AH Holdings,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03/23/2021</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05/05/2026</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586,975</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820,067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1,333,330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3,000,000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137,923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2,111,588</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23,600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2,360,000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3,473,308</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207,242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2,250,000</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8,223,485</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980" w:type="dxa"/>
            <w:vAlign w:val="bottom"/>
            <w:shd w:val="clear" w:color="auto" w:fill="CCEEFF"/>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103,621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9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1,745,639</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2,040,629</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999,889</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Faraday Holdings, LLC</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3,520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171,601</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196,748</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(Interior Specialists, Inc.)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388,378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2,500,113</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2,516</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1,833,357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LLC, Class A</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1,236,832</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6,701,684</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Kadmon Holdings, LLC, Class D</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1,079,920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383,447</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383,447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761,955</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04/16/2016</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122,192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182,498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980" w:type="dxa"/>
            <w:vAlign w:val="bottom"/>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7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4,813,759</w:t>
            </w:r>
          </w:p>
        </w:tc>
        <w:tc>
          <w:tcPr>
            <w:tcW w:w="0" w:type="dxa"/>
            <w:vAlign w:val="bottom"/>
          </w:tcPr>
          <w:p>
            <w:pPr>
              <w:spacing w:after="0"/>
              <w:rPr>
                <w:sz w:val="1"/>
                <w:szCs w:val="1"/>
                <w:color w:val="auto"/>
              </w:rPr>
            </w:pPr>
          </w:p>
        </w:tc>
      </w:tr>
      <w:tr>
        <w:trPr>
          <w:trHeight w:val="149"/>
        </w:trPr>
        <w:tc>
          <w:tcPr>
            <w:tcW w:w="3440" w:type="dxa"/>
            <w:vAlign w:val="bottom"/>
          </w:tcPr>
          <w:p>
            <w:pPr>
              <w:ind w:left="140"/>
              <w:spacing w:after="0"/>
              <w:rPr>
                <w:sz w:val="20"/>
                <w:szCs w:val="20"/>
                <w:color w:val="auto"/>
              </w:rPr>
            </w:pPr>
            <w:r>
              <w:rPr>
                <w:rFonts w:ascii="Arial" w:cs="Arial" w:eastAsia="Arial" w:hAnsi="Arial"/>
                <w:sz w:val="13"/>
                <w:szCs w:val="13"/>
                <w:color w:val="auto"/>
              </w:rPr>
              <w:t>(Pre-Paid Legal Services, Inc.)</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05/09/2024</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495,000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11/27/2023</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123,129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238,049</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1,620,378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901,263</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1,141,900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142,300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1,351,202</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1,870,331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148,998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148,998</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133,000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612,550</w:t>
            </w:r>
          </w:p>
        </w:tc>
        <w:tc>
          <w:tcPr>
            <w:tcW w:w="0" w:type="dxa"/>
            <w:vAlign w:val="bottom"/>
          </w:tcPr>
          <w:p>
            <w:pPr>
              <w:spacing w:after="0"/>
              <w:rPr>
                <w:sz w:val="1"/>
                <w:szCs w:val="1"/>
                <w:color w:val="auto"/>
              </w:rPr>
            </w:pPr>
          </w:p>
        </w:tc>
      </w:tr>
      <w:tr>
        <w:trPr>
          <w:trHeight w:val="121"/>
        </w:trPr>
        <w:tc>
          <w:tcPr>
            <w:tcW w:w="3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vRide Holdings, Inc.</w:t>
            </w:r>
          </w:p>
        </w:tc>
        <w:tc>
          <w:tcPr>
            <w:tcW w:w="980" w:type="dxa"/>
            <w:vAlign w:val="bottom"/>
            <w:shd w:val="clear" w:color="auto" w:fill="CCEEFF"/>
          </w:tcPr>
          <w:p>
            <w:pPr>
              <w:jc w:val="center"/>
              <w:ind w:left="37"/>
              <w:spacing w:after="0" w:line="121"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Transportation</w:t>
            </w:r>
          </w:p>
        </w:tc>
        <w:tc>
          <w:tcPr>
            <w:tcW w:w="7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9,882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11,314</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21,481</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Ride Holdings, Inc.)</w:t>
            </w:r>
          </w:p>
        </w:tc>
        <w:tc>
          <w:tcPr>
            <w:tcW w:w="9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9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211,797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793,873</w:t>
            </w: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3,570,645</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98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35,526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4,050,000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7,597,191</w:t>
            </w:r>
          </w:p>
        </w:tc>
        <w:tc>
          <w:tcPr>
            <w:tcW w:w="0" w:type="dxa"/>
            <w:vAlign w:val="bottom"/>
          </w:tcPr>
          <w:p>
            <w:pPr>
              <w:spacing w:after="0"/>
              <w:rPr>
                <w:sz w:val="1"/>
                <w:szCs w:val="1"/>
                <w:color w:val="auto"/>
              </w:rPr>
            </w:pPr>
          </w:p>
        </w:tc>
      </w:tr>
      <w:tr>
        <w:trPr>
          <w:trHeight w:val="149"/>
        </w:trPr>
        <w:tc>
          <w:tcPr>
            <w:tcW w:w="344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36,686,122</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55,086,558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8"/>
              </w:rPr>
              <w:t>Total Investments in Non-Controlled, Non-Affiliated Portfolio Companies</w:t>
            </w: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4"/>
              </w:rPr>
              <w:t>1,138,155,969</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6"/>
              </w:rPr>
              <w:t>1,096,719,079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9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Maturity /</w:t>
            </w: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60"/>
              <w:spacing w:after="0" w:line="126"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5"/>
              </w:rPr>
              <w:t>Above</w:t>
            </w: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20" w:type="dxa"/>
            <w:vAlign w:val="bottom"/>
          </w:tcPr>
          <w:p>
            <w:pPr>
              <w:ind w:left="80"/>
              <w:spacing w:after="0"/>
              <w:rPr>
                <w:sz w:val="20"/>
                <w:szCs w:val="20"/>
                <w:color w:val="auto"/>
              </w:rPr>
            </w:pPr>
            <w:r>
              <w:rPr>
                <w:rFonts w:ascii="Arial" w:cs="Arial" w:eastAsia="Arial" w:hAnsi="Arial"/>
                <w:sz w:val="13"/>
                <w:szCs w:val="13"/>
                <w:b w:val="1"/>
                <w:bCs w:val="1"/>
                <w:color w:val="auto"/>
              </w:rPr>
              <w:t>Expiration</w:t>
            </w:r>
          </w:p>
        </w:tc>
        <w:tc>
          <w:tcPr>
            <w:tcW w:w="2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Industry</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4"/>
                <w:szCs w:val="1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44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Non-Controlled, Affiliated Portfolio Companies—13.3% </w:t>
            </w:r>
            <w:r>
              <w:rPr>
                <w:rFonts w:ascii="Arial" w:cs="Arial" w:eastAsia="Arial" w:hAnsi="Arial"/>
                <w:sz w:val="10"/>
                <w:szCs w:val="10"/>
                <w:b w:val="1"/>
                <w:bCs w:val="1"/>
                <w:color w:val="auto"/>
                <w:w w:val="93"/>
              </w:rPr>
              <w:t>(1), (2)</w:t>
            </w:r>
          </w:p>
        </w:tc>
        <w:tc>
          <w:tcPr>
            <w:tcW w:w="2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Debt—3.2%</w:t>
            </w:r>
          </w:p>
        </w:tc>
        <w:tc>
          <w:tcPr>
            <w:tcW w:w="9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86"/>
              </w:rPr>
              <w:t>04/30/2018</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L+1,050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2"/>
              </w:rPr>
              <w:t>23,514,911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23,285,423</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23,044,613</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Debt—1.3%</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86"/>
              </w:rPr>
              <w:t>12/26/2017</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L+800</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9,409,740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9,237,014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EnviroSolutions Real Property Holdings, Inc. </w:t>
            </w:r>
            <w:r>
              <w:rPr>
                <w:rFonts w:ascii="Arial" w:cs="Arial" w:eastAsia="Arial" w:hAnsi="Arial"/>
                <w:sz w:val="10"/>
                <w:szCs w:val="10"/>
                <w:color w:val="auto"/>
              </w:rPr>
              <w:t>(9)</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6"/>
              </w:rPr>
              <w:t>12/31/2015</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758,850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9,237,014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Notes—4.8%</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86"/>
              </w:rPr>
              <w:t>11/05/2019</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2"/>
              </w:rPr>
              <w:t>13,092,070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13,092,071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6,284,194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6"/>
              </w:rPr>
              <w:t>10/02/2017</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1"/>
              </w:rPr>
              <w:t>Auto Sector</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12.50%</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2"/>
              </w:rPr>
              <w:t>28,000,000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27,702,867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27,931,507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40,794,938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34,215,701</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4"/>
              </w:rPr>
              <w:t>Aerospace and Defense</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53,071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20,059,340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w w:val="98"/>
              </w:rPr>
              <w:t xml:space="preserve">Common Equity/Partnership Interests/Warrants—3.3% </w:t>
            </w:r>
            <w:r>
              <w:rPr>
                <w:rFonts w:ascii="Arial" w:cs="Arial" w:eastAsia="Arial" w:hAnsi="Arial"/>
                <w:sz w:val="10"/>
                <w:szCs w:val="10"/>
                <w:b w:val="1"/>
                <w:bCs w:val="1"/>
                <w:color w:val="auto"/>
                <w:w w:val="98"/>
              </w:rPr>
              <w:t>(6)</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104,719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21,492,822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86"/>
              </w:rPr>
              <w:t>11/05/2022</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5"/>
              </w:rPr>
              <w:t>Consumer Products</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15,486</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9"/>
              </w:rPr>
              <w:t>Environmental Services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143,668</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11,960,702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11,337,381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92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87"/>
              </w:rPr>
              <w:t>Leisure, Amusement,</w:t>
            </w:r>
          </w:p>
        </w:tc>
        <w:tc>
          <w:tcPr>
            <w:tcW w:w="8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375,000</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3,750,000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gridSpan w:val="2"/>
          </w:tcPr>
          <w:p>
            <w:pPr>
              <w:jc w:val="center"/>
              <w:ind w:right="260"/>
              <w:spacing w:after="0"/>
              <w:rPr>
                <w:sz w:val="20"/>
                <w:szCs w:val="20"/>
                <w:color w:val="auto"/>
              </w:rPr>
            </w:pPr>
            <w:r>
              <w:rPr>
                <w:rFonts w:ascii="Arial" w:cs="Arial" w:eastAsia="Arial" w:hAnsi="Arial"/>
                <w:sz w:val="13"/>
                <w:szCs w:val="13"/>
                <w:color w:val="auto"/>
                <w:w w:val="89"/>
              </w:rPr>
              <w:t>Motion Pictures and Entertainment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Service Champ Holdings, Inc.</w:t>
            </w:r>
          </w:p>
        </w:tc>
        <w:tc>
          <w:tcPr>
            <w:tcW w:w="920" w:type="dxa"/>
            <w:vAlign w:val="bottom"/>
            <w:shd w:val="clear" w:color="auto" w:fill="CCEEFF"/>
          </w:tcPr>
          <w:p>
            <w:pPr>
              <w:jc w:val="center"/>
              <w:ind w:right="137"/>
              <w:spacing w:after="0" w:line="136"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6" w:lineRule="exact"/>
              <w:rPr>
                <w:sz w:val="20"/>
                <w:szCs w:val="20"/>
                <w:color w:val="auto"/>
              </w:rPr>
            </w:pPr>
            <w:r>
              <w:rPr>
                <w:rFonts w:ascii="Arial" w:cs="Arial" w:eastAsia="Arial" w:hAnsi="Arial"/>
                <w:sz w:val="13"/>
                <w:szCs w:val="13"/>
                <w:color w:val="auto"/>
                <w:w w:val="91"/>
              </w:rPr>
              <w:t>Auto Sector</w:t>
            </w:r>
          </w:p>
        </w:tc>
        <w:tc>
          <w:tcPr>
            <w:tcW w:w="8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16,800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2,721,600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4,457,055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4"/>
              </w:rPr>
              <w:t>Aerospace and Defense</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53,071</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202,619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6,178,645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920" w:type="dxa"/>
            <w:vAlign w:val="bottom"/>
            <w:shd w:val="clear" w:color="auto" w:fill="CCEEFF"/>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491,755</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188,837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1,888,232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40,316,580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23,861,313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6"/>
              </w:rPr>
              <w:t>133,693,295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95,503,104</w:t>
            </w:r>
          </w:p>
        </w:tc>
        <w:tc>
          <w:tcPr>
            <w:tcW w:w="0" w:type="dxa"/>
            <w:vAlign w:val="bottom"/>
          </w:tcPr>
          <w:p>
            <w:pPr>
              <w:spacing w:after="0"/>
              <w:rPr>
                <w:sz w:val="1"/>
                <w:szCs w:val="1"/>
                <w:color w:val="auto"/>
              </w:rPr>
            </w:pPr>
          </w:p>
        </w:tc>
      </w:tr>
      <w:tr>
        <w:trPr>
          <w:trHeight w:val="142"/>
        </w:trPr>
        <w:tc>
          <w:tcPr>
            <w:tcW w:w="44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Investments in Controlled, Affiliated Portfolio Companies—15.0% </w:t>
            </w:r>
            <w:r>
              <w:rPr>
                <w:rFonts w:ascii="Arial" w:cs="Arial" w:eastAsia="Arial" w:hAnsi="Arial"/>
                <w:sz w:val="10"/>
                <w:szCs w:val="10"/>
                <w:b w:val="1"/>
                <w:bCs w:val="1"/>
                <w:color w:val="auto"/>
              </w:rPr>
              <w:t>(1), (2)</w:t>
            </w: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Debt—13.4%</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RAM Energy LLC, Tranche A</w:t>
            </w:r>
          </w:p>
        </w:tc>
        <w:tc>
          <w:tcPr>
            <w:tcW w:w="92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6"/>
              </w:rPr>
              <w:t>07/18/2019</w:t>
            </w:r>
          </w:p>
        </w:tc>
        <w:tc>
          <w:tcPr>
            <w:tcW w:w="2440" w:type="dxa"/>
            <w:vAlign w:val="bottom"/>
            <w:gridSpan w:val="2"/>
          </w:tcPr>
          <w:p>
            <w:pPr>
              <w:jc w:val="center"/>
              <w:ind w:right="260"/>
              <w:spacing w:after="0" w:line="121" w:lineRule="exact"/>
              <w:rPr>
                <w:sz w:val="20"/>
                <w:szCs w:val="20"/>
                <w:color w:val="auto"/>
              </w:rPr>
            </w:pPr>
            <w:r>
              <w:rPr>
                <w:rFonts w:ascii="Arial" w:cs="Arial" w:eastAsia="Arial" w:hAnsi="Arial"/>
                <w:sz w:val="13"/>
                <w:szCs w:val="13"/>
                <w:color w:val="auto"/>
                <w:w w:val="91"/>
              </w:rPr>
              <w:t>Energy and Utilities</w:t>
            </w: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10.00%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L+800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w w:val="92"/>
              </w:rPr>
              <w:t>76,425,000</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75,177,005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72,759,582</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(PIK 10.00%)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Superior Digital Displays, LLC</w:t>
            </w:r>
          </w:p>
        </w:tc>
        <w:tc>
          <w:tcPr>
            <w:tcW w:w="920" w:type="dxa"/>
            <w:vAlign w:val="bottom"/>
            <w:shd w:val="clear" w:color="auto" w:fill="CCEEFF"/>
          </w:tcPr>
          <w:p>
            <w:pPr>
              <w:jc w:val="center"/>
              <w:ind w:right="137"/>
              <w:spacing w:after="0" w:line="122" w:lineRule="exact"/>
              <w:rPr>
                <w:sz w:val="20"/>
                <w:szCs w:val="20"/>
                <w:color w:val="auto"/>
              </w:rPr>
            </w:pPr>
            <w:r>
              <w:rPr>
                <w:rFonts w:ascii="Arial" w:cs="Arial" w:eastAsia="Arial" w:hAnsi="Arial"/>
                <w:sz w:val="13"/>
                <w:szCs w:val="13"/>
                <w:color w:val="auto"/>
                <w:w w:val="86"/>
              </w:rPr>
              <w:t>12/31/2018</w:t>
            </w:r>
          </w:p>
        </w:tc>
        <w:tc>
          <w:tcPr>
            <w:tcW w:w="2440" w:type="dxa"/>
            <w:vAlign w:val="bottom"/>
            <w:gridSpan w:val="2"/>
            <w:shd w:val="clear" w:color="auto" w:fill="CCEEFF"/>
          </w:tcPr>
          <w:p>
            <w:pPr>
              <w:jc w:val="center"/>
              <w:ind w:right="280"/>
              <w:spacing w:after="0" w:line="122" w:lineRule="exact"/>
              <w:rPr>
                <w:sz w:val="20"/>
                <w:szCs w:val="20"/>
                <w:color w:val="auto"/>
              </w:rPr>
            </w:pPr>
            <w:r>
              <w:rPr>
                <w:rFonts w:ascii="Arial" w:cs="Arial" w:eastAsia="Arial" w:hAnsi="Arial"/>
                <w:sz w:val="13"/>
                <w:szCs w:val="13"/>
                <w:color w:val="auto"/>
                <w:w w:val="90"/>
              </w:rPr>
              <w:t>Media</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14.00%</w:t>
            </w: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rPr>
              <w:t>L+1,300</w:t>
            </w: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w w:val="92"/>
              </w:rPr>
              <w:t>23,055,423</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20,951,257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23,055,423</w:t>
            </w: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(PIK 14.00%)</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96,128,262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95,815,005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Debt—0.5%</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920" w:type="dxa"/>
            <w:vAlign w:val="bottom"/>
          </w:tcPr>
          <w:p>
            <w:pPr>
              <w:jc w:val="center"/>
              <w:ind w:right="137"/>
              <w:spacing w:after="0" w:line="121" w:lineRule="exact"/>
              <w:rPr>
                <w:sz w:val="20"/>
                <w:szCs w:val="20"/>
                <w:color w:val="auto"/>
              </w:rPr>
            </w:pPr>
            <w:r>
              <w:rPr>
                <w:rFonts w:ascii="Arial" w:cs="Arial" w:eastAsia="Arial" w:hAnsi="Arial"/>
                <w:sz w:val="13"/>
                <w:szCs w:val="13"/>
                <w:color w:val="auto"/>
                <w:w w:val="86"/>
              </w:rPr>
              <w:t>07/01/2019</w:t>
            </w:r>
          </w:p>
        </w:tc>
        <w:tc>
          <w:tcPr>
            <w:tcW w:w="244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16.00%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L+1,500</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3,462,417</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3,462,417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(PIK 16.00%)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920" w:type="dxa"/>
            <w:vAlign w:val="bottom"/>
            <w:shd w:val="clear" w:color="auto" w:fill="CCEEFF"/>
          </w:tcPr>
          <w:p>
            <w:pPr>
              <w:jc w:val="center"/>
              <w:ind w:right="137"/>
              <w:spacing w:after="0" w:line="136" w:lineRule="exact"/>
              <w:rPr>
                <w:sz w:val="20"/>
                <w:szCs w:val="20"/>
                <w:color w:val="auto"/>
              </w:rPr>
            </w:pPr>
            <w:r>
              <w:rPr>
                <w:rFonts w:ascii="Arial" w:cs="Arial" w:eastAsia="Arial" w:hAnsi="Arial"/>
                <w:sz w:val="13"/>
                <w:szCs w:val="13"/>
                <w:color w:val="auto"/>
                <w:w w:val="86"/>
              </w:rPr>
              <w:t>07/01/2019</w:t>
            </w:r>
          </w:p>
        </w:tc>
        <w:tc>
          <w:tcPr>
            <w:tcW w:w="2440" w:type="dxa"/>
            <w:vAlign w:val="bottom"/>
            <w:gridSpan w:val="2"/>
            <w:shd w:val="clear" w:color="auto" w:fill="CCEEFF"/>
          </w:tcPr>
          <w:p>
            <w:pPr>
              <w:jc w:val="center"/>
              <w:ind w:right="280"/>
              <w:spacing w:after="0" w:line="136" w:lineRule="exact"/>
              <w:rPr>
                <w:sz w:val="20"/>
                <w:szCs w:val="20"/>
                <w:color w:val="auto"/>
              </w:rPr>
            </w:pPr>
            <w:r>
              <w:rPr>
                <w:rFonts w:ascii="Arial" w:cs="Arial" w:eastAsia="Arial" w:hAnsi="Arial"/>
                <w:sz w:val="13"/>
                <w:szCs w:val="13"/>
                <w:color w:val="auto"/>
                <w:w w:val="90"/>
              </w:rPr>
              <w:t>Media</w:t>
            </w:r>
          </w:p>
        </w:tc>
        <w:tc>
          <w:tcPr>
            <w:tcW w:w="8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2,575,000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80" w:type="dxa"/>
            <w:vAlign w:val="bottom"/>
          </w:tcPr>
          <w:p>
            <w:pPr>
              <w:spacing w:after="0" w:line="142" w:lineRule="exact"/>
              <w:rPr>
                <w:sz w:val="20"/>
                <w:szCs w:val="20"/>
                <w:color w:val="auto"/>
              </w:rPr>
            </w:pPr>
            <w:r>
              <w:rPr>
                <w:rFonts w:ascii="Arial" w:cs="Arial" w:eastAsia="Arial" w:hAnsi="Arial"/>
                <w:sz w:val="13"/>
                <w:szCs w:val="13"/>
                <w:color w:val="auto"/>
              </w:rPr>
              <w:t>Total Second Lien Secured Debt</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Equity—0.1% </w:t>
            </w:r>
            <w:r>
              <w:rPr>
                <w:rFonts w:ascii="Arial" w:cs="Arial" w:eastAsia="Arial" w:hAnsi="Arial"/>
                <w:sz w:val="10"/>
                <w:szCs w:val="10"/>
                <w:b w:val="1"/>
                <w:bCs w:val="1"/>
                <w:color w:val="auto"/>
              </w:rPr>
              <w:t>(6)</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15.00%</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37,046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5,000,000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648,021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Equity—1.0% </w:t>
            </w:r>
            <w:r>
              <w:rPr>
                <w:rFonts w:ascii="Arial" w:cs="Arial" w:eastAsia="Arial" w:hAnsi="Arial"/>
                <w:sz w:val="10"/>
                <w:szCs w:val="10"/>
                <w:b w:val="1"/>
                <w:bCs w:val="1"/>
                <w:color w:val="auto"/>
              </w:rPr>
              <w:t>(6)</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MidOcean JF Holdings Corp.</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5"/>
              </w:rPr>
              <w:t>Distribution</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65,933</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24,761,831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Holdings LLC</w:t>
            </w:r>
          </w:p>
        </w:tc>
        <w:tc>
          <w:tcPr>
            <w:tcW w:w="920" w:type="dxa"/>
            <w:vAlign w:val="bottom"/>
            <w:shd w:val="clear" w:color="auto" w:fill="CCEEFF"/>
          </w:tcPr>
          <w:p>
            <w:pPr>
              <w:jc w:val="center"/>
              <w:ind w:right="137"/>
              <w:spacing w:after="0" w:line="121" w:lineRule="exact"/>
              <w:rPr>
                <w:sz w:val="20"/>
                <w:szCs w:val="20"/>
                <w:color w:val="auto"/>
              </w:rPr>
            </w:pPr>
            <w:r>
              <w:rPr>
                <w:rFonts w:ascii="Arial" w:cs="Arial" w:eastAsia="Arial" w:hAnsi="Arial"/>
                <w:sz w:val="13"/>
                <w:szCs w:val="13"/>
                <w:color w:val="auto"/>
                <w:w w:val="91"/>
              </w:rPr>
              <w:t>—</w:t>
            </w:r>
          </w:p>
        </w:tc>
        <w:tc>
          <w:tcPr>
            <w:tcW w:w="2440" w:type="dxa"/>
            <w:vAlign w:val="bottom"/>
            <w:gridSpan w:val="2"/>
            <w:shd w:val="clear" w:color="auto" w:fill="CCEEFF"/>
          </w:tcPr>
          <w:p>
            <w:pPr>
              <w:jc w:val="center"/>
              <w:ind w:right="260"/>
              <w:spacing w:after="0" w:line="121" w:lineRule="exact"/>
              <w:rPr>
                <w:sz w:val="20"/>
                <w:szCs w:val="20"/>
                <w:color w:val="auto"/>
              </w:rPr>
            </w:pPr>
            <w:r>
              <w:rPr>
                <w:rFonts w:ascii="Arial" w:cs="Arial" w:eastAsia="Arial" w:hAnsi="Arial"/>
                <w:sz w:val="13"/>
                <w:szCs w:val="13"/>
                <w:color w:val="auto"/>
                <w:w w:val="91"/>
              </w:rPr>
              <w:t>Energy and Utilities</w:t>
            </w:r>
          </w:p>
        </w:tc>
        <w:tc>
          <w:tcPr>
            <w:tcW w:w="88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23,141</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20,824,388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RAM Energy, LLC)</w:t>
            </w:r>
          </w:p>
        </w:tc>
        <w:tc>
          <w:tcPr>
            <w:tcW w:w="92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92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91"/>
              </w:rPr>
              <w:t>—</w:t>
            </w:r>
          </w:p>
        </w:tc>
        <w:tc>
          <w:tcPr>
            <w:tcW w:w="24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0"/>
              </w:rPr>
              <w:t>Media</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11,100</w:t>
            </w: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2,211,000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47,797,219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w w:val="89"/>
              </w:rPr>
              <w:t>Total Investments in Controlled, Affiliated Portfolio Companies</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152,387,898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106,825,650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Investments—181.3%</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4"/>
              </w:rPr>
              <w:t>1,424,237,162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4"/>
              </w:rPr>
              <w:t>1,299,047,833</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Equivalents—6.9%</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4,564,638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4,564,638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9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45,072,777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45,054,618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49,637,415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49,619,256</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Equivalents—188.2%</w:t>
            </w: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1,473,874,577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1,348,667,089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Assets—(88.2%)</w:t>
            </w:r>
          </w:p>
        </w:tc>
        <w:tc>
          <w:tcPr>
            <w:tcW w:w="9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1"/>
              </w:rPr>
              <w:t>(632,076,547)</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6"/>
              </w:rPr>
              <w:t>716,590,542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 (Continued)</w:t>
      </w:r>
    </w:p>
    <w:p>
      <w:pPr>
        <w:jc w:val="center"/>
        <w:ind w:right="-5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1851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40" w:hanging="332"/>
        <w:spacing w:after="0" w:line="24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20" w:hanging="332"/>
        <w:spacing w:after="0" w:line="237"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00"/>
          </w:cols>
          <w:pgMar w:left="320" w:top="459"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7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under a separate administration agreement. See Note 3.</w:t>
      </w:r>
    </w:p>
    <w:p>
      <w:pPr>
        <w:spacing w:after="0" w:line="7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 Taxable Subsidiaries allow us to hold equity securities of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preparation of our consolidated financial statements, or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22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2" w:lineRule="exact"/>
        <w:rPr>
          <w:sz w:val="20"/>
          <w:szCs w:val="20"/>
          <w:color w:val="auto"/>
        </w:rPr>
      </w:pPr>
    </w:p>
    <w:p>
      <w:pPr>
        <w:ind w:right="32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subject to tax as a RIC.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subject to taxation as a RIC, we typically do not incur any material level of federal income taxes. Although we are not subject to federal income taxes as a RIC, we may elect to retain a portion of our calendar year income, which may result in an excise tax, or we may incur taxes through our Taxable Subsidiaries. For the three and six months ended March 31, 2016, we accrued taxes of $0.4 million and $1.7 million, respectively. We accrued no taxes for either the three or six month periods ended March 31, 2015.</w:t>
      </w:r>
    </w:p>
    <w:p>
      <w:pPr>
        <w:spacing w:after="0" w:line="77"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We did not have any uncertain tax positions or any unrecognized tax benefits that met the recognition or measurement criteria of ASC 740-10-25 as of the periods presented herein.</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net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referred to as Management Fee.</w:t>
      </w:r>
    </w:p>
    <w:p>
      <w:pPr>
        <w:spacing w:after="0" w:line="76"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2016 and through December 31, 2016, the Investment Adviser has voluntarily agreed, in consultation with the board of directors, to waive 16% of base management fees, correlated to our 16% energy exposure (oil &amp; gas and energy &amp; utilities industries) at cost as of December 31, 2015. For the three and six months ended March 31, 2016, the Investment Adviser earned base management fees of $5.1 million (after a waiver of $1.0 million) and $10.6 million (after a waiver of $2.0 million), respectively, from us. For the three and six months ended March 31, 2015, the Investment Adviser earned base management fees of $6.8 million and $13.6 million, respectively, from us.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fee waivers, if any,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three and six months ended March 31, 2016 and through December 31, 2016, the Investment Adviser has voluntarily agreed, in consultation with the board of directors, to waive 16% of incentive fees, correlated to our 16% energy exposure (oil &amp; gas and energy &amp; utilities industries) at cost as of December 31, 2015. For the three and six months ended March 31, 2016, the Investment Adviser earned an incentive fee on net investment income as calculated under the Investment Management Agreement of $4.0 million (after a waiver of $0.7 million) and $7.2 million (after a waiver of $1.4 million), respectively, from us. For the three and six months ended March 31, 2015, the Investment Adviser earned an incentive fee on net investment income as calculated under the Investment Management Agreement of $5.5 million and $10.4 million, respectively, from us.</w:t>
      </w:r>
    </w:p>
    <w:p>
      <w:pPr>
        <w:spacing w:after="0" w:line="81"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2016 and 2015, the Investment Adviser did not earn an incentive fee on capital gains as calculated under the Investment Management Agreement (as described above).</w:t>
      </w:r>
    </w:p>
    <w:p>
      <w:pPr>
        <w:spacing w:after="0" w:line="67"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six months ended March 31, 2016 and 2015, the Investment Adviser did not accrue an incentive fee on capital gains as calculated under GAAP.</w:t>
      </w:r>
    </w:p>
    <w:p>
      <w:pPr>
        <w:spacing w:after="0" w:line="78"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2016.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three and six months ended March 31, 2016, the Investment Adviser was reimbursed $1.6 million and $2.4 million, respectively, from us, including expenses the Investment Adviser incurred on behalf of the Administrator, for the services described above. For the three and six months ended March 31, 2015, the Investment Adviser was reimbursed $1.8 million and $2.5 million, respectively, from us, including expenses the Investment Adviser incurred on behalf of the Administrator, for the services described above.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Purchases of investments, including PIK interest, for the three and six months ended March 31, 2016 totaled $88.1 million and $223.0 million, respectively. For the same periods in the prior year, purchases of investments, including PIK interest, totaled $76.5 million and $236.8 million, respectively. Sales and repayments of investments for the three and six months ended March 31, 2016 totaled $92.9 million and $201.0 million, respectively. For the same periods in the prior year, sales and repayments of investments totaled $103.2 million and $182.5 million, respectively.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52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ind w:left="42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478,304,893</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454,674,438</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404,291,400</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399,237,158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552,642,524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486,155,316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631,936,443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612,552,913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196,551,469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171,171,554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227,915,734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182,467,798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184,903,903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119,497,072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160,093,585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104,789,964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1,412,402,789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1,231,498,380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1,424,237,162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1,299,047,833</w:t>
            </w:r>
          </w:p>
        </w:tc>
        <w:tc>
          <w:tcPr>
            <w:tcW w:w="0" w:type="dxa"/>
            <w:vAlign w:val="bottom"/>
          </w:tcPr>
          <w:p>
            <w:pPr>
              <w:spacing w:after="0"/>
              <w:rPr>
                <w:sz w:val="1"/>
                <w:szCs w:val="1"/>
                <w:color w:val="auto"/>
              </w:rPr>
            </w:pPr>
          </w:p>
        </w:tc>
      </w:tr>
      <w:tr>
        <w:trPr>
          <w:trHeight w:val="163"/>
        </w:trPr>
        <w:tc>
          <w:tcPr>
            <w:tcW w:w="43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33,358,473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33,195,129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49,637,415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1,445,761,262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1,264,693,509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1,473,874,577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1,348,667,089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215"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880" w:type="dxa"/>
            <w:vAlign w:val="bottom"/>
          </w:tcPr>
          <w:p>
            <w:pPr>
              <w:spacing w:after="0"/>
              <w:rPr>
                <w:sz w:val="16"/>
                <w:szCs w:val="16"/>
                <w:color w:val="auto"/>
              </w:rPr>
            </w:pPr>
          </w:p>
        </w:tc>
        <w:tc>
          <w:tcPr>
            <w:tcW w:w="21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March 31, 2016</w:t>
            </w:r>
          </w:p>
        </w:tc>
        <w:tc>
          <w:tcPr>
            <w:tcW w:w="1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September 30,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Gaming</w:t>
            </w:r>
          </w:p>
        </w:tc>
        <w:tc>
          <w:tcPr>
            <w:tcW w:w="8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Hotels, Motels, Inns and</w:t>
            </w:r>
          </w:p>
        </w:tc>
        <w:tc>
          <w:tcPr>
            <w:tcW w:w="172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100" w:type="dxa"/>
            <w:vAlign w:val="bottom"/>
            <w:gridSpan w:val="2"/>
            <w:shd w:val="clear" w:color="auto" w:fill="CCEEFF"/>
          </w:tcPr>
          <w:p>
            <w:pPr>
              <w:jc w:val="right"/>
              <w:ind w:right="620"/>
              <w:spacing w:after="0" w:line="142" w:lineRule="exact"/>
              <w:rPr>
                <w:sz w:val="20"/>
                <w:szCs w:val="20"/>
                <w:color w:val="auto"/>
              </w:rPr>
            </w:pPr>
            <w:r>
              <w:rPr>
                <w:rFonts w:ascii="Arial" w:cs="Arial" w:eastAsia="Arial" w:hAnsi="Arial"/>
                <w:sz w:val="14"/>
                <w:szCs w:val="14"/>
                <w:color w:val="auto"/>
              </w:rPr>
              <w:t>14%</w:t>
            </w:r>
          </w:p>
        </w:tc>
        <w:tc>
          <w:tcPr>
            <w:tcW w:w="15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 and Utilities</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Media</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Other Media</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Building Materials</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2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7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880" w:type="dxa"/>
            <w:vAlign w:val="bottom"/>
          </w:tcPr>
          <w:p>
            <w:pPr>
              <w:spacing w:after="0"/>
              <w:rPr>
                <w:sz w:val="13"/>
                <w:szCs w:val="13"/>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tcPr>
          <w:p>
            <w:pPr>
              <w:spacing w:after="0"/>
              <w:rPr>
                <w:sz w:val="13"/>
                <w:szCs w:val="13"/>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9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100%</w:t>
            </w:r>
          </w:p>
        </w:tc>
        <w:tc>
          <w:tcPr>
            <w:tcW w:w="1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7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74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2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7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7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2016 and 2015, our ability to observe valuation inputs resulted in one reclassification of an asset from Level 2 to 1 and one reclassification of an asset from Level 2 to 3, respectively.</w:t>
      </w:r>
    </w:p>
    <w:p>
      <w:pPr>
        <w:spacing w:after="0" w:line="77"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67"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80"/>
          </w:cols>
          <w:pgMar w:left="32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Fair Value at</w:t>
            </w:r>
          </w:p>
        </w:tc>
        <w:tc>
          <w:tcPr>
            <w:tcW w:w="1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Valuation Technique</w:t>
            </w:r>
          </w:p>
        </w:tc>
        <w:tc>
          <w:tcPr>
            <w:tcW w:w="2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Unobservable Input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March 31, 2016</w:t>
            </w:r>
          </w:p>
        </w:tc>
        <w:tc>
          <w:tcPr>
            <w:tcW w:w="186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231,571,985</w:t>
            </w:r>
          </w:p>
        </w:tc>
        <w:tc>
          <w:tcPr>
            <w:tcW w:w="4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2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bids or quotes</w:t>
            </w:r>
          </w:p>
        </w:tc>
        <w:tc>
          <w:tcPr>
            <w:tcW w:w="4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880,429,323</w:t>
            </w:r>
          </w:p>
        </w:tc>
        <w:tc>
          <w:tcPr>
            <w:tcW w:w="18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Market Comparable</w:t>
            </w:r>
          </w:p>
        </w:tc>
        <w:tc>
          <w:tcPr>
            <w:tcW w:w="21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Market Yield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9.7% – 17.4% (13.4%)</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118,720,257</w:t>
            </w:r>
          </w:p>
        </w:tc>
        <w:tc>
          <w:tcPr>
            <w:tcW w:w="18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Enterprise Market Value</w:t>
            </w:r>
          </w:p>
        </w:tc>
        <w:tc>
          <w:tcPr>
            <w:tcW w:w="210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rPr>
              <w:t>EBITDA multiple</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3.4x – 27.5x (9.4x)</w:t>
            </w:r>
          </w:p>
        </w:tc>
        <w:tc>
          <w:tcPr>
            <w:tcW w:w="0" w:type="dxa"/>
            <w:vAlign w:val="bottom"/>
          </w:tcPr>
          <w:p>
            <w:pPr>
              <w:spacing w:after="0"/>
              <w:rPr>
                <w:sz w:val="1"/>
                <w:szCs w:val="1"/>
                <w:color w:val="auto"/>
              </w:rPr>
            </w:pPr>
          </w:p>
        </w:tc>
      </w:tr>
      <w:tr>
        <w:trPr>
          <w:trHeight w:val="156"/>
        </w:trPr>
        <w:tc>
          <w:tcPr>
            <w:tcW w:w="342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4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1,230,721,565</w:t>
            </w:r>
          </w:p>
        </w:tc>
        <w:tc>
          <w:tcPr>
            <w:tcW w:w="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80" w:type="dxa"/>
            <w:vAlign w:val="bottom"/>
            <w:gridSpan w:val="2"/>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480"/>
              <w:spacing w:after="0" w:line="143" w:lineRule="exact"/>
              <w:rPr>
                <w:sz w:val="20"/>
                <w:szCs w:val="20"/>
                <w:color w:val="auto"/>
              </w:rPr>
            </w:pPr>
            <w:r>
              <w:rPr>
                <w:rFonts w:ascii="Arial" w:cs="Arial" w:eastAsia="Arial" w:hAnsi="Arial"/>
                <w:sz w:val="14"/>
                <w:szCs w:val="14"/>
                <w:color w:val="auto"/>
              </w:rPr>
              <w:t>128,753,580</w:t>
            </w:r>
          </w:p>
        </w:tc>
        <w:tc>
          <w:tcPr>
            <w:tcW w:w="186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4"/>
              </w:rPr>
              <w:t>Market Comparable</w:t>
            </w:r>
          </w:p>
        </w:tc>
        <w:tc>
          <w:tcPr>
            <w:tcW w:w="210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7"/>
              </w:rPr>
              <w:t>Market Yield</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4.2%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Fair Value at</w:t>
            </w:r>
          </w:p>
        </w:tc>
        <w:tc>
          <w:tcPr>
            <w:tcW w:w="1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Valuation Technique</w:t>
            </w:r>
          </w:p>
        </w:tc>
        <w:tc>
          <w:tcPr>
            <w:tcW w:w="2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Unobservable Input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September 30, 2015</w:t>
            </w:r>
          </w:p>
        </w:tc>
        <w:tc>
          <w:tcPr>
            <w:tcW w:w="186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281,455,418</w:t>
            </w: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2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bids or quotes</w:t>
            </w:r>
          </w:p>
        </w:tc>
        <w:tc>
          <w:tcPr>
            <w:tcW w:w="4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912,802,451</w:t>
            </w:r>
          </w:p>
        </w:tc>
        <w:tc>
          <w:tcPr>
            <w:tcW w:w="460" w:type="dxa"/>
            <w:vAlign w:val="bottom"/>
          </w:tcPr>
          <w:p>
            <w:pPr>
              <w:spacing w:after="0"/>
              <w:rPr>
                <w:sz w:val="12"/>
                <w:szCs w:val="12"/>
                <w:color w:val="auto"/>
              </w:rPr>
            </w:pPr>
          </w:p>
        </w:tc>
        <w:tc>
          <w:tcPr>
            <w:tcW w:w="18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Market Comparable</w:t>
            </w:r>
          </w:p>
        </w:tc>
        <w:tc>
          <w:tcPr>
            <w:tcW w:w="21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Market Yield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9.6% – 34.7% (14.1%)</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2,715,722</w:t>
            </w:r>
          </w:p>
        </w:tc>
        <w:tc>
          <w:tcPr>
            <w:tcW w:w="4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4"/>
              </w:rPr>
              <w:t>Market Comparable</w:t>
            </w:r>
          </w:p>
        </w:tc>
        <w:tc>
          <w:tcPr>
            <w:tcW w:w="210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4"/>
              </w:rPr>
              <w:t>Broker/Dealer bids or quotes</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100,453,864</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Enterprise Market Value</w:t>
            </w:r>
          </w:p>
        </w:tc>
        <w:tc>
          <w:tcPr>
            <w:tcW w:w="21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rPr>
              <w:t>EBITDA multiple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3.4x – 22.5x (9.2x)</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9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1,297,427,455</w:t>
            </w:r>
          </w:p>
        </w:tc>
        <w:tc>
          <w:tcPr>
            <w:tcW w:w="1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4"/>
              </w:rPr>
              <w:t>Market Comparable</w:t>
            </w:r>
          </w:p>
        </w:tc>
        <w:tc>
          <w:tcPr>
            <w:tcW w:w="210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7"/>
              </w:rPr>
              <w:t>Market Yield</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0" w:type="dxa"/>
            <w:vAlign w:val="bottom"/>
          </w:tcPr>
          <w:p>
            <w:pPr>
              <w:spacing w:after="0" w:line="20" w:lineRule="exact"/>
              <w:rPr>
                <w:sz w:val="1"/>
                <w:szCs w:val="1"/>
                <w:color w:val="auto"/>
              </w:rPr>
            </w:pPr>
          </w:p>
        </w:tc>
      </w:tr>
      <w:tr>
        <w:trPr>
          <w:trHeight w:val="143"/>
        </w:trPr>
        <w:tc>
          <w:tcPr>
            <w:tcW w:w="382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132,356,860</w:t>
            </w: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Fair Value at March 31, 2016</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2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96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1,112,001,308</w:t>
            </w: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ind w:left="800"/>
              <w:spacing w:after="0" w:line="142"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1,112,001,308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119,497,072</w:t>
            </w:r>
          </w:p>
        </w:tc>
        <w:tc>
          <w:tcPr>
            <w:tcW w:w="22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776,815</w:t>
            </w:r>
          </w:p>
        </w:tc>
        <w:tc>
          <w:tcPr>
            <w:tcW w:w="2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118,720,257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1,231,498,380</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776,815</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1,230,721,565</w:t>
            </w:r>
          </w:p>
        </w:tc>
        <w:tc>
          <w:tcPr>
            <w:tcW w:w="0" w:type="dxa"/>
            <w:vAlign w:val="bottom"/>
          </w:tcPr>
          <w:p>
            <w:pPr>
              <w:spacing w:after="0"/>
              <w:rPr>
                <w:sz w:val="1"/>
                <w:szCs w:val="1"/>
                <w:color w:val="auto"/>
              </w:rPr>
            </w:pPr>
          </w:p>
        </w:tc>
      </w:tr>
      <w:tr>
        <w:trPr>
          <w:trHeight w:val="148"/>
        </w:trPr>
        <w:tc>
          <w:tcPr>
            <w:tcW w:w="570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33,195,129</w:t>
            </w:r>
          </w:p>
        </w:tc>
        <w:tc>
          <w:tcPr>
            <w:tcW w:w="22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33,195,129</w:t>
            </w:r>
          </w:p>
        </w:tc>
        <w:tc>
          <w:tcPr>
            <w:tcW w:w="2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and cash equivalents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1,264,693,509</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33,971,944</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1,230,721,565</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128,753,580</w:t>
            </w:r>
          </w:p>
        </w:tc>
        <w:tc>
          <w:tcPr>
            <w:tcW w:w="2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Pr>
          <w:p>
            <w:pPr>
              <w:ind w:left="800"/>
              <w:spacing w:after="0" w:line="143" w:lineRule="exact"/>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2"/>
                <w:szCs w:val="12"/>
                <w:color w:val="auto"/>
              </w:rPr>
            </w:pPr>
          </w:p>
        </w:tc>
        <w:tc>
          <w:tcPr>
            <w:tcW w:w="200" w:type="dxa"/>
            <w:vAlign w:val="bottom"/>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128,753,580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247,215,000</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247,215,000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00" w:type="dxa"/>
            <w:vAlign w:val="bottom"/>
            <w:gridSpan w:val="2"/>
          </w:tcPr>
          <w:p>
            <w:pPr>
              <w:spacing w:after="0" w:line="149" w:lineRule="exact"/>
              <w:rPr>
                <w:sz w:val="20"/>
                <w:szCs w:val="20"/>
                <w:color w:val="auto"/>
              </w:rPr>
            </w:pPr>
            <w:r>
              <w:rPr>
                <w:rFonts w:ascii="Arial" w:cs="Arial" w:eastAsia="Arial" w:hAnsi="Arial"/>
                <w:sz w:val="14"/>
                <w:szCs w:val="14"/>
                <w:color w:val="auto"/>
              </w:rPr>
              <w:t>2025 Notes</w:t>
            </w:r>
          </w:p>
        </w:tc>
        <w:tc>
          <w:tcPr>
            <w:tcW w:w="1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67,117,500</w:t>
            </w:r>
          </w:p>
        </w:tc>
        <w:tc>
          <w:tcPr>
            <w:tcW w:w="22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67,117,500</w:t>
            </w:r>
          </w:p>
        </w:tc>
        <w:tc>
          <w:tcPr>
            <w:tcW w:w="2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443,086,080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67,117,500</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247,215,000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128,753,580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7"/>
              </w:rPr>
              <w:t>Fair Value at September 30, 2015</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2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96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ind w:left="800"/>
              <w:spacing w:after="0" w:line="142"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104,789,964</w:t>
            </w:r>
          </w:p>
        </w:tc>
        <w:tc>
          <w:tcPr>
            <w:tcW w:w="18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1,620,378</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103,169,586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1,299,047,833</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1,620,378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1,297,427,455</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49,619,256</w:t>
            </w:r>
          </w:p>
        </w:tc>
        <w:tc>
          <w:tcPr>
            <w:tcW w:w="18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49,619,256</w:t>
            </w:r>
          </w:p>
        </w:tc>
        <w:tc>
          <w:tcPr>
            <w:tcW w:w="2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and cash equivalents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1,348,667,089</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49,619,256</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1,620,378</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1,297,427,455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28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Pr>
          <w:p>
            <w:pPr>
              <w:ind w:left="800"/>
              <w:spacing w:after="0" w:line="143" w:lineRule="exact"/>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2"/>
                <w:szCs w:val="12"/>
                <w:color w:val="auto"/>
              </w:rPr>
            </w:pPr>
          </w:p>
        </w:tc>
        <w:tc>
          <w:tcPr>
            <w:tcW w:w="200" w:type="dxa"/>
            <w:vAlign w:val="bottom"/>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253,102,500</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253,102,500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71,136,000</w:t>
            </w:r>
          </w:p>
        </w:tc>
        <w:tc>
          <w:tcPr>
            <w:tcW w:w="18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71,136,000</w:t>
            </w:r>
          </w:p>
        </w:tc>
        <w:tc>
          <w:tcPr>
            <w:tcW w:w="2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456,595,360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71,136,000</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253,102,500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132,356,860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52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center"/>
              <w:ind w:right="28"/>
              <w:spacing w:after="0"/>
              <w:rPr>
                <w:sz w:val="20"/>
                <w:szCs w:val="20"/>
                <w:color w:val="auto"/>
              </w:rPr>
            </w:pPr>
            <w:r>
              <w:rPr>
                <w:rFonts w:ascii="Arial" w:cs="Arial" w:eastAsia="Arial" w:hAnsi="Arial"/>
                <w:sz w:val="14"/>
                <w:szCs w:val="14"/>
                <w:b w:val="1"/>
                <w:bCs w:val="1"/>
                <w:color w:val="auto"/>
                <w:w w:val="94"/>
              </w:rPr>
              <w:t>Six Months Ended March 31,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1,194,257,869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1,297,427,455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(43,993,771)</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7,447,593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(36,546,178)</w:t>
            </w:r>
          </w:p>
        </w:tc>
        <w:tc>
          <w:tcPr>
            <w:tcW w:w="0" w:type="dxa"/>
            <w:vAlign w:val="bottom"/>
          </w:tcPr>
          <w:p>
            <w:pPr>
              <w:spacing w:after="0"/>
              <w:rPr>
                <w:sz w:val="1"/>
                <w:szCs w:val="1"/>
                <w:color w:val="auto"/>
              </w:rPr>
            </w:pPr>
          </w:p>
        </w:tc>
      </w:tr>
      <w:tr>
        <w:trPr>
          <w:trHeight w:val="148"/>
        </w:trPr>
        <w:tc>
          <w:tcPr>
            <w:tcW w:w="7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(45,611,871)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(9,442,156)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(55,054,027)</w:t>
            </w:r>
          </w:p>
        </w:tc>
        <w:tc>
          <w:tcPr>
            <w:tcW w:w="0" w:type="dxa"/>
            <w:vAlign w:val="bottom"/>
          </w:tcPr>
          <w:p>
            <w:pPr>
              <w:spacing w:after="0"/>
              <w:rPr>
                <w:sz w:val="1"/>
                <w:szCs w:val="1"/>
                <w:color w:val="auto"/>
              </w:rPr>
            </w:pPr>
          </w:p>
        </w:tc>
      </w:tr>
      <w:tr>
        <w:trPr>
          <w:trHeight w:val="149"/>
        </w:trPr>
        <w:tc>
          <w:tcPr>
            <w:tcW w:w="7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194,118,985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31,738,327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225,857,312</w:t>
            </w:r>
          </w:p>
        </w:tc>
        <w:tc>
          <w:tcPr>
            <w:tcW w:w="0" w:type="dxa"/>
            <w:vAlign w:val="bottom"/>
          </w:tcPr>
          <w:p>
            <w:pPr>
              <w:spacing w:after="0"/>
              <w:rPr>
                <w:sz w:val="1"/>
                <w:szCs w:val="1"/>
                <w:color w:val="auto"/>
              </w:rPr>
            </w:pPr>
          </w:p>
        </w:tc>
      </w:tr>
      <w:tr>
        <w:trPr>
          <w:trHeight w:val="148"/>
        </w:trPr>
        <w:tc>
          <w:tcPr>
            <w:tcW w:w="7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(186,769,904)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(14,193,093)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(200,962,997)</w:t>
            </w:r>
          </w:p>
        </w:tc>
        <w:tc>
          <w:tcPr>
            <w:tcW w:w="0" w:type="dxa"/>
            <w:vAlign w:val="bottom"/>
          </w:tcPr>
          <w:p>
            <w:pPr>
              <w:spacing w:after="0"/>
              <w:rPr>
                <w:sz w:val="1"/>
                <w:szCs w:val="1"/>
                <w:color w:val="auto"/>
              </w:rPr>
            </w:pPr>
          </w:p>
        </w:tc>
      </w:tr>
      <w:tr>
        <w:trPr>
          <w:trHeight w:val="148"/>
        </w:trPr>
        <w:tc>
          <w:tcPr>
            <w:tcW w:w="7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1,112,001,308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118,720,257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1,230,721,565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4"/>
                <w:szCs w:val="14"/>
                <w:color w:val="auto"/>
                <w:w w:val="99"/>
              </w:rPr>
              <w:t>Net change in unrealized (depreciation) appreciation reported within the net change in unrealized (depreciation) appreciation 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160"/>
              <w:spacing w:after="0"/>
              <w:rPr>
                <w:sz w:val="20"/>
                <w:szCs w:val="20"/>
                <w:color w:val="auto"/>
              </w:rPr>
            </w:pPr>
            <w:r>
              <w:rPr>
                <w:rFonts w:ascii="Arial" w:cs="Arial" w:eastAsia="Arial" w:hAnsi="Arial"/>
                <w:sz w:val="14"/>
                <w:szCs w:val="14"/>
                <w:color w:val="auto"/>
              </w:rPr>
              <w:t>investments in our Consolidated Statements of Operations attributable to our 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(70,921,515)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2,161,267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(68,760,248)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center"/>
              <w:ind w:right="28"/>
              <w:spacing w:after="0"/>
              <w:rPr>
                <w:sz w:val="20"/>
                <w:szCs w:val="20"/>
                <w:color w:val="auto"/>
              </w:rPr>
            </w:pPr>
            <w:r>
              <w:rPr>
                <w:rFonts w:ascii="Arial" w:cs="Arial" w:eastAsia="Arial" w:hAnsi="Arial"/>
                <w:sz w:val="14"/>
                <w:szCs w:val="14"/>
                <w:b w:val="1"/>
                <w:bCs w:val="1"/>
                <w:color w:val="auto"/>
                <w:w w:val="94"/>
              </w:rPr>
              <w:t>Six Months Ended March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1,161,475,899</w:t>
            </w:r>
          </w:p>
        </w:tc>
        <w:tc>
          <w:tcPr>
            <w:tcW w:w="2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111,862,237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1,273,338,136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2,644,918</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15,417,102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18,062,020</w:t>
            </w:r>
          </w:p>
        </w:tc>
        <w:tc>
          <w:tcPr>
            <w:tcW w:w="0" w:type="dxa"/>
            <w:vAlign w:val="bottom"/>
          </w:tcPr>
          <w:p>
            <w:pPr>
              <w:spacing w:after="0"/>
              <w:rPr>
                <w:sz w:val="1"/>
                <w:szCs w:val="1"/>
                <w:color w:val="auto"/>
              </w:rPr>
            </w:pPr>
          </w:p>
        </w:tc>
      </w:tr>
      <w:tr>
        <w:trPr>
          <w:trHeight w:val="148"/>
        </w:trPr>
        <w:tc>
          <w:tcPr>
            <w:tcW w:w="7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(52,477,907)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(18,743,586)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(71,221,493)</w:t>
            </w:r>
          </w:p>
        </w:tc>
        <w:tc>
          <w:tcPr>
            <w:tcW w:w="0" w:type="dxa"/>
            <w:vAlign w:val="bottom"/>
          </w:tcPr>
          <w:p>
            <w:pPr>
              <w:spacing w:after="0"/>
              <w:rPr>
                <w:sz w:val="1"/>
                <w:szCs w:val="1"/>
                <w:color w:val="auto"/>
              </w:rPr>
            </w:pPr>
          </w:p>
        </w:tc>
      </w:tr>
      <w:tr>
        <w:trPr>
          <w:trHeight w:val="148"/>
        </w:trPr>
        <w:tc>
          <w:tcPr>
            <w:tcW w:w="7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187,894,508</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36,476,386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224,370,894</w:t>
            </w:r>
          </w:p>
        </w:tc>
        <w:tc>
          <w:tcPr>
            <w:tcW w:w="0" w:type="dxa"/>
            <w:vAlign w:val="bottom"/>
          </w:tcPr>
          <w:p>
            <w:pPr>
              <w:spacing w:after="0"/>
              <w:rPr>
                <w:sz w:val="1"/>
                <w:szCs w:val="1"/>
                <w:color w:val="auto"/>
              </w:rPr>
            </w:pPr>
          </w:p>
        </w:tc>
      </w:tr>
      <w:tr>
        <w:trPr>
          <w:trHeight w:val="148"/>
        </w:trPr>
        <w:tc>
          <w:tcPr>
            <w:tcW w:w="7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(160,673,962)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(21,831,794)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(182,505,756)</w:t>
            </w:r>
          </w:p>
        </w:tc>
        <w:tc>
          <w:tcPr>
            <w:tcW w:w="0" w:type="dxa"/>
            <w:vAlign w:val="bottom"/>
          </w:tcPr>
          <w:p>
            <w:pPr>
              <w:spacing w:after="0"/>
              <w:rPr>
                <w:sz w:val="1"/>
                <w:szCs w:val="1"/>
                <w:color w:val="auto"/>
              </w:rPr>
            </w:pPr>
          </w:p>
        </w:tc>
      </w:tr>
      <w:tr>
        <w:trPr>
          <w:trHeight w:val="148"/>
        </w:trPr>
        <w:tc>
          <w:tcPr>
            <w:tcW w:w="7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29,146,379</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(1,234,984)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27,911,395</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1,168,009,835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121,945,361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1,289,955,196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4"/>
                <w:szCs w:val="14"/>
                <w:color w:val="auto"/>
                <w:w w:val="96"/>
              </w:rPr>
              <w:t>Net change in unrealized depreciation reported within the net change in unrealized depreciation on investments in our Consolidated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900" w:type="dxa"/>
            <w:vAlign w:val="bottom"/>
            <w:gridSpan w:val="2"/>
          </w:tcPr>
          <w:p>
            <w:pPr>
              <w:ind w:left="160"/>
              <w:spacing w:after="0"/>
              <w:rPr>
                <w:sz w:val="20"/>
                <w:szCs w:val="20"/>
                <w:color w:val="auto"/>
              </w:rPr>
            </w:pPr>
            <w:r>
              <w:rPr>
                <w:rFonts w:ascii="Arial" w:cs="Arial" w:eastAsia="Arial" w:hAnsi="Arial"/>
                <w:sz w:val="14"/>
                <w:szCs w:val="14"/>
                <w:color w:val="auto"/>
              </w:rPr>
              <w:t>Statements of Operations attributable to our 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(51,686,444)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(12,474,810)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(64,161,254)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carrying/fair valued liabilities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4740" w:type="dxa"/>
            <w:vAlign w:val="bottom"/>
            <w:gridSpan w:val="2"/>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9"/>
              </w:rPr>
              <w:t>Beginning Balance (cost – $106,864,300 and $305,226,300, respectively)</w:t>
            </w:r>
          </w:p>
        </w:tc>
        <w:tc>
          <w:tcPr>
            <w:tcW w:w="4740" w:type="dxa"/>
            <w:vAlign w:val="bottom"/>
            <w:tcBorders>
              <w:top w:val="single" w:sz="8" w:color="CCEEFF"/>
            </w:tcBorders>
            <w:gridSpan w:val="2"/>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$ 102,356,860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$ 304,847,870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57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(8,068,803)</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(1,277,880)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55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191,164,923</w:t>
            </w: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187,000,000</w:t>
            </w:r>
          </w:p>
        </w:tc>
        <w:tc>
          <w:tcPr>
            <w:tcW w:w="0" w:type="dxa"/>
            <w:vAlign w:val="bottom"/>
          </w:tcPr>
          <w:p>
            <w:pPr>
              <w:spacing w:after="0"/>
              <w:rPr>
                <w:sz w:val="1"/>
                <w:szCs w:val="1"/>
                <w:color w:val="auto"/>
              </w:rPr>
            </w:pPr>
          </w:p>
        </w:tc>
      </w:tr>
      <w:tr>
        <w:trPr>
          <w:trHeight w:val="149"/>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57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(156,699,400)</w:t>
            </w: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(143,017,200)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$141,329,823 and $349,209,100, respectively)</w:t>
            </w:r>
          </w:p>
        </w:tc>
        <w:tc>
          <w:tcPr>
            <w:tcW w:w="4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$ 128,753,580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$ 347,552,790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4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$141,329,823 and $349,209,100, respectively)</w:t>
            </w:r>
          </w:p>
        </w:tc>
        <w:tc>
          <w:tcPr>
            <w:tcW w:w="47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$ 128,753,580</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$ 347,552,790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As of March 31, 2016, we had outstanding non-U.S. dollar borrowings on our Credit Facility. Net currency change in fair value on these outstanding borrowings is listed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3180" w:type="dxa"/>
            <w:vAlign w:val="bottom"/>
          </w:tcPr>
          <w:p>
            <w:pPr>
              <w:spacing w:after="0"/>
              <w:rPr>
                <w:sz w:val="14"/>
                <w:szCs w:val="14"/>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Local Currency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Original</w:t>
            </w:r>
          </w:p>
        </w:tc>
        <w:tc>
          <w:tcPr>
            <w:tcW w:w="8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Reset Date</w:t>
            </w:r>
          </w:p>
        </w:tc>
        <w:tc>
          <w:tcPr>
            <w:tcW w:w="16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31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5"/>
        </w:trPr>
        <w:tc>
          <w:tcPr>
            <w:tcW w:w="11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3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55,000,000</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87,329,823</w:t>
            </w: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78,993,475</w:t>
            </w:r>
          </w:p>
        </w:tc>
        <w:tc>
          <w:tcPr>
            <w:tcW w:w="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April 1, 2016</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(8,336,348)</w:t>
            </w:r>
          </w:p>
        </w:tc>
        <w:tc>
          <w:tcPr>
            <w:tcW w:w="5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73"/>
        </w:trPr>
        <w:tc>
          <w:tcPr>
            <w:tcW w:w="11240" w:type="dxa"/>
            <w:vAlign w:val="bottom"/>
            <w:gridSpan w:val="17"/>
          </w:tcPr>
          <w:p>
            <w:pPr>
              <w:ind w:left="440"/>
              <w:spacing w:after="0"/>
              <w:rPr>
                <w:sz w:val="20"/>
                <w:szCs w:val="20"/>
                <w:color w:val="auto"/>
              </w:rPr>
            </w:pPr>
            <w:r>
              <w:rPr>
                <w:rFonts w:ascii="Arial" w:cs="Arial" w:eastAsia="Arial" w:hAnsi="Arial"/>
                <w:sz w:val="14"/>
                <w:szCs w:val="14"/>
                <w:color w:val="auto"/>
              </w:rPr>
              <w:t>As of September 30, 2015, we had outstanding non-U.S. dollar borrowings on our Credit Facility. Net currency change in fair value on these outstanding borrowings is listed</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20"/>
                <w:szCs w:val="20"/>
                <w:color w:val="auto"/>
              </w:rPr>
            </w:pPr>
            <w:r>
              <w:rPr>
                <w:rFonts w:ascii="Arial" w:cs="Arial" w:eastAsia="Arial" w:hAnsi="Arial"/>
                <w:sz w:val="14"/>
                <w:szCs w:val="14"/>
                <w:color w:val="auto"/>
              </w:rPr>
              <w:t>below:</w:t>
            </w: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3180" w:type="dxa"/>
            <w:vAlign w:val="bottom"/>
          </w:tcPr>
          <w:p>
            <w:pPr>
              <w:spacing w:after="0"/>
              <w:rPr>
                <w:sz w:val="24"/>
                <w:szCs w:val="24"/>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Local Currency</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Original</w:t>
            </w:r>
          </w:p>
        </w:tc>
        <w:tc>
          <w:tcPr>
            <w:tcW w:w="8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Reset Date</w:t>
            </w:r>
          </w:p>
        </w:tc>
        <w:tc>
          <w:tcPr>
            <w:tcW w:w="16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31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5"/>
        </w:trPr>
        <w:tc>
          <w:tcPr>
            <w:tcW w:w="11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3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28,000,000</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46,864,300</w:t>
            </w: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42,356,860</w:t>
            </w:r>
          </w:p>
        </w:tc>
        <w:tc>
          <w:tcPr>
            <w:tcW w:w="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October 1, 2015</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(4,507,440)</w:t>
            </w:r>
          </w:p>
        </w:tc>
        <w:tc>
          <w:tcPr>
            <w:tcW w:w="5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21</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and six months ended March 31, 2016, our Credit Facility and our Notes had a net change in unrealized depreciation of $10.3 million and $18.0 million, respectively. For the three and six months ended March 31, 2015, our Credit Facility and our Notes had a net change in unrealized depreciation of $0.6 million and $1.7 million, respectively. As of March 31, 2016 and September 30, 2015, net unrealized depreciation on our Credit Facility and our Notes totaled $19.5 million and $1.5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2016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Purchases of /</w:t>
            </w:r>
          </w:p>
        </w:tc>
        <w:tc>
          <w:tcPr>
            <w:tcW w:w="8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Sale of /</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180" w:type="dxa"/>
            <w:vAlign w:val="bottom"/>
          </w:tcPr>
          <w:p>
            <w:pPr>
              <w:spacing w:after="0"/>
              <w:rPr>
                <w:sz w:val="11"/>
                <w:szCs w:val="11"/>
                <w:color w:val="auto"/>
              </w:rPr>
            </w:pPr>
          </w:p>
        </w:tc>
        <w:tc>
          <w:tcPr>
            <w:tcW w:w="120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w w:val="98"/>
              </w:rPr>
              <w:t>Fair Value at</w:t>
            </w:r>
          </w:p>
        </w:tc>
        <w:tc>
          <w:tcPr>
            <w:tcW w:w="1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8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220" w:type="dxa"/>
            <w:vAlign w:val="bottom"/>
          </w:tcPr>
          <w:p>
            <w:pPr>
              <w:spacing w:after="0"/>
              <w:rPr>
                <w:sz w:val="11"/>
                <w:szCs w:val="11"/>
                <w:color w:val="auto"/>
              </w:rPr>
            </w:pPr>
          </w:p>
        </w:tc>
        <w:tc>
          <w:tcPr>
            <w:tcW w:w="102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rPr>
              <w:t>Fair Value at</w:t>
            </w:r>
          </w:p>
        </w:tc>
        <w:tc>
          <w:tcPr>
            <w:tcW w:w="12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99"/>
              </w:rPr>
              <w:t>Net Realized Gains</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 xml:space="preserve">September 30, 2015 </w:t>
            </w:r>
            <w:r>
              <w:rPr>
                <w:rFonts w:ascii="Arial" w:cs="Arial" w:eastAsia="Arial" w:hAnsi="Arial"/>
                <w:sz w:val="10"/>
                <w:szCs w:val="10"/>
                <w:b w:val="1"/>
                <w:bCs w:val="1"/>
                <w:color w:val="auto"/>
                <w:w w:val="97"/>
              </w:rPr>
              <w:t>(1)</w:t>
            </w:r>
          </w:p>
        </w:tc>
        <w:tc>
          <w:tcPr>
            <w:tcW w:w="12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 xml:space="preserve">Affiliates </w:t>
            </w:r>
            <w:r>
              <w:rPr>
                <w:rFonts w:ascii="Arial" w:cs="Arial" w:eastAsia="Arial" w:hAnsi="Arial"/>
                <w:sz w:val="10"/>
                <w:szCs w:val="10"/>
                <w:b w:val="1"/>
                <w:bCs w:val="1"/>
                <w:color w:val="auto"/>
                <w:w w:val="92"/>
              </w:rPr>
              <w:t>(1), (2)</w:t>
            </w:r>
          </w:p>
        </w:tc>
        <w:tc>
          <w:tcPr>
            <w:tcW w:w="8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 xml:space="preserve">from Affiliates </w:t>
            </w:r>
            <w:r>
              <w:rPr>
                <w:rFonts w:ascii="Arial" w:cs="Arial" w:eastAsia="Arial" w:hAnsi="Arial"/>
                <w:sz w:val="10"/>
                <w:szCs w:val="10"/>
                <w:b w:val="1"/>
                <w:bCs w:val="1"/>
                <w:color w:val="auto"/>
                <w:w w:val="91"/>
              </w:rPr>
              <w:t>(1)</w:t>
            </w:r>
          </w:p>
        </w:tc>
        <w:tc>
          <w:tcPr>
            <w:tcW w:w="220" w:type="dxa"/>
            <w:vAlign w:val="bottom"/>
          </w:tcPr>
          <w:p>
            <w:pPr>
              <w:spacing w:after="0"/>
              <w:rPr>
                <w:sz w:val="13"/>
                <w:szCs w:val="13"/>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Accrued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 xml:space="preserve">March 31, 2016 </w:t>
            </w:r>
            <w:r>
              <w:rPr>
                <w:rFonts w:ascii="Arial" w:cs="Arial" w:eastAsia="Arial" w:hAnsi="Arial"/>
                <w:sz w:val="10"/>
                <w:szCs w:val="10"/>
                <w:b w:val="1"/>
                <w:bCs w:val="1"/>
                <w:color w:val="auto"/>
                <w:w w:val="90"/>
              </w:rPr>
              <w:t>(1)</w:t>
            </w:r>
          </w:p>
        </w:tc>
        <w:tc>
          <w:tcPr>
            <w:tcW w:w="22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42"/>
        </w:trPr>
        <w:tc>
          <w:tcPr>
            <w:tcW w:w="3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6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ind w:left="160"/>
              <w:spacing w:after="0"/>
              <w:rPr>
                <w:sz w:val="20"/>
                <w:szCs w:val="20"/>
                <w:color w:val="auto"/>
              </w:rPr>
            </w:pPr>
            <w:r>
              <w:rPr>
                <w:rFonts w:ascii="Arial" w:cs="Arial" w:eastAsia="Arial" w:hAnsi="Arial"/>
                <w:sz w:val="14"/>
                <w:szCs w:val="14"/>
                <w:color w:val="auto"/>
              </w:rPr>
              <w:t>(JF Acquisition, LLC)</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6,900,207</w:t>
            </w:r>
          </w:p>
        </w:tc>
        <w:tc>
          <w:tcPr>
            <w:tcW w:w="16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7,023,521</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72,759,582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4,017,049</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4,108,994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62,945,903</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gridSpan w:val="2"/>
          </w:tcPr>
          <w:p>
            <w:pPr>
              <w:spacing w:after="0" w:line="130" w:lineRule="exact"/>
              <w:rPr>
                <w:sz w:val="20"/>
                <w:szCs w:val="20"/>
                <w:color w:val="auto"/>
              </w:rPr>
            </w:pPr>
            <w:r>
              <w:rPr>
                <w:rFonts w:ascii="Arial" w:cs="Arial" w:eastAsia="Arial" w:hAnsi="Arial"/>
                <w:sz w:val="14"/>
                <w:szCs w:val="14"/>
                <w:color w:val="auto"/>
              </w:rPr>
              <w:t>Superior Digital Displays</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ind w:left="160"/>
              <w:spacing w:after="0"/>
              <w:rPr>
                <w:sz w:val="20"/>
                <w:szCs w:val="20"/>
                <w:color w:val="auto"/>
              </w:rPr>
            </w:pPr>
            <w:r>
              <w:rPr>
                <w:rFonts w:ascii="Arial" w:cs="Arial" w:eastAsia="Arial" w:hAnsi="Arial"/>
                <w:sz w:val="14"/>
                <w:szCs w:val="14"/>
                <w:color w:val="auto"/>
              </w:rPr>
              <w:t>Holdings, Inc.</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27,165,861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5,634,191</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2,349,658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32,467,411</w:t>
            </w:r>
          </w:p>
        </w:tc>
        <w:tc>
          <w:tcPr>
            <w:tcW w:w="220" w:type="dxa"/>
            <w:vAlign w:val="bottom"/>
          </w:tcPr>
          <w:p>
            <w:pPr>
              <w:spacing w:after="0"/>
              <w:rPr>
                <w:sz w:val="14"/>
                <w:szCs w:val="14"/>
                <w:color w:val="auto"/>
              </w:rPr>
            </w:pPr>
          </w:p>
        </w:tc>
        <w:tc>
          <w:tcPr>
            <w:tcW w:w="10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Non-Controlled Affiliates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12"/>
                <w:szCs w:val="12"/>
                <w:color w:val="auto"/>
              </w:rPr>
              <w:t>(3)</w:t>
            </w:r>
          </w:p>
        </w:tc>
        <w:tc>
          <w:tcPr>
            <w:tcW w:w="18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775,973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51,741,381</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Corfin Industries LLC </w:t>
            </w:r>
            <w:r>
              <w:rPr>
                <w:rFonts w:ascii="Arial" w:cs="Arial" w:eastAsia="Arial" w:hAnsi="Arial"/>
                <w:sz w:val="12"/>
                <w:szCs w:val="12"/>
                <w:color w:val="auto"/>
              </w:rPr>
              <w:t>(3)</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24,351,000</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(59,250)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961,162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25,134,625</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6,284,194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(751,537)</w:t>
            </w: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2,916,769</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20,464,829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458,235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21,406,849</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NCP-Performance, L.P.</w:t>
            </w:r>
          </w:p>
        </w:tc>
        <w:tc>
          <w:tcPr>
            <w:tcW w:w="18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11,432,674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6,347,422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32,388,562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1,825,334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32,594,419</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24,932,845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6,000,000</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(3,250,000)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1,496,872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28,712,439</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3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Total Controlled and Non-</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Controlled Affiliates</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202,328,754</w:t>
            </w:r>
          </w:p>
        </w:tc>
        <w:tc>
          <w:tcPr>
            <w:tcW w:w="16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39,250,703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(3,309,250)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11,976,228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271,290,739</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40" w:hanging="332"/>
        <w:spacing w:after="0" w:line="221"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Includes PIK and PIK adjustments.</w:t>
      </w: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2015.</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3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6"/>
              </w:rPr>
              <w:t>Three Months Ended March 31,</w:t>
            </w:r>
          </w:p>
        </w:tc>
        <w:tc>
          <w:tcPr>
            <w:tcW w:w="80" w:type="dxa"/>
            <w:vAlign w:val="bottom"/>
          </w:tcPr>
          <w:p>
            <w:pPr>
              <w:spacing w:after="0"/>
              <w:rPr>
                <w:sz w:val="14"/>
                <w:szCs w:val="14"/>
                <w:color w:val="auto"/>
              </w:rPr>
            </w:pPr>
          </w:p>
        </w:tc>
        <w:tc>
          <w:tcPr>
            <w:tcW w:w="19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142"/>
        </w:trPr>
        <w:tc>
          <w:tcPr>
            <w:tcW w:w="68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r>
      <w:tr>
        <w:trPr>
          <w:trHeight w:val="142"/>
        </w:trPr>
        <w:tc>
          <w:tcPr>
            <w:tcW w:w="6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w w:val="86"/>
              </w:rPr>
              <w:t>3,949,637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7,378,701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(36,805,546)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(16,566,993)</w:t>
            </w:r>
          </w:p>
        </w:tc>
        <w:tc>
          <w:tcPr>
            <w:tcW w:w="80" w:type="dxa"/>
            <w:vAlign w:val="bottom"/>
            <w:shd w:val="clear" w:color="auto" w:fill="CCEEFF"/>
          </w:tcPr>
          <w:p>
            <w:pPr>
              <w:spacing w:after="0"/>
              <w:rPr>
                <w:sz w:val="12"/>
                <w:szCs w:val="12"/>
                <w:color w:val="auto"/>
              </w:rPr>
            </w:pPr>
          </w:p>
        </w:tc>
      </w:tr>
      <w:tr>
        <w:trPr>
          <w:trHeight w:val="148"/>
        </w:trPr>
        <w:tc>
          <w:tcPr>
            <w:tcW w:w="682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71,617,767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75,092,911</w:t>
            </w:r>
          </w:p>
        </w:tc>
        <w:tc>
          <w:tcPr>
            <w:tcW w:w="8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72,182,224</w:t>
            </w: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75,092,911</w:t>
            </w:r>
          </w:p>
        </w:tc>
      </w:tr>
      <w:tr>
        <w:trPr>
          <w:trHeight w:val="148"/>
        </w:trPr>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resulting from operations</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0.06</w:t>
            </w:r>
          </w:p>
        </w:tc>
        <w:tc>
          <w:tcPr>
            <w:tcW w:w="3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2016 and September 30, 2015, cash and cash equivalents consisted of $33.2 million and $49.6 million at fair value,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524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4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4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9.82</w:t>
            </w:r>
          </w:p>
        </w:tc>
        <w:tc>
          <w:tcPr>
            <w:tcW w:w="3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0.52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w:t>
            </w:r>
            <w:r>
              <w:rPr>
                <w:rFonts w:ascii="Arial" w:cs="Arial" w:eastAsia="Arial" w:hAnsi="Arial"/>
                <w:sz w:val="12"/>
                <w:szCs w:val="12"/>
                <w:color w:val="auto"/>
              </w:rPr>
              <w:t>(1)</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decrease in net assets resulting from operations </w:t>
            </w:r>
            <w:r>
              <w:rPr>
                <w:rFonts w:ascii="Arial" w:cs="Arial" w:eastAsia="Arial" w:hAnsi="Arial"/>
                <w:sz w:val="12"/>
                <w:szCs w:val="12"/>
                <w:color w:val="auto"/>
              </w:rPr>
              <w:t>(1)</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(0.51)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(0.56)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4680" w:type="dxa"/>
            <w:vAlign w:val="bottom"/>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4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42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6.06</w:t>
            </w:r>
          </w:p>
        </w:tc>
        <w:tc>
          <w:tcPr>
            <w:tcW w:w="34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8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2.15%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71,060,836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75,092,911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627,618,672</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769,390,926</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68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2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619,033,076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571,981,716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8.58</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4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2,416</w:t>
            </w:r>
          </w:p>
        </w:tc>
        <w:tc>
          <w:tcPr>
            <w:tcW w:w="3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2,836</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32.13%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51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7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spacing w:after="0" w:line="2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460" w:right="200" w:hanging="452"/>
        <w:spacing w:after="0" w:line="25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460" w:right="140" w:hanging="452"/>
        <w:spacing w:after="0" w:line="25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For the six months ended March 31, 2016, the ratio of operating expenses before the waiver of certain Management Fees to average net assets was 7.63% and the ratio of total expenses before the waiver of certain Management Fees to average net assets was 11.67%.</w:t>
      </w: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Does not annualize non-recurring provisions for taxes.</w:t>
      </w:r>
    </w:p>
    <w:p>
      <w:pPr>
        <w:ind w:left="460" w:hanging="452"/>
        <w:spacing w:after="0"/>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6" w:lineRule="exact"/>
        <w:rPr>
          <w:rFonts w:ascii="Arial" w:cs="Arial" w:eastAsia="Arial" w:hAnsi="Arial"/>
          <w:sz w:val="12"/>
          <w:szCs w:val="12"/>
          <w:color w:val="auto"/>
        </w:rPr>
      </w:pPr>
    </w:p>
    <w:p>
      <w:pPr>
        <w:jc w:val="both"/>
        <w:ind w:left="460" w:right="280" w:hanging="452"/>
        <w:spacing w:after="0" w:line="264"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our SBIC Funds’ SBA debentures from our asset coverage per unit computation pursuant to an exemptive relief letter provided by the SEC in June 2011.</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00" w:lineRule="exact"/>
        <w:rPr>
          <w:sz w:val="20"/>
          <w:szCs w:val="20"/>
          <w:color w:val="auto"/>
        </w:rPr>
      </w:pPr>
    </w:p>
    <w:p>
      <w:pPr>
        <w:jc w:val="both"/>
        <w:ind w:right="20" w:firstLine="562"/>
        <w:spacing w:after="0" w:line="264" w:lineRule="auto"/>
        <w:rPr>
          <w:sz w:val="20"/>
          <w:szCs w:val="20"/>
          <w:color w:val="auto"/>
        </w:rPr>
      </w:pPr>
      <w:r>
        <w:rPr>
          <w:rFonts w:ascii="Arial" w:cs="Arial" w:eastAsia="Arial" w:hAnsi="Arial"/>
          <w:sz w:val="13"/>
          <w:szCs w:val="13"/>
          <w:color w:val="auto"/>
        </w:rPr>
        <w:t>Our annualized weighted average cost of debt for the six months ended March 31, 2016 and 2015, inclusive of the fee on the undrawn commitment on the Credit Facility and amortized upfront fees on SBA debentures but excluding debt issuance costs, was 4.42% and 4.57%,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As of March 31, 2016, we have a $545 million multi-currency Credit Facility with certain lenders and SunTrust Bank, acting as administrative agent, and JPMorgan Chase Bank, N.A., acting as syndication agent for the lenders. As of March 31, 2016 and September 30, 2015, there was $141.3 million and $136.9 million (including a temporary draw of $30.0 million), respectively, in outstanding borrowings under the Credit Facility, with a weighted average interest rate at the time of 2.80% and 3.07%, exclusive of the fee on undrawn commitments.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March 31, 2016. We have funded SBIC II with $37.5 million of equity capital, and it had SBA debentures outstanding of $22.5 million and commitments from the SBA for another $52.5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per recent regulatory changes, as part of a group of SBICs under common control may borrow a maximum of $350 million in the aggregate.</w:t>
      </w:r>
    </w:p>
    <w:p>
      <w:pPr>
        <w:spacing w:after="0" w:line="72" w:lineRule="exact"/>
        <w:rPr>
          <w:sz w:val="20"/>
          <w:szCs w:val="20"/>
          <w:color w:val="auto"/>
        </w:rPr>
      </w:pPr>
    </w:p>
    <w:p>
      <w:pPr>
        <w:jc w:val="both"/>
        <w:ind w:right="180" w:firstLine="562"/>
        <w:spacing w:after="0" w:line="238" w:lineRule="auto"/>
        <w:rPr>
          <w:sz w:val="20"/>
          <w:szCs w:val="20"/>
          <w:color w:val="auto"/>
        </w:rPr>
      </w:pPr>
      <w:r>
        <w:rPr>
          <w:rFonts w:ascii="Arial" w:cs="Arial" w:eastAsia="Arial" w:hAnsi="Arial"/>
          <w:sz w:val="14"/>
          <w:szCs w:val="14"/>
          <w:color w:val="auto"/>
        </w:rPr>
        <w:t>As of March 31, 2016 and September 30, 2015, our SBIC Funds had $225.0 million in debt commitments, of which $172.5 million and $150.0 million was drawn, respectively. As of March 31, 2016 and September 30, 2015, the unamortized fees on the SBA debentures was $4.0 million and $3.7 million, respectively. The SBA debentures’ upfront fees of 3.43% consist of a commitment fee of 1.00% and an issuance discount of 2.43%, which are being amortized.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were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60" w:type="dxa"/>
            <w:vAlign w:val="bottom"/>
            <w:vMerge w:val="restart"/>
          </w:tcPr>
          <w:p>
            <w:pPr>
              <w:jc w:val="right"/>
              <w:ind w:right="908"/>
              <w:spacing w:after="0"/>
              <w:rPr>
                <w:sz w:val="20"/>
                <w:szCs w:val="20"/>
                <w:color w:val="auto"/>
              </w:rPr>
            </w:pPr>
            <w:r>
              <w:rPr>
                <w:rFonts w:ascii="Arial" w:cs="Arial" w:eastAsia="Arial" w:hAnsi="Arial"/>
                <w:sz w:val="14"/>
                <w:szCs w:val="14"/>
                <w:b w:val="1"/>
                <w:bCs w:val="1"/>
                <w:color w:val="auto"/>
              </w:rPr>
              <w:t>Issuance Dates</w:t>
            </w:r>
          </w:p>
        </w:tc>
        <w:tc>
          <w:tcPr>
            <w:tcW w:w="260" w:type="dxa"/>
            <w:vAlign w:val="bottom"/>
            <w:vMerge w:val="restart"/>
          </w:tcPr>
          <w:p>
            <w:pPr>
              <w:spacing w:after="0"/>
              <w:rPr>
                <w:sz w:val="14"/>
                <w:szCs w:val="14"/>
                <w:color w:val="auto"/>
              </w:rPr>
            </w:pPr>
          </w:p>
        </w:tc>
        <w:tc>
          <w:tcPr>
            <w:tcW w:w="14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Maturity</w:t>
            </w:r>
          </w:p>
        </w:tc>
        <w:tc>
          <w:tcPr>
            <w:tcW w:w="340" w:type="dxa"/>
            <w:vAlign w:val="bottom"/>
            <w:vMerge w:val="restart"/>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Fixed All-in</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As of March 31, 2016</w:t>
            </w:r>
          </w:p>
        </w:tc>
        <w:tc>
          <w:tcPr>
            <w:tcW w:w="1980" w:type="dxa"/>
            <w:vAlign w:val="bottom"/>
            <w:gridSpan w:val="4"/>
          </w:tcPr>
          <w:p>
            <w:pPr>
              <w:ind w:left="340"/>
              <w:spacing w:after="0"/>
              <w:rPr>
                <w:sz w:val="20"/>
                <w:szCs w:val="20"/>
                <w:color w:val="auto"/>
              </w:rPr>
            </w:pPr>
            <w:r>
              <w:rPr>
                <w:rFonts w:ascii="Arial" w:cs="Arial" w:eastAsia="Arial" w:hAnsi="Arial"/>
                <w:sz w:val="14"/>
                <w:szCs w:val="14"/>
                <w:b w:val="1"/>
                <w:bCs w:val="1"/>
                <w:color w:val="auto"/>
                <w:w w:val="95"/>
              </w:rPr>
              <w:t>As of September 30, 2015</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coupon rate </w:t>
            </w:r>
            <w:r>
              <w:rPr>
                <w:rFonts w:ascii="Arial" w:cs="Arial" w:eastAsia="Arial" w:hAnsi="Arial"/>
                <w:sz w:val="12"/>
                <w:szCs w:val="12"/>
                <w:b w:val="1"/>
                <w:bCs w:val="1"/>
                <w:color w:val="auto"/>
              </w:rPr>
              <w:t>(1),</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Principal Balance</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Principal Balance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22, 2010</w:t>
            </w: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March 29, 2011</w:t>
            </w:r>
          </w:p>
        </w:tc>
        <w:tc>
          <w:tcPr>
            <w:tcW w:w="1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1, 2021</w:t>
            </w:r>
          </w:p>
        </w:tc>
        <w:tc>
          <w:tcPr>
            <w:tcW w:w="1120" w:type="dxa"/>
            <w:vAlign w:val="bottom"/>
          </w:tcPr>
          <w:p>
            <w:pPr>
              <w:spacing w:after="0"/>
              <w:rPr>
                <w:sz w:val="12"/>
                <w:szCs w:val="12"/>
                <w:color w:val="auto"/>
              </w:rPr>
            </w:pPr>
          </w:p>
        </w:tc>
        <w:tc>
          <w:tcPr>
            <w:tcW w:w="360" w:type="dxa"/>
            <w:vAlign w:val="bottom"/>
          </w:tcPr>
          <w:p>
            <w:pPr>
              <w:ind w:left="100"/>
              <w:spacing w:after="0" w:line="149" w:lineRule="exact"/>
              <w:rPr>
                <w:sz w:val="20"/>
                <w:szCs w:val="20"/>
                <w:color w:val="auto"/>
              </w:rPr>
            </w:pPr>
            <w:r>
              <w:rPr>
                <w:rFonts w:ascii="Arial" w:cs="Arial" w:eastAsia="Arial" w:hAnsi="Arial"/>
                <w:sz w:val="14"/>
                <w:szCs w:val="14"/>
                <w:color w:val="auto"/>
                <w:w w:val="87"/>
              </w:rPr>
              <w:t>4.46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September 21, 2011</w:t>
            </w:r>
          </w:p>
        </w:tc>
        <w:tc>
          <w:tcPr>
            <w:tcW w:w="1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September 1, 2021</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7"/>
              </w:rPr>
              <w:t>3.38</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March 23, 2016</w:t>
            </w:r>
          </w:p>
        </w:tc>
        <w:tc>
          <w:tcPr>
            <w:tcW w:w="1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1, 2026</w:t>
            </w:r>
          </w:p>
        </w:tc>
        <w:tc>
          <w:tcPr>
            <w:tcW w:w="1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w w:val="87"/>
              </w:rPr>
              <w:t>2.86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22,500,000</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Weighted Average Rate / Total</w:t>
            </w:r>
          </w:p>
        </w:tc>
        <w:tc>
          <w:tcPr>
            <w:tcW w:w="1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3.59%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172,500,000</w:t>
            </w:r>
          </w:p>
        </w:tc>
        <w:tc>
          <w:tcPr>
            <w:tcW w:w="4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93980</wp:posOffset>
            </wp:positionV>
            <wp:extent cx="18599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880" w:hanging="319"/>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Excluding 3.43% of upfront fees.</w:t>
      </w:r>
    </w:p>
    <w:p>
      <w:pPr>
        <w:ind w:left="880" w:hanging="319"/>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As of September 30, 2015, the fixed all-in coupon rate was 3.70%.</w:t>
      </w:r>
    </w:p>
    <w:p>
      <w:pPr>
        <w:spacing w:after="0" w:line="84"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2016, our SBIC Funds were in compliance with their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96" w:lineRule="exact"/>
        <w:rPr>
          <w:sz w:val="20"/>
          <w:szCs w:val="20"/>
          <w:color w:val="auto"/>
        </w:rPr>
      </w:pPr>
    </w:p>
    <w:p>
      <w:pPr>
        <w:ind w:right="140" w:firstLine="562"/>
        <w:spacing w:after="0" w:line="264" w:lineRule="auto"/>
        <w:rPr>
          <w:sz w:val="20"/>
          <w:szCs w:val="20"/>
          <w:color w:val="auto"/>
        </w:rPr>
      </w:pPr>
      <w:r>
        <w:rPr>
          <w:rFonts w:ascii="Arial" w:cs="Arial" w:eastAsia="Arial" w:hAnsi="Arial"/>
          <w:sz w:val="13"/>
          <w:szCs w:val="13"/>
          <w:color w:val="auto"/>
        </w:rPr>
        <w:t>As of March 31, 2016 and September 30, 2015,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As of March 31, 2016 and September 30, 2015, we had $71.3 million in aggregate principal amount of 2025 Notes outstanding.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March 31, 2016 and September 30, 2015, we had $9.5 million and $19.7 million, respectively, in commitments to fund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 REPURCHASE PROGRAM</w:t>
      </w:r>
    </w:p>
    <w:p>
      <w:pPr>
        <w:spacing w:after="0" w:line="100"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The program will expire on May 6, 2016. During the three and six months ended March 31, 2016, we repurchased 0.7 million and 1.9 million shares of common stock, respectively, in open market transactions for an aggregate cost (including transaction costs) of $3.7 million and $12.2 million, respectively. From May 6, 2015 to March 31, 2016, we purchased 4.0 million shares of common stock in open market transactions for an aggregate cost (including transaction costs) of $30.1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Investment Corporation and its Subsidiaries (collectively referred to as the “Company”), including the consolidated schedule of investments, as of March 31, 2016, the consolidated statements of operations for the three and six months ended March 31, 2016 and 2015, and the consolidated statements of changes in net assets and cash flows for the six months ended March 31, 2016 and 2015. These consolidated financial statements are the responsibility of the Company’s management.</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2015, and the related consolidated statements of operations, changes in net assets, and cash flows for the year then ended (not presented herein); and in our report dated November 10, 2015, we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4,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European sovereign debt and other world economic issues.</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debt, mezzanine debt and equity investments.</w:t>
      </w:r>
    </w:p>
    <w:p>
      <w:pPr>
        <w:spacing w:after="0" w:line="84"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5"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3"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financing costs on liabilities, which we do not fair value, are capitalized and then accreted or amortized using the effective interest method as interest income or, in the case of deferred financing cost, as interest expense. We record prepayment penalties on loans and debt securities as income. Dividend income, if any, is recognized on an accrual basis on the ex-dividend date to the extent that we expect to collect such amounts.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09"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As of March 31, 2016, our portfolio totaled $1,231.5 million and consisted of $454.7 million of senior secured debt, $486.1 million of second lien secured debt, $171.2 million of subordinated debt and $119.5 million of preferred and common equity. Our debt portfolio consisted of 76% variable-rate investments (including 72% with a LIBOR or prime floor) and 24% fixed-rate investments. As of March 31, 2016, we had four companies on non-accrual, representing 7.2% and 2.3% of our overall portfolio on a cost and fair value basis, respectively. Overall, the portfolio had net unrealized depreciation of $181.1 million as of March 31, 2016. Our overall portfolio consisted of 61 companies with an average investment size of $20.2 million, had a weighted average yield on interest bearing debt investments of 11.9% and was invested 37% in senior secured debt, 39% in second lien secured debt, 14% in subordinated debt and 10% in preferred and common equity.</w:t>
      </w:r>
    </w:p>
    <w:p>
      <w:pPr>
        <w:spacing w:after="0" w:line="77" w:lineRule="exact"/>
        <w:rPr>
          <w:sz w:val="20"/>
          <w:szCs w:val="20"/>
          <w:color w:val="auto"/>
        </w:rPr>
      </w:pPr>
    </w:p>
    <w:p>
      <w:pPr>
        <w:ind w:right="20" w:firstLine="562"/>
        <w:spacing w:after="0" w:line="224" w:lineRule="auto"/>
        <w:rPr>
          <w:sz w:val="20"/>
          <w:szCs w:val="20"/>
          <w:color w:val="auto"/>
        </w:rPr>
      </w:pPr>
      <w:r>
        <w:rPr>
          <w:rFonts w:ascii="Arial" w:cs="Arial" w:eastAsia="Arial" w:hAnsi="Arial"/>
          <w:sz w:val="14"/>
          <w:szCs w:val="14"/>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interest bearing debt investments of 12.1% and was invested 31% in senior secured debt, 47% in second lien secured debt, 14% in subordinated debt and 8% in preferred and common equity.</w:t>
      </w:r>
    </w:p>
    <w:p>
      <w:pPr>
        <w:spacing w:after="0" w:line="1"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3"/>
          <w:szCs w:val="13"/>
          <w:color w:val="auto"/>
        </w:rPr>
        <w:t>For the three months ended March 31, 2016, we invested $86.5 million in two new and four existing portfolio companies with a weighted average yield on debt investments of 10.8%. Sales and repayments of investments for the three months ended March 31, 2016 totaled $92.9 million. For the six months ended March 31, 2016, we invested $216.8 million in six new and 10 existing portfolio companies with a weighted average yield on debt investments of 11.7%. Sales and repayments of investments for the six months ended March 31, 2016 totaled $201.0 million.</w:t>
      </w:r>
    </w:p>
    <w:p>
      <w:pPr>
        <w:spacing w:after="0" w:line="65" w:lineRule="exact"/>
        <w:rPr>
          <w:sz w:val="20"/>
          <w:szCs w:val="20"/>
          <w:color w:val="auto"/>
        </w:rPr>
      </w:pPr>
    </w:p>
    <w:p>
      <w:pPr>
        <w:jc w:val="both"/>
        <w:ind w:right="40" w:firstLine="562"/>
        <w:spacing w:after="0" w:line="264" w:lineRule="auto"/>
        <w:rPr>
          <w:sz w:val="20"/>
          <w:szCs w:val="20"/>
          <w:color w:val="auto"/>
        </w:rPr>
      </w:pPr>
      <w:r>
        <w:rPr>
          <w:rFonts w:ascii="Arial" w:cs="Arial" w:eastAsia="Arial" w:hAnsi="Arial"/>
          <w:sz w:val="13"/>
          <w:szCs w:val="13"/>
          <w:color w:val="auto"/>
        </w:rPr>
        <w:t>For the three months ended March 31, 2015, we invested $72.6 million in two new and eight existing portfolio companies with a weighted average yield on debt investments of 12.9%. Sales and repayments of investments for the three months ended March 31, 2015 totaled $103.2 million. For the six months ended March 31, 2015, we invested $231.5 million in five new and 13 existing portfolio companies with a weighted average yield on debt investments of 12.7%. Sales and repayments of investments for the six months ended March 31, 2015 totaled $182.5 million.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60" w:right="280" w:hanging="769"/>
        <w:spacing w:after="0" w:line="290" w:lineRule="auto"/>
        <w:tabs>
          <w:tab w:leader="none" w:pos="13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4" w:lineRule="exact"/>
        <w:rPr>
          <w:sz w:val="20"/>
          <w:szCs w:val="20"/>
          <w:color w:val="auto"/>
        </w:rPr>
      </w:pPr>
    </w:p>
    <w:p>
      <w:pPr>
        <w:ind w:left="560" w:right="280" w:firstLine="19"/>
        <w:spacing w:after="0" w:line="248" w:lineRule="auto"/>
        <w:rPr>
          <w:sz w:val="20"/>
          <w:szCs w:val="20"/>
          <w:color w:val="auto"/>
        </w:rPr>
      </w:pPr>
      <w:r>
        <w:rPr>
          <w:rFonts w:ascii="Arial" w:cs="Arial" w:eastAsia="Arial" w:hAnsi="Arial"/>
          <w:sz w:val="13"/>
          <w:szCs w:val="13"/>
          <w:color w:val="auto"/>
        </w:rPr>
        <w:t>Level 3: Inputs that are unobservable for an asset or liability because they are based on our own assumptions about how market participants would price the asset or liability. A financial instrument’s categorization within the valuation hierarchy is based upon the lowest level of input that is significant to the fair value measurement. Generally, most of our</w:t>
      </w:r>
    </w:p>
    <w:p>
      <w:pPr>
        <w:jc w:val="both"/>
        <w:ind w:right="260"/>
        <w:spacing w:after="0" w:line="271" w:lineRule="auto"/>
        <w:rPr>
          <w:sz w:val="20"/>
          <w:szCs w:val="20"/>
          <w:color w:val="auto"/>
        </w:rPr>
      </w:pPr>
      <w:r>
        <w:rPr>
          <w:rFonts w:ascii="Arial" w:cs="Arial" w:eastAsia="Arial" w:hAnsi="Arial"/>
          <w:sz w:val="13"/>
          <w:szCs w:val="13"/>
          <w:color w:val="auto"/>
        </w:rPr>
        <w:t>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55"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and six months ended March 31, 2016, our Credit Facility and our Notes had a net change in unrealized depreciation of $10.3 million and $18.0 million, respectively. For the three and six months ended March 31, 2015, our Credit Facility and our Notes had a net change in unrealized depreciation of $0.6 million and $1.7 million, respectively. As of March 31, 2016 and September 30, 2015, net unrealized depreciation on our Credit Facility and our Notes totaled $19.5 million and $1.5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 values,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 w:firstLine="562"/>
        <w:spacing w:after="0" w:line="241"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to our stockholders of an amount generally at least equal to 90% of the sum of our net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the sum of our capital gain net income (i.e. the excess, if any, of our capital gains over capital losses) for the one-year period ending on October 31 of the calendar year plus</w:t>
      </w:r>
    </w:p>
    <w:p>
      <w:pPr>
        <w:spacing w:after="0" w:line="2" w:lineRule="exact"/>
        <w:rPr>
          <w:sz w:val="20"/>
          <w:szCs w:val="20"/>
          <w:color w:val="auto"/>
        </w:rPr>
      </w:pPr>
    </w:p>
    <w:p>
      <w:pPr>
        <w:ind w:right="40" w:firstLine="8"/>
        <w:spacing w:after="0" w:line="229" w:lineRule="auto"/>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sum of any net ordinary income plus net capital gain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net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and six months ended March 31, 2016 and 2015.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80" w:firstLine="562"/>
        <w:spacing w:after="0" w:line="251" w:lineRule="auto"/>
        <w:rPr>
          <w:sz w:val="20"/>
          <w:szCs w:val="20"/>
          <w:color w:val="auto"/>
        </w:rPr>
      </w:pPr>
      <w:r>
        <w:rPr>
          <w:rFonts w:ascii="Arial" w:cs="Arial" w:eastAsia="Arial" w:hAnsi="Arial"/>
          <w:sz w:val="13"/>
          <w:szCs w:val="13"/>
          <w:color w:val="auto"/>
        </w:rPr>
        <w:t>Investment income for the three and six months ended March 31, 2016 was $39.1 million and $74.4 million, respectively, and was attributable to $19.6 million and $32.5 million from senior secured loans, $13.8 million and $31.2 million from second lien secured debt, $5.7 million and $10.7 million from subordinated debt, preferred and common equity, respectively. This compares to investment income for the three and six months ended March 31, 2015, which was $42.7 million and $81.9 million, respectively, and was attributable to $15.7 million and $30.3 million from senior secured loans, $18.8 million and $34.6 million from second lien secured debt, $8.0 million and $16.3 million from subordinated debt, and $0.2 million and $0.7 million from preferred and common equity, respectively. The decrease in investment income compared with the same periods in the prior year was primarily due to a lower yielding portfolio.</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Net expenses for the three and six months ended March 31, 2016 totaled $18.3 million and $36.7 million, respectively. Base management fee for the same periods totaled $5.1 million (after a base management fee waiver of $1.0 million) and $10.6 million (after a base management fee waiver of $2.0 million), incentive fee totaled $4.0 million (after an incentive fee waiver of $0.7 million) and $7.2 million (after an incentive fee waiver of $1.4 million), debt related interest and expenses totaled $6.9 million and $13.7 million, general and administrative expenses totaled $1.9 million and $3.5 million and provision for taxes totaled $0.4 million and $1.7 million, respectively. This compares to expenses for the three and six months ended March 31, 2015, which totaled $20.6 million and $40.3 million, respectively. Base management fee for the same periods totaled $6.8 million and $13.6 million, incentive fee totaled $5.5 million and $10.4 million, debt related interest and expenses totaled $6.6 million and $13.1 million and general and administrative expenses totaled $1.7 million and $3.2 million, respectively. The decrease in expenses compared with the same periods in the prior year was primarily due to the Management Fee waiver and lower portfolio size offset by a higher provision for taxes.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Net investment income totaled $20.8 million and $37.7 million, or $0.29 and $0.52 per share, for the three and six months ended March 31, 2016, respectively. Net investment income totaled $22.1 million and $41.6 million, or $0.29 and $0.55 per share, for the three and six months ended March 31, 2015, respectively. The decrease in net investment income per share compared to the same periods in the prior year was primarily due to the repayments of higher yielding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2016 totaled $92.9 million and $201.0 million, respectively, and realized losses totaled $11.2 million and $36.6 million, respectively. Sales and repayments of investments for the three and six months ended March 31, 2015 totaled $103.2 million and $182.5 million, respectively, and realized gains totaled $9.5 million and $18.1 million, respectively. The increase in realized losses compared with the same periods in the prior year was primarily due to the changes in market conditions of our investments and a higher volume of sales and repayments.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For the three and six months ended March 31, 2016, we reported a net change in unrealized depreciation on investments of $16.0 million and $55.9 million, respectively. For the three and six months ended March 31, 2015, we reported a net change in unrealized depreciation on investments of $24.8 million and $77.9 million, respectively. As of March 31, 2016 and September 30, 2015, our net unrealized depreciation on investments totaled $181.1 million and $125.2 million, respectively. The net change in unrealized depreciation on our investments was driven primarily by changes in the capital market conditions, financial performance of certain portfolio companies, and the reversal of unrealized depreciation (appreciation) of investments liquidated.</w:t>
      </w:r>
    </w:p>
    <w:p>
      <w:pPr>
        <w:spacing w:after="0" w:line="7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For the three and six months ended March 31, 2016, we reported a net change in unrealized depreciation on our Credit Facility and our Notes of $10.3 million and $18.0 million, respectively. For the three and six months ended March 31, 2015, we reported a net change in unrealized depreciation on our Credit Facility, 2019 Notes and 2025 Notes of $0.6 million and $1.7 million, respectively. The change compared with the same periods in the prior year was primarily due to changes in the capital markets.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280" w:firstLine="562"/>
        <w:spacing w:after="0" w:line="233" w:lineRule="auto"/>
        <w:rPr>
          <w:sz w:val="20"/>
          <w:szCs w:val="20"/>
          <w:color w:val="auto"/>
        </w:rPr>
      </w:pPr>
      <w:r>
        <w:rPr>
          <w:rFonts w:ascii="Arial" w:cs="Arial" w:eastAsia="Arial" w:hAnsi="Arial"/>
          <w:sz w:val="14"/>
          <w:szCs w:val="14"/>
          <w:color w:val="auto"/>
        </w:rPr>
        <w:t>Net change in net assets resulting from operations totaled $3.9 million and $(36.8) million, or $0.06 and $(0.51) per share, for the three and six months ended March 31, 2016, respectively. This compares to a net change in net assets resulting from operations of $7.4 million and $(16.6) million, or $0.10 and $(0.22) per share, for the three and six months ended March 31, 2015, respectively. The decrease in the net change in net assets from operations compared with the same periods in the prior year reflects the change in portfolio investment values during the reporting periods.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6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As of March 31, 2016, we had a $545 million multi-currency Credit Facility with certain lenders and SunTrust Bank, acting as administrative agent, and JPMorgan Chase Bank, N.A., acting as syndication agent for the lenders. As of March 31, 2016 and September 30, 2015, there was $141.3 million and $136.9 million (including a temporary draw of $30.0 million), respectively, in outstanding borrowings under the Credit Facility. The Credit Facility had a weighted average interest rate at the time of 2.80% and 3.07%, respectively, exclusive of the fee on undrawn commitments. The annualized weighted average cost of debt for the six months ended March 31, 2016 and 2015, inclusive of the fee on the undrawn commitment on the Credit Facility and upfront fees on SBA debentures, was 4.42% and 4.57%, respectively. The Credit Facility is a five-year revolving facility with a stated maturity date of June 25, 2019, a one-year term-out period following its fourth year and pricing is set at 225 basis points over LIBOR. As of March 31, 2016 and September 30, 2015, we had $403.7 million and $408.1 million of unused borrowing capacity under our Credit Facility, respectively, subject to the regulatory restrictions. The Credit Facility is secured by substantially all of our assets excluding assets held by our SBIC Funds.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March 31, 2016, we were in compliance with the terms of our Credit Facility.</w:t>
      </w:r>
    </w:p>
    <w:p>
      <w:pPr>
        <w:spacing w:after="0" w:line="6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base indenture filed as Exhibit (d)(8) to our post-effective amendment filed on January 22, 2013, or the Base Indenture, and the supplemental indenture filed as Exhibit (d)(11) to our post-effective amendment filed on September 23, 2014 for more information.</w:t>
      </w:r>
    </w:p>
    <w:p>
      <w:pPr>
        <w:spacing w:after="0" w:line="7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 Please see our Base Indenture and the supplemental indenture filed as Exhibit (d)(9) to our post-effective amendment filed on January 22, 2013 for more information.</w:t>
      </w:r>
    </w:p>
    <w:p>
      <w:pPr>
        <w:spacing w:after="0" w:line="69" w:lineRule="exact"/>
        <w:rPr>
          <w:sz w:val="20"/>
          <w:szCs w:val="20"/>
          <w:color w:val="auto"/>
        </w:rPr>
      </w:pPr>
    </w:p>
    <w:p>
      <w:pPr>
        <w:ind w:right="100" w:firstLine="562"/>
        <w:spacing w:after="0" w:line="229"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 For each of the six month periods ended March 31, 2016 and 2015, we did not issue shares of common stock in connection with an equity offering.</w:t>
      </w:r>
    </w:p>
    <w:p>
      <w:pPr>
        <w:spacing w:after="0" w:line="77"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March 31, 2016. We have funded SBIC II with $37.5 million of equity capital, and it had SBA debentures outstanding of $22.5 million and commitments from the SBA for another $52.5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per recent regulatory changes, as part of a group of SBICs under common control may borrow a maximum of $350.0 million in the aggregate.</w:t>
      </w:r>
    </w:p>
    <w:p>
      <w:pPr>
        <w:spacing w:after="0" w:line="72"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As of March 31, 2016 and September 30, 2015, our SBIC Funds had $225.0 million in debt commitments, of which $172.5 million and $150.0 million was drawn, respectively. As of March 31, 2016 and September 30, 2015, the unamortized fees on the SBA debentures was $4.0 million and $3.7 million, respectively. The SBA debentures’ upfront fees of 3.43% consist of a commitment fee of 1.00% and an issuance discount of 2.43%, which are being amortized.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were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Issuance Dates</w:t>
            </w:r>
          </w:p>
        </w:tc>
        <w:tc>
          <w:tcPr>
            <w:tcW w:w="360" w:type="dxa"/>
            <w:vAlign w:val="bottom"/>
            <w:vMerge w:val="restart"/>
          </w:tcPr>
          <w:p>
            <w:pPr>
              <w:spacing w:after="0"/>
              <w:rPr>
                <w:sz w:val="14"/>
                <w:szCs w:val="14"/>
                <w:color w:val="auto"/>
              </w:rPr>
            </w:pPr>
          </w:p>
        </w:tc>
        <w:tc>
          <w:tcPr>
            <w:tcW w:w="16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Maturity</w:t>
            </w:r>
          </w:p>
        </w:tc>
        <w:tc>
          <w:tcPr>
            <w:tcW w:w="440" w:type="dxa"/>
            <w:vAlign w:val="bottom"/>
            <w:vMerge w:val="restart"/>
          </w:tcPr>
          <w:p>
            <w:pPr>
              <w:spacing w:after="0"/>
              <w:rPr>
                <w:sz w:val="14"/>
                <w:szCs w:val="14"/>
                <w:color w:val="auto"/>
              </w:rPr>
            </w:pPr>
          </w:p>
        </w:tc>
        <w:tc>
          <w:tcPr>
            <w:tcW w:w="134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Fixed All-in</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w w:val="95"/>
              </w:rPr>
              <w:t>As of March 31, 2016</w:t>
            </w:r>
          </w:p>
        </w:tc>
        <w:tc>
          <w:tcPr>
            <w:tcW w:w="44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As of September 30, 2015</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13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2"/>
              </w:rPr>
              <w:t>coupon rate</w:t>
            </w:r>
            <w:r>
              <w:rPr>
                <w:rFonts w:ascii="Arial" w:cs="Arial" w:eastAsia="Arial" w:hAnsi="Arial"/>
                <w:sz w:val="12"/>
                <w:szCs w:val="12"/>
                <w:b w:val="1"/>
                <w:bCs w:val="1"/>
                <w:color w:val="auto"/>
                <w:w w:val="92"/>
              </w:rPr>
              <w:t>(1), (2)</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 Balance</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 Balance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22, 2010</w:t>
            </w:r>
          </w:p>
        </w:tc>
        <w:tc>
          <w:tcPr>
            <w:tcW w:w="3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March 29, 2011</w:t>
            </w:r>
          </w:p>
        </w:tc>
        <w:tc>
          <w:tcPr>
            <w:tcW w:w="20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March 1, 2021</w:t>
            </w:r>
          </w:p>
        </w:tc>
        <w:tc>
          <w:tcPr>
            <w:tcW w:w="134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w w:val="87"/>
              </w:rPr>
              <w:t>4.46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September 21, 2011</w:t>
            </w:r>
          </w:p>
        </w:tc>
        <w:tc>
          <w:tcPr>
            <w:tcW w:w="2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September 1, 2021</w:t>
            </w:r>
          </w:p>
        </w:tc>
        <w:tc>
          <w:tcPr>
            <w:tcW w:w="1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3.38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March 23, 2016</w:t>
            </w:r>
          </w:p>
        </w:tc>
        <w:tc>
          <w:tcPr>
            <w:tcW w:w="204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March 1, 2026</w:t>
            </w:r>
          </w:p>
        </w:tc>
        <w:tc>
          <w:tcPr>
            <w:tcW w:w="1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87"/>
              </w:rPr>
              <w:t>2.86</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22,500,000</w:t>
            </w:r>
          </w:p>
        </w:tc>
        <w:tc>
          <w:tcPr>
            <w:tcW w:w="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Weighted Average Rate / Total</w:t>
            </w:r>
          </w:p>
        </w:tc>
        <w:tc>
          <w:tcPr>
            <w:tcW w:w="1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3.59%</w:t>
            </w:r>
          </w:p>
        </w:tc>
        <w:tc>
          <w:tcPr>
            <w:tcW w:w="3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172,500,000</w:t>
            </w:r>
          </w:p>
        </w:tc>
        <w:tc>
          <w:tcPr>
            <w:tcW w:w="60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Excluding 3.43% of upfront fees.</w:t>
      </w: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4"/>
          <w:szCs w:val="14"/>
          <w:color w:val="auto"/>
        </w:rPr>
        <w:t>As of September 30, 2015, the fixed all-in coupon rate was 3.70%.</w:t>
      </w:r>
    </w:p>
    <w:p>
      <w:pPr>
        <w:spacing w:after="0" w:line="84"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2016, our SBIC Funds were in compliance with their regulatory requirements.</w:t>
      </w:r>
    </w:p>
    <w:p>
      <w:pPr>
        <w:spacing w:after="0" w:line="76"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March 31, 2016 and September 30, 2015,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67" w:lineRule="exact"/>
        <w:rPr>
          <w:sz w:val="20"/>
          <w:szCs w:val="20"/>
          <w:color w:val="auto"/>
        </w:rPr>
      </w:pPr>
    </w:p>
    <w:p>
      <w:pPr>
        <w:ind w:right="580" w:firstLine="562"/>
        <w:spacing w:after="0" w:line="253" w:lineRule="auto"/>
        <w:rPr>
          <w:sz w:val="20"/>
          <w:szCs w:val="20"/>
          <w:color w:val="auto"/>
        </w:rPr>
      </w:pPr>
      <w:r>
        <w:rPr>
          <w:rFonts w:ascii="Arial" w:cs="Arial" w:eastAsia="Arial" w:hAnsi="Arial"/>
          <w:sz w:val="14"/>
          <w:szCs w:val="14"/>
          <w:color w:val="auto"/>
        </w:rPr>
        <w:t>At March 31, 2016 and September 30, 2015, we had cash and cash equivalents at fair value of $33.2 million and $49.6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520" w:firstLine="562"/>
        <w:spacing w:after="0" w:line="253" w:lineRule="auto"/>
        <w:rPr>
          <w:sz w:val="20"/>
          <w:szCs w:val="20"/>
          <w:color w:val="auto"/>
        </w:rPr>
      </w:pPr>
      <w:r>
        <w:rPr>
          <w:rFonts w:ascii="Arial" w:cs="Arial" w:eastAsia="Arial" w:hAnsi="Arial"/>
          <w:sz w:val="14"/>
          <w:szCs w:val="14"/>
          <w:color w:val="auto"/>
        </w:rPr>
        <w:t>Our operating activities provided cash of $9.9 million for the six months ended March 31, 2016, and our financing activities used cash of $26.3 million for the same period. Our operating activities provided cash from sales and repayments on our investments and our financing activities used cash primarily for our stock repurchase plan.</w:t>
      </w:r>
    </w:p>
    <w:p>
      <w:pPr>
        <w:spacing w:after="0" w:line="6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Our operating activities used cash of $5.5 million for the six months ended March 31, 2015, primarily for net purchases of investments. Our financing activities provided cash of $1.9 million for the same period, primarily from net borrowings under our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right="220" w:firstLine="337"/>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2016, including borrowings under our various debt facilities and other contractual obligations, is as follows: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4"/>
                <w:szCs w:val="14"/>
                <w:b w:val="1"/>
                <w:bCs w:val="1"/>
                <w:color w:val="auto"/>
              </w:rPr>
              <w:t>Payments due by period (in millions)</w:t>
            </w: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9"/>
              </w:rPr>
              <w:t>Less than 1 year</w:t>
            </w:r>
          </w:p>
        </w:tc>
        <w:tc>
          <w:tcPr>
            <w:tcW w:w="18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3-5 years</w:t>
            </w:r>
          </w:p>
        </w:tc>
        <w:tc>
          <w:tcPr>
            <w:tcW w:w="11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More than 5 years</w:t>
            </w:r>
          </w:p>
        </w:tc>
        <w:tc>
          <w:tcPr>
            <w:tcW w:w="80" w:type="dxa"/>
            <w:vAlign w:val="bottom"/>
          </w:tcPr>
          <w:p>
            <w:pPr>
              <w:spacing w:after="0"/>
              <w:rPr>
                <w:sz w:val="12"/>
                <w:szCs w:val="12"/>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780" w:type="dxa"/>
            <w:vAlign w:val="bottom"/>
            <w:tcBorders>
              <w:top w:val="single" w:sz="8" w:color="auto"/>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ind w:left="840"/>
              <w:spacing w:after="0" w:line="142" w:lineRule="exact"/>
              <w:rPr>
                <w:sz w:val="20"/>
                <w:szCs w:val="20"/>
                <w:color w:val="auto"/>
              </w:rPr>
            </w:pPr>
            <w:r>
              <w:rPr>
                <w:rFonts w:ascii="Arial" w:cs="Arial" w:eastAsia="Arial" w:hAnsi="Arial"/>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141.3</w:t>
            </w:r>
          </w:p>
        </w:tc>
        <w:tc>
          <w:tcPr>
            <w:tcW w:w="4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7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45.0</w:t>
            </w:r>
          </w:p>
        </w:tc>
        <w:tc>
          <w:tcPr>
            <w:tcW w:w="4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127.5</w:t>
            </w: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250.0</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7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27"/>
        </w:trPr>
        <w:tc>
          <w:tcPr>
            <w:tcW w:w="3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635.1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436.3</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198.8</w:t>
            </w: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7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5.8</w:t>
            </w:r>
          </w:p>
        </w:tc>
        <w:tc>
          <w:tcPr>
            <w:tcW w:w="180" w:type="dxa"/>
            <w:vAlign w:val="bottom"/>
          </w:tcPr>
          <w:p>
            <w:pPr>
              <w:spacing w:after="0"/>
              <w:rPr>
                <w:sz w:val="12"/>
                <w:szCs w:val="12"/>
                <w:color w:val="auto"/>
              </w:rPr>
            </w:pPr>
          </w:p>
        </w:tc>
        <w:tc>
          <w:tcPr>
            <w:tcW w:w="118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2.6</w:t>
            </w:r>
          </w:p>
        </w:tc>
        <w:tc>
          <w:tcPr>
            <w:tcW w:w="4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r>
      <w:tr>
        <w:trPr>
          <w:trHeight w:val="27"/>
        </w:trPr>
        <w:tc>
          <w:tcPr>
            <w:tcW w:w="3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78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644.6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438.9</w:t>
            </w:r>
          </w:p>
        </w:tc>
        <w:tc>
          <w:tcPr>
            <w:tcW w:w="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199.9</w:t>
            </w:r>
          </w:p>
        </w:tc>
      </w:tr>
      <w:tr>
        <w:trPr>
          <w:trHeight w:val="20"/>
        </w:trPr>
        <w:tc>
          <w:tcPr>
            <w:tcW w:w="3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560" w:right="180" w:hanging="552"/>
        <w:spacing w:after="0" w:line="230" w:lineRule="auto"/>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annualized weighted average interest rate as of March 31, 2016, excluding debt issuance costs, was 4.07% exclusive of the fee on the undrawn commitment on the Credit Facility and 3.43% of upfront fees on SBA debentures.</w:t>
      </w:r>
    </w:p>
    <w:p>
      <w:pPr>
        <w:ind w:left="560" w:hanging="552"/>
        <w:spacing w:after="0"/>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2016,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right="180" w:firstLine="562"/>
        <w:spacing w:after="0" w:line="228"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2016,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80" w:firstLine="562"/>
        <w:spacing w:after="0" w:line="244" w:lineRule="auto"/>
        <w:rPr>
          <w:sz w:val="20"/>
          <w:szCs w:val="20"/>
          <w:color w:val="auto"/>
        </w:rPr>
      </w:pPr>
      <w:r>
        <w:rPr>
          <w:rFonts w:ascii="Arial" w:cs="Arial" w:eastAsia="Arial" w:hAnsi="Arial"/>
          <w:sz w:val="13"/>
          <w:szCs w:val="13"/>
          <w:color w:val="auto"/>
        </w:rPr>
        <w:t>In order to be subject to tax as a RIC and to not be subject to corporate-level tax on undistributed income or gains, we are required, under Subchapter M of the Code, to annually distribute dividends to stockholders of an amount generally at least equal to 90% of the sum of our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the sum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77"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During the three and six months ended March 31, 2016, we declared distributions of $0.28 and $0.56 per share, respectively, for total distributions of $19.9 million and $40.0 million, respectively. For the same periods in the prior year, we declared distributions of $0.28 and $0.56 per share, respectively, for total distributions of $21.0 million and $42.1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 PROGRAM</w:t>
      </w:r>
    </w:p>
    <w:p>
      <w:pPr>
        <w:spacing w:after="0" w:line="100" w:lineRule="exact"/>
        <w:rPr>
          <w:sz w:val="20"/>
          <w:szCs w:val="20"/>
          <w:color w:val="auto"/>
        </w:rPr>
      </w:pPr>
    </w:p>
    <w:p>
      <w:pPr>
        <w:ind w:right="80" w:firstLine="562"/>
        <w:spacing w:after="0" w:line="251" w:lineRule="auto"/>
        <w:rPr>
          <w:sz w:val="20"/>
          <w:szCs w:val="20"/>
          <w:color w:val="auto"/>
        </w:rPr>
      </w:pPr>
      <w:r>
        <w:rPr>
          <w:rFonts w:ascii="Arial" w:cs="Arial" w:eastAsia="Arial" w:hAnsi="Arial"/>
          <w:sz w:val="13"/>
          <w:szCs w:val="13"/>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The program will expire May 6, 2016. During the three and six months ended March 31, 2016, we repurchased 0.7 million and 1.9 million shares of common stock, respectively, in open market transactions for an aggregate cost (including transaction costs) of $3.7 million and $12.2 million, respectively. From May 6, 2015 to March 31, 2016, we purchased 4.0 million shares of common stock in open market transactions for an aggregate cost (including transaction costs) of $30.1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2016, our debt portfolio consisted of 76% variable-rate investments (including 72% with a LIBOR or prime floor) and 24%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jc w:val="center"/>
              <w:ind w:right="1020"/>
              <w:spacing w:after="0"/>
              <w:rPr>
                <w:sz w:val="20"/>
                <w:szCs w:val="20"/>
                <w:color w:val="auto"/>
              </w:rPr>
            </w:pPr>
            <w:r>
              <w:rPr>
                <w:rFonts w:ascii="Arial" w:cs="Arial" w:eastAsia="Arial" w:hAnsi="Arial"/>
                <w:sz w:val="14"/>
                <w:szCs w:val="14"/>
                <w:color w:val="auto"/>
                <w:w w:val="93"/>
              </w:rPr>
              <w:t>Change In Interest Income,</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gridSpan w:val="2"/>
            <w:vMerge w:val="restart"/>
          </w:tcPr>
          <w:p>
            <w:pPr>
              <w:jc w:val="center"/>
              <w:ind w:left="888"/>
              <w:spacing w:after="0"/>
              <w:rPr>
                <w:sz w:val="20"/>
                <w:szCs w:val="20"/>
                <w:color w:val="auto"/>
              </w:rPr>
            </w:pPr>
            <w:r>
              <w:rPr>
                <w:rFonts w:ascii="Arial" w:cs="Arial" w:eastAsia="Arial" w:hAnsi="Arial"/>
                <w:sz w:val="14"/>
                <w:szCs w:val="14"/>
                <w:color w:val="auto"/>
                <w:w w:val="91"/>
              </w:rPr>
              <w:t>Change In Interest Rates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2"/>
          </w:tcPr>
          <w:p>
            <w:pPr>
              <w:jc w:val="center"/>
              <w:ind w:right="1020"/>
              <w:spacing w:after="0" w:line="149" w:lineRule="exact"/>
              <w:rPr>
                <w:sz w:val="20"/>
                <w:szCs w:val="20"/>
                <w:color w:val="auto"/>
              </w:rPr>
            </w:pPr>
            <w:r>
              <w:rPr>
                <w:rFonts w:ascii="Arial" w:cs="Arial" w:eastAsia="Arial" w:hAnsi="Arial"/>
                <w:sz w:val="14"/>
                <w:szCs w:val="14"/>
                <w:color w:val="auto"/>
                <w:w w:val="92"/>
              </w:rPr>
              <w:t>Net Of Interest Expense</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jc w:val="center"/>
              <w:ind w:right="1020"/>
              <w:spacing w:after="0"/>
              <w:rPr>
                <w:sz w:val="20"/>
                <w:szCs w:val="20"/>
                <w:color w:val="auto"/>
              </w:rPr>
            </w:pPr>
            <w:r>
              <w:rPr>
                <w:rFonts w:ascii="Arial" w:cs="Arial" w:eastAsia="Arial" w:hAnsi="Arial"/>
                <w:sz w:val="14"/>
                <w:szCs w:val="14"/>
                <w:color w:val="auto"/>
                <w:w w:val="91"/>
              </w:rPr>
              <w:t>(In Thousands)</w:t>
            </w:r>
          </w:p>
        </w:tc>
        <w:tc>
          <w:tcPr>
            <w:tcW w:w="320" w:type="dxa"/>
            <w:vAlign w:val="bottom"/>
          </w:tcPr>
          <w:p>
            <w:pPr>
              <w:spacing w:after="0"/>
              <w:rPr>
                <w:sz w:val="14"/>
                <w:szCs w:val="14"/>
                <w:color w:val="auto"/>
              </w:rPr>
            </w:pPr>
          </w:p>
        </w:tc>
        <w:tc>
          <w:tcPr>
            <w:tcW w:w="2360" w:type="dxa"/>
            <w:vAlign w:val="bottom"/>
            <w:gridSpan w:val="2"/>
          </w:tcPr>
          <w:p>
            <w:pPr>
              <w:ind w:left="26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0"/>
        </w:trPr>
        <w:tc>
          <w:tcPr>
            <w:tcW w:w="100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Up 1%</w:t>
            </w:r>
          </w:p>
        </w:tc>
        <w:tc>
          <w:tcPr>
            <w:tcW w:w="1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4"/>
                <w:szCs w:val="14"/>
                <w:color w:val="auto"/>
              </w:rPr>
              <w:t>1,135</w:t>
            </w:r>
          </w:p>
        </w:tc>
        <w:tc>
          <w:tcPr>
            <w:tcW w:w="3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23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5"/>
              </w:rPr>
              <w:t>Up 2%</w:t>
            </w:r>
          </w:p>
        </w:tc>
        <w:tc>
          <w:tcPr>
            <w:tcW w:w="18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600" w:type="dxa"/>
            <w:vAlign w:val="bottom"/>
            <w:gridSpan w:val="2"/>
            <w:vMerge w:val="restart"/>
          </w:tcPr>
          <w:p>
            <w:pPr>
              <w:jc w:val="right"/>
              <w:ind w:right="940"/>
              <w:spacing w:after="0"/>
              <w:rPr>
                <w:sz w:val="20"/>
                <w:szCs w:val="20"/>
                <w:color w:val="auto"/>
              </w:rPr>
            </w:pPr>
            <w:r>
              <w:rPr>
                <w:rFonts w:ascii="Arial" w:cs="Arial" w:eastAsia="Arial" w:hAnsi="Arial"/>
                <w:sz w:val="14"/>
                <w:szCs w:val="14"/>
                <w:color w:val="auto"/>
              </w:rPr>
              <w:t>8,887</w:t>
            </w:r>
          </w:p>
        </w:tc>
        <w:tc>
          <w:tcPr>
            <w:tcW w:w="320" w:type="dxa"/>
            <w:vAlign w:val="bottom"/>
            <w:vMerge w:val="restart"/>
          </w:tcPr>
          <w:p>
            <w:pPr>
              <w:jc w:val="right"/>
              <w:ind w:right="209"/>
              <w:spacing w:after="0"/>
              <w:rPr>
                <w:sz w:val="20"/>
                <w:szCs w:val="20"/>
                <w:color w:val="auto"/>
              </w:rPr>
            </w:pPr>
            <w:r>
              <w:rPr>
                <w:rFonts w:ascii="Arial" w:cs="Arial" w:eastAsia="Arial" w:hAnsi="Arial"/>
                <w:sz w:val="10"/>
                <w:szCs w:val="10"/>
                <w:color w:val="auto"/>
                <w:w w:val="71"/>
              </w:rPr>
              <w:t>$</w:t>
            </w:r>
          </w:p>
        </w:tc>
        <w:tc>
          <w:tcPr>
            <w:tcW w:w="2360" w:type="dxa"/>
            <w:vAlign w:val="bottom"/>
            <w:gridSpan w:val="2"/>
            <w:vMerge w:val="restart"/>
          </w:tcPr>
          <w:p>
            <w:pPr>
              <w:jc w:val="right"/>
              <w:ind w:right="940"/>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2600" w:type="dxa"/>
            <w:vAlign w:val="bottom"/>
            <w:gridSpan w:val="2"/>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23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Up 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4"/>
                <w:szCs w:val="14"/>
                <w:color w:val="auto"/>
              </w:rPr>
              <w:t>16,639</w:t>
            </w:r>
          </w:p>
        </w:tc>
        <w:tc>
          <w:tcPr>
            <w:tcW w:w="3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23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5"/>
              </w:rPr>
              <w:t>Up 4%</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940"/>
              <w:spacing w:after="0"/>
              <w:rPr>
                <w:sz w:val="20"/>
                <w:szCs w:val="20"/>
                <w:color w:val="auto"/>
              </w:rPr>
            </w:pPr>
            <w:r>
              <w:rPr>
                <w:rFonts w:ascii="Arial" w:cs="Arial" w:eastAsia="Arial" w:hAnsi="Arial"/>
                <w:sz w:val="14"/>
                <w:szCs w:val="14"/>
                <w:color w:val="auto"/>
              </w:rPr>
              <w:t>24,391</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2360" w:type="dxa"/>
            <w:vAlign w:val="bottom"/>
            <w:gridSpan w:val="2"/>
          </w:tcPr>
          <w:p>
            <w:pPr>
              <w:jc w:val="right"/>
              <w:ind w:right="940"/>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 or foreign currency hedging activities.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2016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right="20"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2015,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Repurchases of our common stock under our share repurchase plan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Total Number of Shares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0"/>
              </w:rPr>
              <w:t>Average Price per Share</w:t>
            </w:r>
          </w:p>
        </w:tc>
        <w:tc>
          <w:tcPr>
            <w:tcW w:w="2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12"/>
                <w:szCs w:val="12"/>
                <w:b w:val="1"/>
                <w:bCs w:val="1"/>
                <w:color w:val="auto"/>
                <w:w w:val="94"/>
              </w:rPr>
              <w:t>(1)</w:t>
            </w:r>
          </w:p>
        </w:tc>
        <w:tc>
          <w:tcPr>
            <w:tcW w:w="100" w:type="dxa"/>
            <w:vAlign w:val="bottom"/>
          </w:tcPr>
          <w:p>
            <w:pPr>
              <w:spacing w:after="0"/>
              <w:rPr>
                <w:sz w:val="14"/>
                <w:szCs w:val="14"/>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Programs (in millions)</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October 1, 2015 through October 31, 2015</w:t>
            </w:r>
          </w:p>
        </w:tc>
        <w:tc>
          <w:tcPr>
            <w:tcW w:w="3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46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November 1, 2015 through November 30, 2015</w:t>
            </w:r>
          </w:p>
        </w:tc>
        <w:tc>
          <w:tcPr>
            <w:tcW w:w="1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877,933</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6.82</w:t>
            </w:r>
          </w:p>
        </w:tc>
        <w:tc>
          <w:tcPr>
            <w:tcW w:w="2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877,933</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1, 2015 through December 31, 2015</w:t>
            </w:r>
          </w:p>
        </w:tc>
        <w:tc>
          <w:tcPr>
            <w:tcW w:w="1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342,400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7.22</w:t>
            </w:r>
          </w:p>
        </w:tc>
        <w:tc>
          <w:tcPr>
            <w:tcW w:w="2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342,400</w:t>
            </w: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January 1, 2016 through January 31, 2016</w:t>
            </w:r>
          </w:p>
        </w:tc>
        <w:tc>
          <w:tcPr>
            <w:tcW w:w="1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N/A</w:t>
            </w:r>
          </w:p>
        </w:tc>
        <w:tc>
          <w:tcPr>
            <w:tcW w:w="2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February 1, 2016 through February 29, 2016</w:t>
            </w:r>
          </w:p>
        </w:tc>
        <w:tc>
          <w:tcPr>
            <w:tcW w:w="1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578,049</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5.34</w:t>
            </w:r>
          </w:p>
        </w:tc>
        <w:tc>
          <w:tcPr>
            <w:tcW w:w="2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578,049</w:t>
            </w: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March 1, 2016 through March 31, 2016</w:t>
            </w:r>
          </w:p>
        </w:tc>
        <w:tc>
          <w:tcPr>
            <w:tcW w:w="1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106,825</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6.09</w:t>
            </w:r>
          </w:p>
        </w:tc>
        <w:tc>
          <w:tcPr>
            <w:tcW w:w="2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106,825</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1,905,207</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1,905,207</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right="60" w:hanging="552"/>
        <w:spacing w:after="0" w:line="253" w:lineRule="auto"/>
        <w:tabs>
          <w:tab w:leader="none" w:pos="560" w:val="left"/>
        </w:tabs>
        <w:numPr>
          <w:ilvl w:val="0"/>
          <w:numId w:val="18"/>
        </w:numPr>
        <w:rPr>
          <w:rFonts w:ascii="Arial" w:cs="Arial" w:eastAsia="Arial" w:hAnsi="Arial"/>
          <w:sz w:val="12"/>
          <w:szCs w:val="12"/>
          <w:color w:val="auto"/>
        </w:rPr>
      </w:pPr>
      <w:r>
        <w:rPr>
          <w:rFonts w:ascii="Arial" w:cs="Arial" w:eastAsia="Arial" w:hAnsi="Arial"/>
          <w:sz w:val="14"/>
          <w:szCs w:val="14"/>
          <w:color w:val="auto"/>
        </w:rPr>
        <w:t>On May 6, 2015, we announced a share repurchase plan which allows us to repurchase up to $35.0 million of our outstanding common stock. Unless extended by our board of directors, the program will expire on the earlier of May 6, 2016 and the repurchase of $35.0 million of common stock.</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jc w:val="center"/>
        <w:ind w:right="922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52" w:lineRule="exact"/>
        <w:rPr>
          <w:sz w:val="20"/>
          <w:szCs w:val="20"/>
          <w:color w:val="auto"/>
        </w:rPr>
      </w:pPr>
    </w:p>
    <w:p>
      <w:pPr>
        <w:ind w:left="680" w:right="3220" w:hanging="602"/>
        <w:spacing w:after="0" w:line="253" w:lineRule="auto"/>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Incorporation (Incorporated by reference to Exhibit 99(a) to the Registrant’s Pre-Effective Amendment No. 3 to the Registration Statement on Form N-2/A (File No. 333-140092), filed on April 5, 2007).</w:t>
      </w:r>
    </w:p>
    <w:p>
      <w:pPr>
        <w:spacing w:after="0" w:line="14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Exhibit 3.1 to the Registrant’s Current Report on Form 8-K (File No. 814-00736), filed on December 2,</w:t>
      </w:r>
    </w:p>
    <w:p>
      <w:pPr>
        <w:ind w:left="680"/>
        <w:spacing w:after="0"/>
        <w:rPr>
          <w:sz w:val="20"/>
          <w:szCs w:val="20"/>
          <w:color w:val="auto"/>
        </w:rPr>
      </w:pPr>
      <w:r>
        <w:rPr>
          <w:rFonts w:ascii="Arial" w:cs="Arial" w:eastAsia="Arial" w:hAnsi="Arial"/>
          <w:sz w:val="14"/>
          <w:szCs w:val="14"/>
          <w:color w:val="auto"/>
        </w:rPr>
        <w:t>2015).</w:t>
      </w:r>
    </w:p>
    <w:p>
      <w:pPr>
        <w:spacing w:after="0" w:line="151" w:lineRule="exact"/>
        <w:rPr>
          <w:sz w:val="20"/>
          <w:szCs w:val="20"/>
          <w:color w:val="auto"/>
        </w:rPr>
      </w:pPr>
    </w:p>
    <w:p>
      <w:pPr>
        <w:ind w:left="680" w:right="3740" w:hanging="602"/>
        <w:spacing w:after="0" w:line="253" w:lineRule="auto"/>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Exhibit 99(d)(1) to the Registrant’s Registration Statement on Form N-2 (File No. 333-150033), filed on April 2, 2008).</w:t>
      </w:r>
    </w:p>
    <w:p>
      <w:pPr>
        <w:spacing w:after="0" w:line="147" w:lineRule="exact"/>
        <w:rPr>
          <w:sz w:val="20"/>
          <w:szCs w:val="20"/>
          <w:color w:val="auto"/>
        </w:rPr>
      </w:pPr>
    </w:p>
    <w:p>
      <w:pPr>
        <w:ind w:left="680" w:right="500" w:hanging="674"/>
        <w:spacing w:after="0" w:line="253" w:lineRule="auto"/>
        <w:tabs>
          <w:tab w:leader="none" w:pos="66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First Amended and Restated Investment Advisory Management Agreement, dated as of February 2, 2016, between the Registrant and PennantPark Investment Advisers, LLC (Incorporated by reference to Exhibit 10.1 to the Registrant’s Quarterly Report on Form 10-Q (File No. 814-00736), filed on February 3, 2016).</w:t>
      </w:r>
    </w:p>
    <w:p>
      <w:pPr>
        <w:spacing w:after="0" w:line="133" w:lineRule="exact"/>
        <w:rPr>
          <w:sz w:val="20"/>
          <w:szCs w:val="20"/>
          <w:color w:val="auto"/>
        </w:rPr>
      </w:pPr>
    </w:p>
    <w:p>
      <w:pPr>
        <w:ind w:left="680" w:hanging="600"/>
        <w:spacing w:after="0"/>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sz w:val="20"/>
          <w:szCs w:val="20"/>
          <w:color w:val="auto"/>
        </w:rPr>
      </w:pPr>
    </w:p>
    <w:p>
      <w:pPr>
        <w:ind w:left="680" w:right="2080" w:hanging="674"/>
        <w:spacing w:after="0" w:line="253" w:lineRule="auto"/>
        <w:tabs>
          <w:tab w:leader="none" w:pos="6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259080</wp:posOffset>
            </wp:positionV>
            <wp:extent cx="828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PENNANTPARK INVESTMENT CORPORATION</w:t>
      </w:r>
    </w:p>
    <w:p>
      <w:pPr>
        <w:spacing w:after="0" w:line="38" w:lineRule="exact"/>
        <w:rPr>
          <w:sz w:val="20"/>
          <w:szCs w:val="20"/>
          <w:color w:val="auto"/>
        </w:rPr>
      </w:pPr>
    </w:p>
    <w:p>
      <w:pPr>
        <w:spacing w:after="0"/>
        <w:tabs>
          <w:tab w:leader="none" w:pos="5300" w:val="left"/>
          <w:tab w:leader="none" w:pos="7940" w:val="left"/>
        </w:tabs>
        <w:rPr>
          <w:sz w:val="20"/>
          <w:szCs w:val="20"/>
          <w:color w:val="auto"/>
        </w:rPr>
      </w:pPr>
      <w:r>
        <w:rPr>
          <w:rFonts w:ascii="Arial" w:cs="Arial" w:eastAsia="Arial" w:hAnsi="Arial"/>
          <w:sz w:val="14"/>
          <w:szCs w:val="14"/>
          <w:color w:val="auto"/>
        </w:rPr>
        <w:t>Date: May 4, 2016</w:t>
      </w:r>
      <w:r>
        <w:rPr>
          <w:sz w:val="20"/>
          <w:szCs w:val="20"/>
          <w:color w:val="auto"/>
        </w:rPr>
        <w:tab/>
      </w: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0</wp:posOffset>
            </wp:positionV>
            <wp:extent cx="3317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4"/>
          <w:szCs w:val="14"/>
          <w:b w:val="1"/>
          <w:bCs w:val="1"/>
          <w:color w:val="auto"/>
        </w:rPr>
        <w:t>Arthur H. Penn</w:t>
      </w:r>
    </w:p>
    <w:p>
      <w:pPr>
        <w:jc w:val="center"/>
        <w:ind w:left="6000"/>
        <w:spacing w:after="0" w:line="221" w:lineRule="auto"/>
        <w:rPr>
          <w:sz w:val="20"/>
          <w:szCs w:val="20"/>
          <w:color w:val="auto"/>
        </w:rPr>
      </w:pPr>
      <w:r>
        <w:rPr>
          <w:rFonts w:ascii="Arial" w:cs="Arial" w:eastAsia="Arial" w:hAnsi="Arial"/>
          <w:sz w:val="14"/>
          <w:szCs w:val="14"/>
          <w:b w:val="1"/>
          <w:bCs w:val="1"/>
          <w:color w:val="auto"/>
        </w:rPr>
        <w:t>Chief Executive Officer and Chairman of the Board of Directors</w:t>
      </w:r>
    </w:p>
    <w:p>
      <w:pPr>
        <w:jc w:val="center"/>
        <w:ind w:left="6000"/>
        <w:spacing w:after="0"/>
        <w:rPr>
          <w:sz w:val="20"/>
          <w:szCs w:val="20"/>
          <w:color w:val="auto"/>
        </w:rPr>
      </w:pPr>
      <w:r>
        <w:rPr>
          <w:rFonts w:ascii="Arial" w:cs="Arial" w:eastAsia="Arial" w:hAnsi="Arial"/>
          <w:sz w:val="14"/>
          <w:szCs w:val="14"/>
          <w:b w:val="1"/>
          <w:bCs w:val="1"/>
          <w:color w:val="auto"/>
        </w:rPr>
        <w:t>(Principal Executive Officer)</w:t>
      </w:r>
    </w:p>
    <w:p>
      <w:pPr>
        <w:spacing w:after="0" w:line="40" w:lineRule="exact"/>
        <w:rPr>
          <w:sz w:val="20"/>
          <w:szCs w:val="20"/>
          <w:color w:val="auto"/>
        </w:rPr>
      </w:pPr>
    </w:p>
    <w:p>
      <w:pPr>
        <w:spacing w:after="0"/>
        <w:tabs>
          <w:tab w:leader="none" w:pos="5300" w:val="left"/>
          <w:tab w:leader="none" w:pos="8080" w:val="left"/>
        </w:tabs>
        <w:rPr>
          <w:sz w:val="20"/>
          <w:szCs w:val="20"/>
          <w:color w:val="auto"/>
        </w:rPr>
      </w:pPr>
      <w:r>
        <w:rPr>
          <w:rFonts w:ascii="Arial" w:cs="Arial" w:eastAsia="Arial" w:hAnsi="Arial"/>
          <w:sz w:val="14"/>
          <w:szCs w:val="14"/>
          <w:color w:val="auto"/>
        </w:rPr>
        <w:t>Date: May 4, 2016</w:t>
      </w:r>
      <w:r>
        <w:rPr>
          <w:sz w:val="20"/>
          <w:szCs w:val="20"/>
          <w:color w:val="auto"/>
        </w:rPr>
        <w:tab/>
      </w: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0</wp:posOffset>
            </wp:positionV>
            <wp:extent cx="33172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4"/>
          <w:szCs w:val="14"/>
          <w:b w:val="1"/>
          <w:bCs w:val="1"/>
          <w:color w:val="auto"/>
        </w:rPr>
        <w:t>Aviv Efrat</w:t>
      </w:r>
    </w:p>
    <w:p>
      <w:pPr>
        <w:spacing w:after="0" w:line="39"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040"/>
          </w:cols>
          <w:pgMar w:left="320" w:top="459" w:right="539" w:bottom="1440" w:gutter="0" w:footer="0" w:header="0"/>
        </w:sectPr>
      </w:pPr>
    </w:p>
    <w:bookmarkStart w:id="36" w:name="page37"/>
    <w:bookmarkEnd w:id="36"/>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May 4,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40"/>
          </w:cols>
          <w:pgMar w:left="320" w:top="118" w:right="339" w:bottom="1440" w:gutter="0" w:footer="0" w:header="0"/>
        </w:sectPr>
      </w:pPr>
    </w:p>
    <w:bookmarkStart w:id="37" w:name="page38"/>
    <w:bookmarkEnd w:id="37"/>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May 4, 2016</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32.1</w:t>
      </w:r>
    </w:p>
    <w:p>
      <w:pPr>
        <w:spacing w:after="0" w:line="219" w:lineRule="exact"/>
        <w:rPr>
          <w:sz w:val="20"/>
          <w:szCs w:val="20"/>
          <w:color w:val="auto"/>
        </w:rPr>
      </w:pPr>
    </w:p>
    <w:p>
      <w:pPr>
        <w:ind w:left="120" w:right="24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2016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line="221" w:lineRule="auto"/>
        <w:rPr>
          <w:sz w:val="20"/>
          <w:szCs w:val="20"/>
          <w:color w:val="auto"/>
        </w:rPr>
      </w:pPr>
      <w:r>
        <w:rPr>
          <w:rFonts w:ascii="Arial" w:cs="Arial" w:eastAsia="Arial" w:hAnsi="Arial"/>
          <w:sz w:val="14"/>
          <w:szCs w:val="14"/>
          <w:color w:val="auto"/>
        </w:rPr>
        <w:t>Title: Chief Executive Officer</w:t>
      </w:r>
    </w:p>
    <w:p>
      <w:pPr>
        <w:spacing w:after="0"/>
        <w:rPr>
          <w:sz w:val="20"/>
          <w:szCs w:val="20"/>
          <w:color w:val="auto"/>
        </w:rPr>
      </w:pPr>
      <w:r>
        <w:rPr>
          <w:rFonts w:ascii="Arial" w:cs="Arial" w:eastAsia="Arial" w:hAnsi="Arial"/>
          <w:sz w:val="14"/>
          <w:szCs w:val="14"/>
          <w:color w:val="auto"/>
        </w:rPr>
        <w:t>Date: May 4, 2016</w:t>
      </w:r>
    </w:p>
    <w:p>
      <w:pPr>
        <w:sectPr>
          <w:pgSz w:w="11900" w:h="16838" w:orient="portrait"/>
          <w:cols w:equalWidth="0" w:num="1">
            <w:col w:w="11240"/>
          </w:cols>
          <w:pgMar w:left="320" w:top="11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32.2</w:t>
      </w:r>
    </w:p>
    <w:p>
      <w:pPr>
        <w:spacing w:after="0" w:line="219" w:lineRule="exact"/>
        <w:rPr>
          <w:sz w:val="20"/>
          <w:szCs w:val="20"/>
          <w:color w:val="auto"/>
        </w:rPr>
      </w:pPr>
    </w:p>
    <w:p>
      <w:pPr>
        <w:ind w:left="120" w:right="24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2016 (the “Report”) of PennantPark Investment Corporation (the “Registrant”), as filed with the Securities and Exchange Commission on the date hereof, I, Aviv Efrat, Chief Financial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line="221" w:lineRule="auto"/>
        <w:rPr>
          <w:sz w:val="20"/>
          <w:szCs w:val="20"/>
          <w:color w:val="auto"/>
        </w:rPr>
      </w:pPr>
      <w:r>
        <w:rPr>
          <w:rFonts w:ascii="Arial" w:cs="Arial" w:eastAsia="Arial" w:hAnsi="Arial"/>
          <w:sz w:val="14"/>
          <w:szCs w:val="14"/>
          <w:color w:val="auto"/>
        </w:rPr>
        <w:t>Title: Chief Financial Officer</w:t>
      </w:r>
    </w:p>
    <w:p>
      <w:pPr>
        <w:spacing w:after="0"/>
        <w:rPr>
          <w:sz w:val="20"/>
          <w:szCs w:val="20"/>
          <w:color w:val="auto"/>
        </w:rPr>
      </w:pPr>
      <w:r>
        <w:rPr>
          <w:rFonts w:ascii="Arial" w:cs="Arial" w:eastAsia="Arial" w:hAnsi="Arial"/>
          <w:sz w:val="14"/>
          <w:szCs w:val="14"/>
          <w:color w:val="auto"/>
        </w:rPr>
        <w:t>Date: May 4, 2016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2020-05-05T15:09:54Z</dcterms:created>
  <dcterms:modified xsi:type="dcterms:W3CDTF">2020-05-05T15:09:54Z</dcterms:modified>
</cp:coreProperties>
</file>